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highlight w:val="none"/>
          <w:lang w:val="en-US" w:eastAsia="zh-CN"/>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编号：临2023-</w:t>
      </w:r>
      <w:r>
        <w:rPr>
          <w:rFonts w:hint="eastAsia" w:ascii="黑体" w:hAnsi="黑体" w:eastAsia="黑体"/>
          <w:color w:val="000000"/>
          <w:highlight w:val="none"/>
          <w:lang w:val="en-US" w:eastAsia="zh-CN"/>
        </w:rPr>
        <w:t>050</w:t>
      </w:r>
    </w:p>
    <w:p>
      <w:pPr>
        <w:spacing w:line="500" w:lineRule="exact"/>
        <w:jc w:val="center"/>
        <w:rPr>
          <w:rFonts w:eastAsia="黑体"/>
          <w:color w:val="000000"/>
          <w:highlight w:val="none"/>
        </w:rPr>
      </w:pPr>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color w:val="000000"/>
          <w:sz w:val="28"/>
          <w:szCs w:val="28"/>
          <w:highlight w:val="none"/>
        </w:rPr>
        <w:t>青岛中兖贸易有限公司（“青岛中兖”）、兖煤澳大利亚有限公司（“兖煤澳洲”）及其子公司、兖矿能源澳洲附属公司。</w:t>
      </w:r>
      <w:r>
        <w:rPr>
          <w:rFonts w:hint="eastAsia" w:ascii="宋体" w:hAnsi="宋体"/>
          <w:color w:val="000000" w:themeColor="text1"/>
          <w:sz w:val="28"/>
          <w:szCs w:val="28"/>
          <w:highlight w:val="none"/>
          <w14:textFill>
            <w14:solidFill>
              <w14:schemeClr w14:val="tx1"/>
            </w14:solidFill>
          </w14:textFill>
        </w:rPr>
        <w:t>上述被担保人均为兖矿能源集团股份有限公司（“兖矿能源”“公司”）控股子公司，</w:t>
      </w:r>
      <w:r>
        <w:rPr>
          <w:rFonts w:hint="eastAsia" w:ascii="宋体" w:hAnsi="宋体"/>
          <w:color w:val="000000"/>
          <w:sz w:val="28"/>
          <w:szCs w:val="28"/>
          <w:highlight w:val="none"/>
        </w:rPr>
        <w:t>其中公司持有</w:t>
      </w:r>
      <w:r>
        <w:rPr>
          <w:rFonts w:ascii="宋体" w:hAnsi="宋体"/>
          <w:color w:val="000000"/>
          <w:sz w:val="28"/>
          <w:szCs w:val="28"/>
          <w:highlight w:val="none"/>
        </w:rPr>
        <w:t>青岛中兖100%股权，</w:t>
      </w:r>
      <w:r>
        <w:rPr>
          <w:rFonts w:hint="eastAsia" w:ascii="宋体" w:hAnsi="宋体"/>
          <w:color w:val="000000"/>
          <w:sz w:val="28"/>
          <w:szCs w:val="28"/>
          <w:highlight w:val="none"/>
        </w:rPr>
        <w:t>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color w:val="000000"/>
          <w:sz w:val="28"/>
          <w:szCs w:val="28"/>
          <w:highlight w:val="none"/>
        </w:rPr>
        <w:t>自202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日，公司在年度预计担保金额内为青岛中兖提供担保金额为人民币</w:t>
      </w:r>
      <w:r>
        <w:rPr>
          <w:rFonts w:hint="eastAsia" w:ascii="宋体" w:hAnsi="宋体"/>
          <w:color w:val="000000"/>
          <w:sz w:val="28"/>
          <w:szCs w:val="28"/>
          <w:highlight w:val="none"/>
          <w:lang w:val="en-US" w:eastAsia="zh-CN"/>
        </w:rPr>
        <w:t>4.50</w:t>
      </w:r>
      <w:r>
        <w:rPr>
          <w:rFonts w:hint="eastAsia" w:ascii="宋体" w:hAnsi="宋体"/>
          <w:color w:val="000000"/>
          <w:sz w:val="28"/>
          <w:szCs w:val="28"/>
          <w:highlight w:val="none"/>
        </w:rPr>
        <w:t>亿元；截至202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日，公司为青岛中兖提供的担保余额为人民币</w:t>
      </w:r>
      <w:r>
        <w:rPr>
          <w:rFonts w:hint="eastAsia" w:ascii="宋体" w:hAnsi="宋体"/>
          <w:color w:val="000000"/>
          <w:sz w:val="28"/>
          <w:szCs w:val="28"/>
          <w:highlight w:val="none"/>
          <w:lang w:val="en-US" w:eastAsia="zh-CN"/>
        </w:rPr>
        <w:t>25.50</w:t>
      </w:r>
      <w:r>
        <w:rPr>
          <w:rFonts w:hint="eastAsia" w:ascii="宋体" w:hAnsi="宋体"/>
          <w:color w:val="000000"/>
          <w:sz w:val="28"/>
          <w:szCs w:val="28"/>
          <w:highlight w:val="none"/>
        </w:rPr>
        <w:t>亿元；截至202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日，兖煤澳洲为其子公司提供担保余额为</w:t>
      </w:r>
      <w:r>
        <w:rPr>
          <w:rFonts w:hint="eastAsia" w:ascii="宋体" w:hAnsi="宋体" w:eastAsia="宋体" w:cs="宋体"/>
          <w:color w:val="000000"/>
          <w:sz w:val="28"/>
          <w:szCs w:val="28"/>
          <w:highlight w:val="none"/>
          <w:lang w:val="en-US" w:eastAsia="zh-CN"/>
        </w:rPr>
        <w:t>600</w:t>
      </w:r>
      <w:r>
        <w:rPr>
          <w:rFonts w:hint="eastAsia" w:ascii="宋体" w:hAnsi="宋体"/>
          <w:color w:val="000000"/>
          <w:sz w:val="28"/>
          <w:szCs w:val="28"/>
          <w:highlight w:val="none"/>
        </w:rPr>
        <w:t>万澳元，兖煤澳洲下属子公司为兖煤澳洲、兖煤澳洲下属子公司、兖矿能源澳洲附属公司提供担保余额为</w:t>
      </w:r>
      <w:r>
        <w:rPr>
          <w:rFonts w:hint="eastAsia" w:ascii="宋体" w:hAnsi="宋体" w:eastAsia="宋体" w:cs="宋体"/>
          <w:color w:val="000000"/>
          <w:sz w:val="28"/>
          <w:szCs w:val="28"/>
          <w:highlight w:val="none"/>
          <w:lang w:val="en-US" w:eastAsia="zh-CN"/>
        </w:rPr>
        <w:t>9.54</w:t>
      </w:r>
      <w:r>
        <w:rPr>
          <w:rFonts w:hint="eastAsia" w:ascii="宋体" w:hAnsi="宋体"/>
          <w:color w:val="000000"/>
          <w:sz w:val="28"/>
          <w:szCs w:val="28"/>
          <w:highlight w:val="none"/>
        </w:rPr>
        <w:t>亿澳元，担保余额合计为</w:t>
      </w:r>
      <w:r>
        <w:rPr>
          <w:rFonts w:hint="eastAsia" w:ascii="宋体" w:hAnsi="宋体"/>
          <w:color w:val="000000"/>
          <w:sz w:val="28"/>
          <w:szCs w:val="28"/>
          <w:highlight w:val="none"/>
          <w:lang w:val="en-US" w:eastAsia="zh-CN"/>
        </w:rPr>
        <w:t>9.60</w:t>
      </w:r>
      <w:r>
        <w:rPr>
          <w:rFonts w:hint="eastAsia" w:ascii="宋体" w:hAnsi="宋体"/>
          <w:color w:val="000000"/>
          <w:sz w:val="28"/>
          <w:szCs w:val="28"/>
          <w:highlight w:val="none"/>
        </w:rPr>
        <w:t>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color w:val="000000"/>
          <w:sz w:val="28"/>
          <w:szCs w:val="28"/>
          <w:highlight w:val="none"/>
          <w:lang w:eastAsia="zh-CN"/>
        </w:rPr>
        <w:t>无</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部分被担保对象资产负债率超过70%，敬请广大投资者注意相关风险。担保对象均为公司控股子公司，担保风险可控。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自202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日，公司在年度预计担保金额内为青岛中兖提供人民币</w:t>
      </w:r>
      <w:r>
        <w:rPr>
          <w:rFonts w:hint="eastAsia" w:ascii="宋体" w:hAnsi="宋体"/>
          <w:color w:val="000000"/>
          <w:sz w:val="28"/>
          <w:szCs w:val="28"/>
          <w:highlight w:val="none"/>
          <w:lang w:val="en-US" w:eastAsia="zh-CN"/>
        </w:rPr>
        <w:t>4.50</w:t>
      </w:r>
      <w:r>
        <w:rPr>
          <w:rFonts w:hint="eastAsia" w:ascii="宋体" w:hAnsi="宋体"/>
          <w:color w:val="000000"/>
          <w:sz w:val="28"/>
          <w:szCs w:val="28"/>
          <w:highlight w:val="none"/>
        </w:rPr>
        <w:t>亿元融资担保；截至202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日，公司已实际为青岛中兖提供的担保余额为人民币</w:t>
      </w:r>
      <w:r>
        <w:rPr>
          <w:rFonts w:hint="eastAsia" w:ascii="宋体" w:hAnsi="宋体"/>
          <w:color w:val="000000"/>
          <w:sz w:val="28"/>
          <w:szCs w:val="28"/>
          <w:highlight w:val="none"/>
          <w:lang w:val="en-US" w:eastAsia="zh-CN"/>
        </w:rPr>
        <w:t>25.50</w:t>
      </w:r>
      <w:r>
        <w:rPr>
          <w:rFonts w:hint="eastAsia" w:ascii="宋体" w:hAnsi="宋体"/>
          <w:color w:val="000000"/>
          <w:sz w:val="28"/>
          <w:szCs w:val="28"/>
          <w:highlight w:val="none"/>
        </w:rPr>
        <w:t>亿元。</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日，兖煤澳洲为其子公司提供担保余额为</w:t>
      </w:r>
      <w:r>
        <w:rPr>
          <w:rFonts w:hint="eastAsia" w:ascii="宋体" w:hAnsi="宋体" w:eastAsia="宋体" w:cs="宋体"/>
          <w:color w:val="000000"/>
          <w:sz w:val="28"/>
          <w:szCs w:val="28"/>
          <w:highlight w:val="none"/>
          <w:lang w:val="en-US" w:eastAsia="zh-CN"/>
        </w:rPr>
        <w:t>600</w:t>
      </w:r>
      <w:r>
        <w:rPr>
          <w:rFonts w:hint="eastAsia" w:ascii="宋体" w:hAnsi="宋体"/>
          <w:color w:val="000000"/>
          <w:sz w:val="28"/>
          <w:szCs w:val="28"/>
          <w:highlight w:val="none"/>
        </w:rPr>
        <w:t>万澳元，兖煤澳洲下属子公司以银行保函形式为兖煤澳洲、兖煤澳洲下属子公司、兖矿能源澳洲附属公司提供担保余额为</w:t>
      </w:r>
      <w:r>
        <w:rPr>
          <w:rFonts w:hint="eastAsia" w:ascii="宋体" w:hAnsi="宋体" w:eastAsia="宋体" w:cs="宋体"/>
          <w:color w:val="000000"/>
          <w:sz w:val="28"/>
          <w:szCs w:val="28"/>
          <w:highlight w:val="none"/>
          <w:lang w:val="en-US" w:eastAsia="zh-CN"/>
        </w:rPr>
        <w:t>9.54</w:t>
      </w:r>
      <w:r>
        <w:rPr>
          <w:rFonts w:hint="eastAsia" w:ascii="宋体" w:hAnsi="宋体"/>
          <w:color w:val="000000"/>
          <w:sz w:val="28"/>
          <w:szCs w:val="28"/>
          <w:highlight w:val="none"/>
        </w:rPr>
        <w:t>亿澳元，</w:t>
      </w:r>
      <w:bookmarkStart w:id="0" w:name="_Hlk127454364"/>
      <w:r>
        <w:rPr>
          <w:rFonts w:hint="eastAsia" w:ascii="宋体" w:hAnsi="宋体"/>
          <w:color w:val="000000"/>
          <w:sz w:val="28"/>
          <w:szCs w:val="28"/>
          <w:highlight w:val="none"/>
        </w:rPr>
        <w:t>前述担保余额合计为</w:t>
      </w:r>
      <w:r>
        <w:rPr>
          <w:rFonts w:hint="eastAsia" w:ascii="宋体" w:hAnsi="宋体" w:eastAsia="宋体" w:cs="宋体"/>
          <w:color w:val="000000"/>
          <w:sz w:val="28"/>
          <w:szCs w:val="28"/>
          <w:highlight w:val="none"/>
          <w:lang w:val="en-US" w:eastAsia="zh-CN"/>
        </w:rPr>
        <w:t>9.60</w:t>
      </w:r>
      <w:r>
        <w:rPr>
          <w:rFonts w:hint="eastAsia" w:ascii="宋体" w:hAnsi="宋体"/>
          <w:color w:val="000000"/>
          <w:sz w:val="28"/>
          <w:szCs w:val="28"/>
          <w:highlight w:val="none"/>
        </w:rPr>
        <w:t>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rPr>
        <w:t>2年3月30日召开的第八届董事会第二十一次会议、于20</w:t>
      </w:r>
      <w:r>
        <w:rPr>
          <w:rFonts w:ascii="宋体" w:hAnsi="宋体"/>
          <w:color w:val="000000"/>
          <w:sz w:val="28"/>
          <w:szCs w:val="28"/>
          <w:highlight w:val="none"/>
        </w:rPr>
        <w:t>2</w:t>
      </w:r>
      <w:r>
        <w:rPr>
          <w:rFonts w:hint="eastAsia" w:ascii="宋体" w:hAnsi="宋体"/>
          <w:color w:val="000000"/>
          <w:sz w:val="28"/>
          <w:szCs w:val="28"/>
          <w:highlight w:val="none"/>
        </w:rPr>
        <w:t>2年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021</w:t>
      </w:r>
      <w:r>
        <w:rPr>
          <w:rFonts w:hint="eastAsia" w:ascii="宋体" w:hAnsi="宋体"/>
          <w:color w:val="000000"/>
          <w:sz w:val="28"/>
          <w:szCs w:val="28"/>
          <w:highlight w:val="none"/>
        </w:rPr>
        <w:t>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0亿美元的融资担保；批准兖煤澳洲及其子公司向公司澳洲附属公司提供不超过12亿澳元的日常经营担保。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Lines="50" w:afterLines="50" w:line="520" w:lineRule="exact"/>
        <w:ind w:firstLine="560" w:firstLineChars="200"/>
        <w:rPr>
          <w:rFonts w:ascii="楷体" w:hAnsi="楷体" w:eastAsia="楷体"/>
          <w:sz w:val="28"/>
          <w:szCs w:val="28"/>
          <w:highlight w:val="none"/>
        </w:rPr>
      </w:pPr>
      <w:r>
        <w:rPr>
          <w:rFonts w:hint="eastAsia" w:ascii="楷体" w:hAnsi="楷体" w:eastAsia="楷体"/>
          <w:sz w:val="28"/>
          <w:szCs w:val="28"/>
          <w:highlight w:val="none"/>
        </w:rPr>
        <w:t>有关详情请见公司日期为2022年</w:t>
      </w:r>
      <w:r>
        <w:rPr>
          <w:rFonts w:ascii="楷体" w:hAnsi="楷体" w:eastAsia="楷体"/>
          <w:sz w:val="28"/>
          <w:szCs w:val="28"/>
          <w:highlight w:val="none"/>
        </w:rPr>
        <w:t>3</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日的公司第八届董事会第二十一次会议决议公告、关于向子公司提供融资担保和授权兖煤澳洲及其子公司向兖矿能源澳洲附属公司提供日常经营担保的公告，日期为2022年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021</w:t>
      </w:r>
      <w:r>
        <w:rPr>
          <w:rFonts w:hint="eastAsia" w:ascii="楷体" w:hAnsi="楷体" w:eastAsia="楷体"/>
          <w:sz w:val="28"/>
          <w:szCs w:val="28"/>
          <w:highlight w:val="none"/>
        </w:rPr>
        <w:t>年度股东周年大会决议公告。该等资料刊载于上海证券交易所网站、香港联合交易所有限公司网站、公司网站及/或中国境内《中国证券报》《上海证券报》《证券时报》《证券日报》。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二、被担保人担保情况</w:t>
      </w:r>
    </w:p>
    <w:p>
      <w:pPr>
        <w:adjustRightInd w:val="0"/>
        <w:snapToGrid w:val="0"/>
        <w:spacing w:line="560" w:lineRule="exact"/>
        <w:ind w:firstLine="539"/>
        <w:rPr>
          <w:rFonts w:ascii="楷体_GB2312" w:hAnsi="宋体" w:eastAsia="楷体_GB2312"/>
          <w:b/>
          <w:color w:val="000000"/>
          <w:sz w:val="28"/>
          <w:szCs w:val="28"/>
          <w:highlight w:val="none"/>
        </w:rPr>
      </w:pPr>
      <w:r>
        <w:rPr>
          <w:rFonts w:hint="eastAsia" w:ascii="楷体_GB2312" w:hAnsi="宋体" w:eastAsia="楷体_GB2312"/>
          <w:b/>
          <w:color w:val="000000"/>
          <w:sz w:val="28"/>
          <w:szCs w:val="28"/>
          <w:highlight w:val="none"/>
        </w:rPr>
        <w:t>（</w:t>
      </w:r>
      <w:r>
        <w:rPr>
          <w:rFonts w:hint="eastAsia" w:ascii="楷体_GB2312" w:hAnsi="宋体" w:eastAsia="楷体_GB2312"/>
          <w:b/>
          <w:color w:val="000000"/>
          <w:sz w:val="28"/>
          <w:szCs w:val="28"/>
          <w:highlight w:val="none"/>
          <w:lang w:eastAsia="zh-CN"/>
        </w:rPr>
        <w:t>一</w:t>
      </w:r>
      <w:r>
        <w:rPr>
          <w:rFonts w:hint="eastAsia" w:ascii="楷体_GB2312" w:hAnsi="宋体" w:eastAsia="楷体_GB2312"/>
          <w:b/>
          <w:color w:val="000000"/>
          <w:sz w:val="28"/>
          <w:szCs w:val="28"/>
          <w:highlight w:val="none"/>
        </w:rPr>
        <w:t>）青岛中兖</w:t>
      </w:r>
    </w:p>
    <w:p>
      <w:pPr>
        <w:adjustRightInd w:val="0"/>
        <w:snapToGrid w:val="0"/>
        <w:spacing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青岛中兖于</w:t>
      </w:r>
      <w:r>
        <w:rPr>
          <w:rFonts w:ascii="宋体" w:hAnsi="宋体"/>
          <w:color w:val="000000"/>
          <w:sz w:val="28"/>
          <w:szCs w:val="28"/>
          <w:highlight w:val="none"/>
        </w:rPr>
        <w:t>1997</w:t>
      </w:r>
      <w:r>
        <w:rPr>
          <w:rFonts w:hint="eastAsia" w:ascii="宋体" w:hAnsi="宋体"/>
          <w:color w:val="000000"/>
          <w:sz w:val="28"/>
          <w:szCs w:val="28"/>
          <w:highlight w:val="none"/>
        </w:rPr>
        <w:t>年</w:t>
      </w:r>
      <w:r>
        <w:rPr>
          <w:rFonts w:ascii="宋体" w:hAnsi="宋体"/>
          <w:color w:val="000000"/>
          <w:sz w:val="28"/>
          <w:szCs w:val="28"/>
          <w:highlight w:val="none"/>
        </w:rPr>
        <w:t>12</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91370220163625005T</w:t>
      </w:r>
      <w:r>
        <w:rPr>
          <w:rFonts w:hint="eastAsia" w:ascii="宋体" w:hAnsi="宋体"/>
          <w:color w:val="000000"/>
          <w:sz w:val="28"/>
          <w:szCs w:val="28"/>
          <w:highlight w:val="none"/>
        </w:rPr>
        <w:t>，法定代表人岳良，注册资本金人民币</w:t>
      </w:r>
      <w:r>
        <w:rPr>
          <w:rFonts w:ascii="宋体" w:hAnsi="宋体"/>
          <w:color w:val="000000"/>
          <w:sz w:val="28"/>
          <w:szCs w:val="28"/>
          <w:highlight w:val="none"/>
        </w:rPr>
        <w:t>0.5</w:t>
      </w:r>
      <w:r>
        <w:rPr>
          <w:rFonts w:hint="eastAsia" w:ascii="宋体" w:hAnsi="宋体"/>
          <w:color w:val="000000"/>
          <w:sz w:val="28"/>
          <w:szCs w:val="28"/>
          <w:highlight w:val="none"/>
        </w:rPr>
        <w:t>亿元，主要从事货物进出口；进出口代理；技术进出口；电工器材销售等业务，为兖矿能源全资子公司，其</w:t>
      </w:r>
      <w:r>
        <w:rPr>
          <w:rFonts w:hint="eastAsia" w:ascii="宋体" w:hAnsi="宋体"/>
          <w:spacing w:val="-4"/>
          <w:sz w:val="28"/>
          <w:szCs w:val="28"/>
          <w:highlight w:val="none"/>
        </w:rPr>
        <w:t>主要财务指标如下（按中国会计准则编制）：</w:t>
      </w:r>
    </w:p>
    <w:p>
      <w:pPr>
        <w:spacing w:before="156" w:line="500" w:lineRule="exact"/>
        <w:ind w:firstLine="5983" w:firstLineChars="2962"/>
        <w:rPr>
          <w:rFonts w:ascii="宋体" w:hAnsi="宋体"/>
          <w:spacing w:val="-4"/>
          <w:szCs w:val="21"/>
          <w:highlight w:val="none"/>
        </w:rPr>
      </w:pP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ascii="宋体" w:hAnsi="宋体" w:cs="宋体"/>
                <w:szCs w:val="21"/>
                <w:highlight w:val="none"/>
              </w:rPr>
              <w:t>2022年</w:t>
            </w:r>
            <w:r>
              <w:rPr>
                <w:rFonts w:hint="eastAsia" w:ascii="宋体" w:hAnsi="宋体" w:cs="宋体"/>
                <w:szCs w:val="21"/>
                <w:highlight w:val="none"/>
              </w:rPr>
              <w:t>12月</w:t>
            </w:r>
            <w:r>
              <w:rPr>
                <w:rFonts w:ascii="宋体" w:hAnsi="宋体" w:cs="宋体"/>
                <w:szCs w:val="21"/>
                <w:highlight w:val="none"/>
              </w:rPr>
              <w:t>3</w:t>
            </w:r>
            <w:r>
              <w:rPr>
                <w:rFonts w:hint="eastAsia" w:ascii="宋体" w:hAnsi="宋体" w:cs="宋体"/>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ascii="宋体" w:hAnsi="宋体" w:cs="宋体"/>
                <w:szCs w:val="21"/>
                <w:highlight w:val="none"/>
              </w:rPr>
            </w:pPr>
            <w:r>
              <w:rPr>
                <w:rFonts w:ascii="宋体" w:hAnsi="宋体" w:cs="宋体"/>
                <w:szCs w:val="21"/>
                <w:highlight w:val="none"/>
              </w:rPr>
              <w:t>2021年12</w:t>
            </w:r>
            <w:r>
              <w:rPr>
                <w:rFonts w:hint="eastAsia" w:ascii="宋体" w:hAnsi="宋体" w:cs="宋体"/>
                <w:szCs w:val="21"/>
                <w:highlight w:val="none"/>
              </w:rPr>
              <w:t>月</w:t>
            </w:r>
            <w:r>
              <w:rPr>
                <w:rFonts w:ascii="宋体" w:hAnsi="宋体" w:cs="宋体"/>
                <w:szCs w:val="21"/>
                <w:highlight w:val="none"/>
              </w:rPr>
              <w:t>31</w:t>
            </w:r>
            <w:r>
              <w:rPr>
                <w:rFonts w:hint="eastAsia" w:ascii="宋体" w:hAnsi="宋体" w:cs="宋体"/>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highlight w:val="none"/>
              </w:rPr>
              <w:t>,</w:t>
            </w:r>
            <w:r>
              <w:rPr>
                <w:rFonts w:hint="eastAsia" w:ascii="宋体" w:hAnsi="宋体" w:cs="宋体"/>
                <w:color w:val="000000"/>
                <w:szCs w:val="21"/>
                <w:highlight w:val="none"/>
              </w:rPr>
              <w:t>329</w:t>
            </w:r>
            <w:r>
              <w:rPr>
                <w:rFonts w:ascii="宋体" w:hAnsi="宋体"/>
                <w:highlight w:val="none"/>
              </w:rPr>
              <w:t>,</w:t>
            </w:r>
            <w:r>
              <w:rPr>
                <w:rFonts w:hint="eastAsia" w:ascii="宋体" w:hAnsi="宋体" w:cs="宋体"/>
                <w:color w:val="000000"/>
                <w:szCs w:val="21"/>
                <w:highlight w:val="none"/>
              </w:rPr>
              <w:t>396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514,254</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highlight w:val="none"/>
              </w:rPr>
              <w:t>,</w:t>
            </w:r>
            <w:r>
              <w:rPr>
                <w:rFonts w:hint="eastAsia" w:ascii="宋体" w:hAnsi="宋体"/>
                <w:highlight w:val="none"/>
              </w:rPr>
              <w:t>359</w:t>
            </w:r>
            <w:r>
              <w:rPr>
                <w:rFonts w:ascii="宋体" w:hAnsi="宋体"/>
                <w:highlight w:val="none"/>
              </w:rPr>
              <w:t>,</w:t>
            </w:r>
            <w:r>
              <w:rPr>
                <w:rFonts w:hint="eastAsia" w:ascii="宋体" w:hAnsi="宋体"/>
                <w:highlight w:val="none"/>
              </w:rPr>
              <w:t>457</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525,952</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-30</w:t>
            </w:r>
            <w:r>
              <w:rPr>
                <w:rFonts w:ascii="宋体" w:hAnsi="宋体"/>
                <w:highlight w:val="none"/>
              </w:rPr>
              <w:t>,</w:t>
            </w:r>
            <w:r>
              <w:rPr>
                <w:rFonts w:hint="eastAsia" w:ascii="宋体" w:hAnsi="宋体"/>
                <w:highlight w:val="none"/>
              </w:rPr>
              <w:t>061</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-11,698</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color w:val="000000"/>
                <w:szCs w:val="21"/>
                <w:highlight w:val="none"/>
              </w:rPr>
            </w:pPr>
            <w:r>
              <w:rPr>
                <w:rFonts w:ascii="宋体" w:hAnsi="宋体" w:cs="宋体"/>
                <w:szCs w:val="21"/>
                <w:highlight w:val="none"/>
              </w:rPr>
              <w:t>2022年</w:t>
            </w:r>
            <w:r>
              <w:rPr>
                <w:rFonts w:hint="eastAsia" w:ascii="宋体" w:hAnsi="宋体" w:cs="宋体"/>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color w:val="000000"/>
                <w:szCs w:val="21"/>
                <w:highlight w:val="none"/>
              </w:rPr>
            </w:pPr>
            <w:r>
              <w:rPr>
                <w:rFonts w:ascii="宋体" w:hAnsi="宋体" w:cs="宋体"/>
                <w:szCs w:val="21"/>
                <w:highlight w:val="none"/>
              </w:rPr>
              <w:t>2021年度</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6</w:t>
            </w:r>
            <w:r>
              <w:rPr>
                <w:rFonts w:ascii="宋体" w:hAnsi="宋体"/>
                <w:highlight w:val="none"/>
              </w:rPr>
              <w:t>,</w:t>
            </w:r>
            <w:r>
              <w:rPr>
                <w:rFonts w:hint="eastAsia" w:ascii="宋体" w:hAnsi="宋体"/>
                <w:highlight w:val="none"/>
              </w:rPr>
              <w:t>539</w:t>
            </w:r>
            <w:r>
              <w:rPr>
                <w:rFonts w:ascii="宋体" w:hAnsi="宋体"/>
                <w:highlight w:val="none"/>
              </w:rPr>
              <w:t>,</w:t>
            </w:r>
            <w:r>
              <w:rPr>
                <w:rFonts w:hint="eastAsia" w:ascii="宋体" w:hAnsi="宋体"/>
                <w:highlight w:val="none"/>
              </w:rPr>
              <w:t>237</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12,170,868</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highlight w:val="none"/>
              </w:rPr>
              <w:t>,</w:t>
            </w:r>
            <w:r>
              <w:rPr>
                <w:rFonts w:hint="eastAsia" w:ascii="宋体" w:hAnsi="宋体"/>
                <w:highlight w:val="none"/>
              </w:rPr>
              <w:t>717</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-146,944</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-18</w:t>
            </w:r>
            <w:r>
              <w:rPr>
                <w:rFonts w:ascii="宋体" w:hAnsi="宋体"/>
                <w:highlight w:val="none"/>
              </w:rPr>
              <w:t>,</w:t>
            </w:r>
            <w:r>
              <w:rPr>
                <w:rFonts w:hint="eastAsia" w:ascii="宋体" w:hAnsi="宋体"/>
                <w:highlight w:val="none"/>
              </w:rPr>
              <w:t>362</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-153,296</w:t>
            </w:r>
          </w:p>
        </w:tc>
      </w:tr>
    </w:tbl>
    <w:p>
      <w:pPr>
        <w:adjustRightInd w:val="0"/>
        <w:snapToGrid w:val="0"/>
        <w:spacing w:beforeLines="50" w:afterLines="50" w:line="560" w:lineRule="exact"/>
        <w:ind w:firstLine="539"/>
        <w:rPr>
          <w:rFonts w:ascii="楷体_GB2312" w:hAnsi="宋体" w:eastAsia="楷体_GB2312"/>
          <w:b/>
          <w:sz w:val="28"/>
          <w:szCs w:val="28"/>
          <w:highlight w:val="none"/>
        </w:rPr>
      </w:pPr>
      <w:r>
        <w:rPr>
          <w:rFonts w:hint="eastAsia" w:ascii="楷体_GB2312" w:hAnsi="宋体" w:eastAsia="楷体_GB2312"/>
          <w:b/>
          <w:sz w:val="28"/>
          <w:szCs w:val="28"/>
          <w:highlight w:val="none"/>
        </w:rPr>
        <w:t>(二)</w:t>
      </w:r>
      <w:r>
        <w:rPr>
          <w:rFonts w:hint="eastAsia"/>
          <w:highlight w:val="none"/>
        </w:rPr>
        <w:t xml:space="preserve"> </w:t>
      </w:r>
      <w:r>
        <w:rPr>
          <w:rFonts w:hint="eastAsia" w:ascii="楷体_GB2312" w:hAnsi="宋体" w:eastAsia="楷体_GB2312"/>
          <w:b/>
          <w:sz w:val="28"/>
          <w:szCs w:val="28"/>
          <w:highlight w:val="none"/>
        </w:rPr>
        <w:t>担保协议主要内容</w:t>
      </w:r>
    </w:p>
    <w:p>
      <w:pPr>
        <w:adjustRightInd w:val="0"/>
        <w:snapToGrid w:val="0"/>
        <w:spacing w:beforeLines="50" w:afterLines="50" w:line="560" w:lineRule="exact"/>
        <w:ind w:firstLine="539"/>
        <w:rPr>
          <w:rFonts w:ascii="楷体_GB2312" w:hAnsi="宋体" w:eastAsia="楷体_GB2312"/>
          <w:b/>
          <w:sz w:val="28"/>
          <w:szCs w:val="28"/>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青岛中兖</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青岛银行股份有限公司经济技术开发区支行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3.00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2023年</w:t>
            </w:r>
            <w:r>
              <w:rPr>
                <w:rFonts w:hint="eastAsia" w:asciiTheme="minorEastAsia" w:hAnsiTheme="minorEastAsia" w:eastAsiaTheme="minorEastAsia"/>
                <w:bCs/>
                <w:color w:val="000000"/>
                <w:szCs w:val="21"/>
                <w:highlight w:val="none"/>
                <w:lang w:val="en-US" w:eastAsia="zh-CN"/>
              </w:rPr>
              <w:t>6</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24</w:t>
            </w:r>
            <w:r>
              <w:rPr>
                <w:rFonts w:hint="eastAsia" w:asciiTheme="minorEastAsia" w:hAnsiTheme="minorEastAsia" w:eastAsiaTheme="minorEastAsia"/>
                <w:bCs/>
                <w:color w:val="000000"/>
                <w:szCs w:val="21"/>
                <w:highlight w:val="none"/>
              </w:rPr>
              <w:t>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主债务履行届满之次日起三年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青岛中兖</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上海浦东发展银行股份有限公司青岛分行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1.50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2023年</w:t>
            </w:r>
            <w:r>
              <w:rPr>
                <w:rFonts w:hint="eastAsia" w:asciiTheme="minorEastAsia" w:hAnsiTheme="minorEastAsia" w:eastAsiaTheme="minorEastAsia"/>
                <w:bCs/>
                <w:color w:val="000000"/>
                <w:szCs w:val="21"/>
                <w:highlight w:val="none"/>
                <w:lang w:val="en-US" w:eastAsia="zh-CN"/>
              </w:rPr>
              <w:t>6</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26</w:t>
            </w:r>
            <w:r>
              <w:rPr>
                <w:rFonts w:hint="eastAsia" w:asciiTheme="minorEastAsia" w:hAnsiTheme="minorEastAsia" w:eastAsiaTheme="minorEastAsia"/>
                <w:bCs/>
                <w:color w:val="000000"/>
                <w:szCs w:val="21"/>
                <w:highlight w:val="none"/>
              </w:rPr>
              <w:t>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主债务履行届满之次日起三年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否</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公司董事会认为：公司董事已于20</w:t>
      </w:r>
      <w:r>
        <w:rPr>
          <w:rFonts w:ascii="宋体" w:hAnsi="宋体"/>
          <w:sz w:val="28"/>
          <w:szCs w:val="28"/>
          <w:highlight w:val="none"/>
        </w:rPr>
        <w:t>2</w:t>
      </w:r>
      <w:r>
        <w:rPr>
          <w:rFonts w:hint="eastAsia" w:ascii="宋体" w:hAnsi="宋体"/>
          <w:sz w:val="28"/>
          <w:szCs w:val="28"/>
          <w:highlight w:val="none"/>
        </w:rPr>
        <w:t>2年3月30日召开的第八届董事会第二十一次会议审议通过前述担保事项，独立董事发表了同意的独立意见，同时公司2</w:t>
      </w:r>
      <w:r>
        <w:rPr>
          <w:rFonts w:ascii="宋体" w:hAnsi="宋体"/>
          <w:sz w:val="28"/>
          <w:szCs w:val="28"/>
          <w:highlight w:val="none"/>
        </w:rPr>
        <w:t>021</w:t>
      </w:r>
      <w:r>
        <w:rPr>
          <w:rFonts w:hint="eastAsia" w:ascii="宋体" w:hAnsi="宋体"/>
          <w:sz w:val="28"/>
          <w:szCs w:val="28"/>
          <w:highlight w:val="none"/>
        </w:rPr>
        <w:t>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023</w:t>
      </w:r>
      <w:r>
        <w:rPr>
          <w:rFonts w:hint="eastAsia" w:ascii="宋体" w:hAnsi="宋体"/>
          <w:sz w:val="28"/>
          <w:szCs w:val="28"/>
          <w:highlight w:val="none"/>
        </w:rPr>
        <w:t>年</w:t>
      </w:r>
      <w:r>
        <w:rPr>
          <w:rFonts w:hint="eastAsia" w:ascii="宋体" w:hAnsi="宋体"/>
          <w:sz w:val="28"/>
          <w:szCs w:val="28"/>
          <w:highlight w:val="none"/>
          <w:lang w:val="en-US" w:eastAsia="zh-CN"/>
        </w:rPr>
        <w:t>6</w:t>
      </w:r>
      <w:r>
        <w:rPr>
          <w:rFonts w:hint="eastAsia" w:ascii="宋体" w:hAnsi="宋体"/>
          <w:sz w:val="28"/>
          <w:szCs w:val="28"/>
          <w:highlight w:val="none"/>
        </w:rPr>
        <w:t>月3</w:t>
      </w:r>
      <w:r>
        <w:rPr>
          <w:rFonts w:hint="eastAsia" w:ascii="宋体" w:hAnsi="宋体"/>
          <w:sz w:val="28"/>
          <w:szCs w:val="28"/>
          <w:highlight w:val="none"/>
          <w:lang w:val="en-US" w:eastAsia="zh-CN"/>
        </w:rPr>
        <w:t>0</w:t>
      </w:r>
      <w:r>
        <w:rPr>
          <w:rFonts w:hint="eastAsia" w:ascii="宋体" w:hAnsi="宋体"/>
          <w:sz w:val="28"/>
          <w:szCs w:val="28"/>
          <w:highlight w:val="none"/>
        </w:rPr>
        <w:t>日，公司累计对外担保余额为人民币</w:t>
      </w:r>
      <w:r>
        <w:rPr>
          <w:rFonts w:hint="eastAsia" w:ascii="宋体" w:hAnsi="宋体"/>
          <w:sz w:val="28"/>
          <w:szCs w:val="28"/>
          <w:highlight w:val="none"/>
          <w:lang w:val="en-US" w:eastAsia="zh-CN"/>
        </w:rPr>
        <w:t>229.19</w:t>
      </w:r>
      <w:r>
        <w:rPr>
          <w:rFonts w:hint="eastAsia" w:ascii="宋体" w:hAnsi="宋体"/>
          <w:sz w:val="28"/>
          <w:szCs w:val="28"/>
          <w:highlight w:val="none"/>
        </w:rPr>
        <w:t>亿元，占公司2022年按中国会计准则计算的经审计净资产人民币947.35亿元的</w:t>
      </w:r>
      <w:r>
        <w:rPr>
          <w:rFonts w:hint="eastAsia" w:ascii="宋体" w:hAnsi="宋体" w:eastAsia="宋体" w:cs="宋体"/>
          <w:sz w:val="28"/>
          <w:szCs w:val="28"/>
          <w:highlight w:val="none"/>
          <w:lang w:val="en-US" w:eastAsia="zh-CN"/>
        </w:rPr>
        <w:t>24.19</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ascii="宋体" w:hAnsi="宋体"/>
          <w:color w:val="000000"/>
          <w:sz w:val="28"/>
          <w:szCs w:val="28"/>
          <w:highlight w:val="none"/>
        </w:rPr>
      </w:pPr>
      <w:r>
        <w:rPr>
          <w:rFonts w:hint="eastAsia" w:ascii="宋体" w:hAnsi="宋体"/>
          <w:color w:val="000000"/>
          <w:sz w:val="28"/>
          <w:szCs w:val="28"/>
          <w:highlight w:val="none"/>
        </w:rPr>
        <w:t>20</w:t>
      </w:r>
      <w:r>
        <w:rPr>
          <w:rFonts w:ascii="宋体" w:hAnsi="宋体"/>
          <w:color w:val="000000"/>
          <w:sz w:val="28"/>
          <w:szCs w:val="28"/>
          <w:highlight w:val="none"/>
        </w:rPr>
        <w:t>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7</w:t>
      </w:r>
      <w:r>
        <w:rPr>
          <w:rFonts w:hint="eastAsia" w:ascii="宋体" w:hAnsi="宋体"/>
          <w:color w:val="000000"/>
          <w:sz w:val="28"/>
          <w:szCs w:val="28"/>
          <w:highlight w:val="none"/>
        </w:rPr>
        <w:t>月2</w:t>
      </w:r>
      <w:r>
        <w:rPr>
          <w:rFonts w:hint="eastAsia" w:ascii="宋体" w:hAnsi="宋体"/>
          <w:color w:val="000000"/>
          <w:sz w:val="28"/>
          <w:szCs w:val="28"/>
          <w:highlight w:val="none"/>
          <w:lang w:val="en-US" w:eastAsia="zh-CN"/>
        </w:rPr>
        <w:t>5</w:t>
      </w:r>
      <w:bookmarkStart w:id="1" w:name="_GoBack"/>
      <w:bookmarkEnd w:id="1"/>
      <w:r>
        <w:rPr>
          <w:rFonts w:hint="eastAsia" w:ascii="宋体" w:hAnsi="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13F094A"/>
    <w:rsid w:val="10F717E4"/>
    <w:rsid w:val="1130228A"/>
    <w:rsid w:val="14FB5E21"/>
    <w:rsid w:val="176470DA"/>
    <w:rsid w:val="1CFC6D65"/>
    <w:rsid w:val="234A2E0A"/>
    <w:rsid w:val="2E693F71"/>
    <w:rsid w:val="2FFE04CB"/>
    <w:rsid w:val="31850200"/>
    <w:rsid w:val="48947988"/>
    <w:rsid w:val="4FD35314"/>
    <w:rsid w:val="55AC5928"/>
    <w:rsid w:val="5D5D3774"/>
    <w:rsid w:val="5DE007BC"/>
    <w:rsid w:val="5F7234E9"/>
    <w:rsid w:val="650B1370"/>
    <w:rsid w:val="70715C7C"/>
    <w:rsid w:val="74845CC0"/>
    <w:rsid w:val="75CD7A22"/>
    <w:rsid w:val="76FF13B0"/>
    <w:rsid w:val="783A4F04"/>
    <w:rsid w:val="7B2A7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Colorful 2"/>
    <w:basedOn w:val="14"/>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Char"/>
    <w:link w:val="10"/>
    <w:qFormat/>
    <w:uiPriority w:val="0"/>
    <w:rPr>
      <w:kern w:val="2"/>
      <w:sz w:val="18"/>
      <w:szCs w:val="18"/>
    </w:rPr>
  </w:style>
  <w:style w:type="character" w:customStyle="1" w:styleId="28">
    <w:name w:val="批注文字 Char"/>
    <w:link w:val="3"/>
    <w:semiHidden/>
    <w:qFormat/>
    <w:uiPriority w:val="99"/>
    <w:rPr>
      <w:kern w:val="2"/>
      <w:sz w:val="21"/>
    </w:rPr>
  </w:style>
  <w:style w:type="character" w:customStyle="1" w:styleId="29">
    <w:name w:val="日期 Char"/>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1930</Words>
  <Characters>2204</Characters>
  <Lines>26</Lines>
  <Paragraphs>7</Paragraphs>
  <TotalTime>1150</TotalTime>
  <ScaleCrop>false</ScaleCrop>
  <LinksUpToDate>false</LinksUpToDate>
  <CharactersWithSpaces>2233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许玉崑</cp:lastModifiedBy>
  <cp:lastPrinted>2023-02-17T06:33:00Z</cp:lastPrinted>
  <dcterms:modified xsi:type="dcterms:W3CDTF">2023-07-25T09:10:15Z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</vt:lpwstr>
  </property>
  <property fmtid="{D5CDD505-2E9C-101B-9397-08002B2CF9AE}" pid="3" name="KSOProductBuildVer">
    <vt:lpwstr>2052-11.1.0.14309</vt:lpwstr>
  </property>
  <property fmtid="{D5CDD505-2E9C-101B-9397-08002B2CF9AE}" pid="4" name="ICV">
    <vt:lpwstr>4EA99C28832C4851B44D66A2A23BD36A_13</vt:lpwstr>
  </property>
</Properties>
</file>