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黑体" w:hAnsi="黑体" w:eastAsia="黑体"/>
          <w:bCs/>
          <w:color w:val="000000"/>
          <w:szCs w:val="20"/>
          <w:lang w:val="en-US" w:eastAsia="zh-CN"/>
        </w:rPr>
      </w:pPr>
      <w:r>
        <w:rPr>
          <w:rFonts w:hint="eastAsia" w:ascii="黑体" w:hAnsi="黑体" w:eastAsia="黑体"/>
          <w:bCs/>
          <w:color w:val="000000"/>
          <w:szCs w:val="20"/>
        </w:rPr>
        <w:t>股票代码：600188</w:t>
      </w:r>
      <w:r>
        <w:rPr>
          <w:rFonts w:hint="eastAsia" w:ascii="黑体" w:hAnsi="黑体" w:eastAsia="黑体"/>
          <w:bCs/>
          <w:color w:val="000000"/>
          <w:szCs w:val="20"/>
        </w:rPr>
        <w:tab/>
      </w:r>
      <w:r>
        <w:rPr>
          <w:rFonts w:hint="eastAsia" w:ascii="黑体" w:hAnsi="黑体" w:eastAsia="黑体"/>
          <w:bCs/>
          <w:color w:val="000000"/>
          <w:szCs w:val="20"/>
        </w:rPr>
        <w:tab/>
      </w:r>
      <w:r>
        <w:rPr>
          <w:rFonts w:hint="eastAsia" w:ascii="黑体" w:hAnsi="黑体" w:eastAsia="黑体"/>
          <w:bCs/>
          <w:color w:val="000000"/>
          <w:szCs w:val="20"/>
        </w:rPr>
        <w:tab/>
      </w:r>
      <w:r>
        <w:rPr>
          <w:rFonts w:eastAsia="黑体" w:cs="Calibri"/>
          <w:bCs/>
          <w:color w:val="000000"/>
          <w:szCs w:val="20"/>
        </w:rPr>
        <w:t> </w:t>
      </w:r>
      <w:r>
        <w:rPr>
          <w:rFonts w:hint="eastAsia" w:ascii="黑体" w:hAnsi="黑体" w:eastAsia="黑体"/>
          <w:bCs/>
          <w:color w:val="000000"/>
          <w:szCs w:val="20"/>
        </w:rPr>
        <w:t>股票简称：兖矿能源</w:t>
      </w:r>
      <w:r>
        <w:rPr>
          <w:rFonts w:hint="eastAsia" w:ascii="黑体" w:hAnsi="黑体" w:eastAsia="黑体"/>
          <w:bCs/>
          <w:color w:val="000000"/>
          <w:szCs w:val="20"/>
        </w:rPr>
        <w:tab/>
      </w:r>
      <w:r>
        <w:rPr>
          <w:rFonts w:hint="eastAsia" w:ascii="黑体" w:hAnsi="黑体" w:eastAsia="黑体"/>
          <w:bCs/>
          <w:color w:val="000000"/>
          <w:szCs w:val="20"/>
        </w:rPr>
        <w:tab/>
      </w:r>
      <w:r>
        <w:rPr>
          <w:rFonts w:hint="eastAsia" w:ascii="黑体" w:hAnsi="黑体" w:eastAsia="黑体"/>
          <w:bCs/>
          <w:color w:val="000000"/>
          <w:szCs w:val="20"/>
        </w:rPr>
        <w:tab/>
      </w:r>
      <w:r>
        <w:rPr>
          <w:rFonts w:hint="eastAsia" w:ascii="黑体" w:hAnsi="黑体" w:eastAsia="黑体"/>
          <w:bCs/>
          <w:color w:val="000000"/>
          <w:szCs w:val="20"/>
        </w:rPr>
        <w:t>编号：临20</w:t>
      </w:r>
      <w:r>
        <w:rPr>
          <w:rFonts w:ascii="黑体" w:hAnsi="黑体" w:eastAsia="黑体"/>
          <w:bCs/>
          <w:color w:val="000000"/>
          <w:szCs w:val="20"/>
        </w:rPr>
        <w:t>2</w:t>
      </w:r>
      <w:r>
        <w:rPr>
          <w:rFonts w:hint="eastAsia" w:ascii="黑体" w:hAnsi="黑体" w:eastAsia="黑体"/>
          <w:bCs/>
          <w:color w:val="000000"/>
          <w:szCs w:val="20"/>
        </w:rPr>
        <w:t>3-</w:t>
      </w:r>
      <w:r>
        <w:rPr>
          <w:rFonts w:hint="eastAsia" w:ascii="黑体" w:hAnsi="黑体" w:eastAsia="黑体"/>
          <w:bCs/>
          <w:color w:val="000000"/>
          <w:szCs w:val="20"/>
          <w:lang w:val="en-US" w:eastAsia="zh-CN"/>
        </w:rPr>
        <w:t>043</w:t>
      </w:r>
    </w:p>
    <w:p>
      <w:pPr>
        <w:widowControl/>
        <w:spacing w:line="360" w:lineRule="auto"/>
        <w:ind w:firstLine="480"/>
        <w:jc w:val="left"/>
        <w:rPr>
          <w:rFonts w:ascii="黑体" w:hAnsi="黑体" w:eastAsia="黑体" w:cs="宋体"/>
          <w:color w:val="000000"/>
          <w:kern w:val="0"/>
          <w:sz w:val="36"/>
          <w:szCs w:val="36"/>
        </w:rPr>
      </w:pPr>
    </w:p>
    <w:p>
      <w:pPr>
        <w:spacing w:line="560" w:lineRule="exact"/>
        <w:jc w:val="center"/>
        <w:rPr>
          <w:rFonts w:ascii="黑体" w:hAnsi="Times New Roman" w:eastAsia="黑体"/>
          <w:b/>
          <w:color w:val="FF0000"/>
          <w:sz w:val="36"/>
          <w:szCs w:val="36"/>
        </w:rPr>
      </w:pPr>
      <w:r>
        <w:rPr>
          <w:rFonts w:hint="eastAsia" w:ascii="黑体" w:hAnsi="Times New Roman" w:eastAsia="黑体"/>
          <w:b/>
          <w:color w:val="FF0000"/>
          <w:sz w:val="36"/>
          <w:szCs w:val="36"/>
        </w:rPr>
        <w:t>兖矿能源集团股份有限公司</w:t>
      </w:r>
      <w:bookmarkStart w:id="0" w:name="_GoBack"/>
      <w:bookmarkEnd w:id="0"/>
    </w:p>
    <w:p>
      <w:pPr>
        <w:spacing w:line="560" w:lineRule="exact"/>
        <w:jc w:val="center"/>
        <w:rPr>
          <w:rFonts w:ascii="黑体" w:hAnsi="Times New Roman" w:eastAsia="黑体"/>
          <w:b/>
          <w:color w:val="FF0000"/>
          <w:sz w:val="36"/>
          <w:szCs w:val="36"/>
        </w:rPr>
      </w:pPr>
      <w:r>
        <w:rPr>
          <w:rFonts w:hint="eastAsia" w:ascii="黑体" w:hAnsi="Times New Roman" w:eastAsia="黑体"/>
          <w:b/>
          <w:color w:val="FF0000"/>
          <w:sz w:val="36"/>
          <w:szCs w:val="36"/>
        </w:rPr>
        <w:t>关于确定2023-2025年度利润分配政策的公告</w:t>
      </w:r>
    </w:p>
    <w:p>
      <w:pPr>
        <w:widowControl/>
        <w:spacing w:line="360" w:lineRule="auto"/>
        <w:jc w:val="center"/>
        <w:rPr>
          <w:rFonts w:cs="宋体" w:asciiTheme="minorEastAsia" w:hAnsiTheme="minorEastAsia" w:eastAsiaTheme="minorEastAsia"/>
          <w:color w:val="000000"/>
          <w:kern w:val="0"/>
          <w:sz w:val="24"/>
          <w:szCs w:val="24"/>
        </w:rPr>
      </w:pPr>
    </w:p>
    <w:p>
      <w:pPr>
        <w:widowControl/>
        <w:pBdr>
          <w:top w:val="single" w:color="auto" w:sz="4" w:space="1"/>
          <w:left w:val="single" w:color="auto" w:sz="4" w:space="4"/>
          <w:bottom w:val="single" w:color="auto" w:sz="4" w:space="1"/>
          <w:right w:val="single" w:color="auto" w:sz="4" w:space="4"/>
        </w:pBdr>
        <w:spacing w:line="500" w:lineRule="exact"/>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4"/>
          <w:szCs w:val="24"/>
        </w:rPr>
        <w:t>　　</w:t>
      </w:r>
      <w:r>
        <w:rPr>
          <w:rFonts w:hint="eastAsia" w:cs="宋体" w:asciiTheme="minorEastAsia" w:hAnsiTheme="minorEastAsia" w:eastAsiaTheme="minorEastAsia"/>
          <w:color w:val="000000"/>
          <w:kern w:val="0"/>
          <w:sz w:val="28"/>
          <w:szCs w:val="28"/>
        </w:rPr>
        <w:t>本公司董事会及全体董事保证本公告内容不存在任何虚假记载、误导性陈述或者重大遗漏，并对其内容的真实性、准确性和完整性承担法律责任。</w:t>
      </w:r>
    </w:p>
    <w:p>
      <w:pPr>
        <w:pStyle w:val="2"/>
        <w:ind w:firstLine="536"/>
        <w:rPr>
          <w:sz w:val="28"/>
          <w:szCs w:val="28"/>
        </w:rPr>
      </w:pPr>
    </w:p>
    <w:p>
      <w:pPr>
        <w:pStyle w:val="2"/>
        <w:spacing w:line="520" w:lineRule="exact"/>
        <w:ind w:firstLine="536"/>
        <w:rPr>
          <w:rFonts w:cs="宋体" w:asciiTheme="minorEastAsia" w:hAnsiTheme="minorEastAsia" w:eastAsiaTheme="minorEastAsia"/>
          <w:b/>
          <w:color w:val="000000"/>
          <w:kern w:val="0"/>
          <w:sz w:val="28"/>
          <w:szCs w:val="28"/>
        </w:rPr>
      </w:pPr>
      <w:r>
        <w:rPr>
          <w:sz w:val="28"/>
          <w:szCs w:val="28"/>
        </w:rPr>
        <w:t>重要内容提示：</w:t>
      </w:r>
      <w:r>
        <w:rPr>
          <w:rFonts w:cs="宋体" w:asciiTheme="minorEastAsia" w:hAnsiTheme="minorEastAsia" w:eastAsiaTheme="minorEastAsia"/>
          <w:b/>
          <w:color w:val="000000"/>
          <w:kern w:val="0"/>
          <w:sz w:val="28"/>
          <w:szCs w:val="28"/>
        </w:rPr>
        <w:t xml:space="preserve"> </w:t>
      </w:r>
    </w:p>
    <w:p>
      <w:pPr>
        <w:spacing w:line="520" w:lineRule="exact"/>
        <w:ind w:firstLine="536" w:firstLineChars="200"/>
        <w:rPr>
          <w:rFonts w:ascii="宋体" w:hAnsi="宋体" w:cstheme="minorBidi"/>
          <w:spacing w:val="-6"/>
          <w:sz w:val="28"/>
          <w:szCs w:val="28"/>
        </w:rPr>
      </w:pPr>
      <w:r>
        <w:rPr>
          <w:rFonts w:hint="eastAsia" w:ascii="宋体" w:hAnsi="宋体" w:cstheme="minorBidi"/>
          <w:spacing w:val="-6"/>
          <w:sz w:val="28"/>
          <w:szCs w:val="28"/>
        </w:rPr>
        <w:t>兖矿能源集团股份有限公司（“本公司”“公司”）拟确定2023-2025年度利润分配政策。在符合《公司章程》规定的情形下，2023-2025年各会计年度分配的现金股利总额，以中国会计准则和国际财务报告准则财务报表税后利润数较少者为准，应占公司该年度扣除法定储备后净利润的约百分之六十，且每股现金股利不低于人民币0.5元。</w:t>
      </w:r>
    </w:p>
    <w:p>
      <w:pPr>
        <w:widowControl/>
        <w:spacing w:line="520" w:lineRule="exact"/>
        <w:ind w:left="120"/>
        <w:jc w:val="left"/>
        <w:rPr>
          <w:rFonts w:ascii="宋体" w:hAnsi="宋体" w:cs="宋体"/>
          <w:color w:val="000000"/>
          <w:kern w:val="0"/>
          <w:sz w:val="28"/>
          <w:szCs w:val="28"/>
        </w:rPr>
      </w:pPr>
    </w:p>
    <w:p>
      <w:pPr>
        <w:spacing w:line="520" w:lineRule="exact"/>
        <w:ind w:firstLine="536" w:firstLineChars="200"/>
        <w:rPr>
          <w:rFonts w:ascii="宋体" w:hAnsi="宋体" w:cstheme="minorBidi"/>
          <w:spacing w:val="-6"/>
          <w:sz w:val="28"/>
          <w:szCs w:val="28"/>
        </w:rPr>
      </w:pPr>
      <w:r>
        <w:rPr>
          <w:rFonts w:hint="eastAsia" w:ascii="宋体" w:hAnsi="宋体" w:cstheme="minorBidi"/>
          <w:spacing w:val="-6"/>
          <w:sz w:val="28"/>
          <w:szCs w:val="28"/>
        </w:rPr>
        <w:t>为提高股东回报,与投资者共享发展成果，根据《公司法》、《证券法》、中国证监会《关于进一步落实上市公司现金分红有关事项的通知》（证监发〔2012〕37号）、《上市公司监管指引第3号—上市公司现金分红（2022年修订）》（证监会公告〔2022〕3号）、《上海证券交易所上市公司现金分红指引》（上证公字〔2013〕1号）等有关法律、法规、规范性文件，以及《公司章程》等相关规定</w:t>
      </w:r>
      <w:r>
        <w:rPr>
          <w:rFonts w:ascii="宋体" w:hAnsi="宋体" w:cstheme="minorBidi"/>
          <w:spacing w:val="-6"/>
          <w:sz w:val="28"/>
          <w:szCs w:val="28"/>
        </w:rPr>
        <w:t>，本公司</w:t>
      </w:r>
      <w:r>
        <w:rPr>
          <w:rFonts w:hint="eastAsia" w:ascii="宋体" w:hAnsi="宋体" w:cstheme="minorBidi"/>
          <w:spacing w:val="-6"/>
          <w:sz w:val="28"/>
          <w:szCs w:val="28"/>
        </w:rPr>
        <w:t>拟确定2023-2025年度利润分配政策</w:t>
      </w:r>
      <w:r>
        <w:rPr>
          <w:rFonts w:ascii="宋体" w:hAnsi="宋体" w:cstheme="minorBidi"/>
          <w:spacing w:val="-6"/>
          <w:sz w:val="28"/>
          <w:szCs w:val="28"/>
        </w:rPr>
        <w:t>。</w:t>
      </w:r>
    </w:p>
    <w:p>
      <w:pPr>
        <w:pStyle w:val="2"/>
        <w:spacing w:line="520" w:lineRule="exact"/>
        <w:ind w:firstLine="536"/>
        <w:rPr>
          <w:sz w:val="28"/>
          <w:szCs w:val="28"/>
        </w:rPr>
      </w:pPr>
      <w:r>
        <w:rPr>
          <w:sz w:val="28"/>
          <w:szCs w:val="28"/>
        </w:rPr>
        <w:t>一、</w:t>
      </w:r>
      <w:r>
        <w:rPr>
          <w:rFonts w:hint="eastAsia"/>
          <w:sz w:val="28"/>
          <w:szCs w:val="28"/>
        </w:rPr>
        <w:t>现行利润分配政策</w:t>
      </w:r>
      <w:r>
        <w:rPr>
          <w:sz w:val="28"/>
          <w:szCs w:val="28"/>
        </w:rPr>
        <w:t xml:space="preserve"> </w:t>
      </w:r>
    </w:p>
    <w:p>
      <w:pPr>
        <w:spacing w:line="520" w:lineRule="exact"/>
        <w:ind w:firstLine="536" w:firstLineChars="200"/>
        <w:rPr>
          <w:rFonts w:ascii="宋体" w:hAnsi="宋体" w:cstheme="minorBidi"/>
          <w:spacing w:val="-6"/>
          <w:sz w:val="28"/>
          <w:szCs w:val="28"/>
        </w:rPr>
      </w:pPr>
      <w:r>
        <w:rPr>
          <w:rFonts w:hint="eastAsia" w:ascii="宋体" w:hAnsi="宋体" w:cstheme="minorBidi"/>
          <w:spacing w:val="-6"/>
          <w:sz w:val="28"/>
          <w:szCs w:val="28"/>
        </w:rPr>
        <w:t>根据《公司章程》规定，公司在每个会计年度分配的现金股利总额，应占公司该年度扣除法定储备后净利润的约百分之三十五。</w:t>
      </w:r>
    </w:p>
    <w:p>
      <w:pPr>
        <w:spacing w:line="520" w:lineRule="exact"/>
        <w:ind w:firstLine="536" w:firstLineChars="200"/>
        <w:rPr>
          <w:rFonts w:ascii="宋体" w:hAnsi="宋体" w:cstheme="minorBidi"/>
          <w:spacing w:val="-6"/>
          <w:sz w:val="28"/>
          <w:szCs w:val="28"/>
        </w:rPr>
      </w:pPr>
      <w:r>
        <w:rPr>
          <w:rFonts w:hint="eastAsia" w:ascii="宋体" w:hAnsi="宋体" w:cstheme="minorBidi"/>
          <w:spacing w:val="-6"/>
          <w:sz w:val="28"/>
          <w:szCs w:val="28"/>
        </w:rPr>
        <w:t>经2020年12月9日召开的股东大会审议批准，公司2020</w:t>
      </w:r>
      <w:r>
        <w:rPr>
          <w:rFonts w:hint="eastAsia"/>
          <w:sz w:val="28"/>
          <w:szCs w:val="28"/>
        </w:rPr>
        <w:t>-</w:t>
      </w:r>
      <w:r>
        <w:rPr>
          <w:rFonts w:hint="eastAsia" w:ascii="宋体" w:hAnsi="宋体" w:cstheme="minorBidi"/>
          <w:spacing w:val="-6"/>
          <w:sz w:val="28"/>
          <w:szCs w:val="28"/>
        </w:rPr>
        <w:t>2024年度利润分配政策确定为：以中国会计准则和国际财务报告准则财务报表税后利润数较少者为准，公司在各会计年度分配的现金股利总额，应占公司该年度扣除法定储备后净利润的约百分之五十，且每股现金股利不低于人民币0.5元。</w:t>
      </w:r>
    </w:p>
    <w:p>
      <w:pPr>
        <w:pStyle w:val="2"/>
        <w:spacing w:line="520" w:lineRule="exact"/>
        <w:ind w:firstLine="536"/>
        <w:rPr>
          <w:sz w:val="28"/>
          <w:szCs w:val="28"/>
        </w:rPr>
      </w:pPr>
      <w:r>
        <w:rPr>
          <w:sz w:val="28"/>
          <w:szCs w:val="28"/>
        </w:rPr>
        <w:t>二、</w:t>
      </w:r>
      <w:r>
        <w:rPr>
          <w:rFonts w:hint="eastAsia"/>
          <w:sz w:val="28"/>
          <w:szCs w:val="28"/>
        </w:rPr>
        <w:t>2023-2025年度利润分配政策</w:t>
      </w:r>
    </w:p>
    <w:p>
      <w:pPr>
        <w:spacing w:line="520" w:lineRule="exact"/>
        <w:ind w:firstLine="536" w:firstLineChars="200"/>
        <w:rPr>
          <w:rFonts w:ascii="宋体" w:hAnsi="宋体" w:cstheme="minorBidi"/>
          <w:spacing w:val="-6"/>
          <w:sz w:val="28"/>
          <w:szCs w:val="28"/>
        </w:rPr>
      </w:pPr>
      <w:r>
        <w:rPr>
          <w:rFonts w:hint="eastAsia" w:ascii="宋体" w:hAnsi="宋体" w:cstheme="minorBidi"/>
          <w:spacing w:val="-6"/>
          <w:sz w:val="28"/>
          <w:szCs w:val="28"/>
        </w:rPr>
        <w:t>着眼于企业的长远和可持续发展，在综合考虑公司实际经营情况、发展战略、股东意愿、社会资金成本、外部融资环境等因素的基础上，公司拟将2023-2025年度利润分配政策确定为：以中国会计准则和国际财务报告准则财务报表税后利润数较少者为准，公司在各会计年度分配的现金股利总额，应占公司该年度扣除法定储备后净利润的约百分之六十，且每股现金股利不低于人民币0.5元。</w:t>
      </w:r>
    </w:p>
    <w:p>
      <w:pPr>
        <w:pStyle w:val="2"/>
        <w:spacing w:line="520" w:lineRule="exact"/>
        <w:ind w:firstLine="536"/>
        <w:rPr>
          <w:rFonts w:cs="宋体" w:asciiTheme="minorEastAsia" w:hAnsiTheme="minorEastAsia" w:eastAsiaTheme="minorEastAsia"/>
          <w:b/>
          <w:color w:val="000000"/>
          <w:kern w:val="0"/>
          <w:sz w:val="28"/>
          <w:szCs w:val="28"/>
        </w:rPr>
      </w:pPr>
      <w:r>
        <w:rPr>
          <w:sz w:val="28"/>
          <w:szCs w:val="28"/>
        </w:rPr>
        <w:t xml:space="preserve">三、对公司的影响 </w:t>
      </w:r>
    </w:p>
    <w:p>
      <w:pPr>
        <w:spacing w:line="520" w:lineRule="exact"/>
        <w:ind w:firstLine="536" w:firstLineChars="200"/>
        <w:rPr>
          <w:rFonts w:ascii="宋体" w:hAnsi="宋体" w:cstheme="minorBidi"/>
          <w:spacing w:val="-6"/>
          <w:sz w:val="28"/>
          <w:szCs w:val="28"/>
        </w:rPr>
      </w:pPr>
      <w:r>
        <w:rPr>
          <w:rFonts w:ascii="宋体" w:hAnsi="宋体" w:cstheme="minorBidi"/>
          <w:spacing w:val="-6"/>
          <w:sz w:val="28"/>
          <w:szCs w:val="28"/>
        </w:rPr>
        <w:t>结合本公司实际情况和资本开支计划，</w:t>
      </w:r>
      <w:r>
        <w:rPr>
          <w:rFonts w:hint="eastAsia" w:ascii="宋体" w:hAnsi="宋体" w:cstheme="minorBidi"/>
          <w:spacing w:val="-6"/>
          <w:sz w:val="28"/>
          <w:szCs w:val="28"/>
        </w:rPr>
        <w:t>2023-2025年度利润分配政策</w:t>
      </w:r>
      <w:r>
        <w:rPr>
          <w:rFonts w:ascii="宋体" w:hAnsi="宋体" w:cstheme="minorBidi"/>
          <w:spacing w:val="-6"/>
          <w:sz w:val="28"/>
          <w:szCs w:val="28"/>
        </w:rPr>
        <w:t>将不会影响本公司的日常经营。</w:t>
      </w:r>
    </w:p>
    <w:p>
      <w:pPr>
        <w:pStyle w:val="2"/>
        <w:spacing w:line="520" w:lineRule="exact"/>
        <w:ind w:firstLine="536"/>
        <w:rPr>
          <w:sz w:val="28"/>
          <w:szCs w:val="28"/>
        </w:rPr>
      </w:pPr>
      <w:r>
        <w:rPr>
          <w:sz w:val="28"/>
          <w:szCs w:val="28"/>
        </w:rPr>
        <w:t>四、</w:t>
      </w:r>
      <w:r>
        <w:rPr>
          <w:rFonts w:hint="eastAsia"/>
          <w:sz w:val="28"/>
          <w:szCs w:val="28"/>
        </w:rPr>
        <w:t>应</w:t>
      </w:r>
      <w:r>
        <w:rPr>
          <w:sz w:val="28"/>
          <w:szCs w:val="28"/>
        </w:rPr>
        <w:t xml:space="preserve">履行的审议程序 </w:t>
      </w:r>
    </w:p>
    <w:p>
      <w:pPr>
        <w:spacing w:line="520" w:lineRule="exact"/>
        <w:ind w:firstLine="536" w:firstLineChars="200"/>
        <w:rPr>
          <w:rFonts w:ascii="宋体" w:hAnsi="宋体" w:cstheme="minorBidi"/>
          <w:spacing w:val="-6"/>
          <w:sz w:val="28"/>
          <w:szCs w:val="28"/>
        </w:rPr>
      </w:pPr>
      <w:r>
        <w:rPr>
          <w:rFonts w:hint="eastAsia" w:ascii="宋体" w:hAnsi="宋体" w:cstheme="minorBidi"/>
          <w:spacing w:val="-6"/>
          <w:sz w:val="28"/>
          <w:szCs w:val="28"/>
        </w:rPr>
        <w:t>2023-2025年度利润分配政策已经公司第九届董事会第一次会议和第九届监事会第一次会议审议通过，独立董事发表了同意的独立意见，尚需提交公司股东大会审议。</w:t>
      </w:r>
    </w:p>
    <w:p>
      <w:pPr>
        <w:spacing w:line="520" w:lineRule="exact"/>
        <w:ind w:firstLine="536" w:firstLineChars="200"/>
        <w:rPr>
          <w:rFonts w:ascii="宋体" w:hAnsi="宋体" w:cstheme="minorBidi"/>
          <w:spacing w:val="-6"/>
          <w:sz w:val="28"/>
          <w:szCs w:val="28"/>
        </w:rPr>
      </w:pPr>
    </w:p>
    <w:p>
      <w:pPr>
        <w:spacing w:line="520" w:lineRule="exact"/>
        <w:ind w:firstLine="536" w:firstLineChars="200"/>
        <w:rPr>
          <w:rFonts w:ascii="宋体" w:hAnsi="宋体" w:cstheme="minorBidi"/>
          <w:spacing w:val="-6"/>
          <w:sz w:val="28"/>
          <w:szCs w:val="28"/>
        </w:rPr>
      </w:pPr>
      <w:r>
        <w:rPr>
          <w:rFonts w:ascii="宋体" w:hAnsi="宋体" w:cstheme="minorBidi"/>
          <w:spacing w:val="-6"/>
          <w:sz w:val="28"/>
          <w:szCs w:val="28"/>
        </w:rPr>
        <w:t>特此公告。</w:t>
      </w:r>
    </w:p>
    <w:p>
      <w:pPr>
        <w:widowControl/>
        <w:spacing w:line="520" w:lineRule="exact"/>
        <w:ind w:firstLine="560" w:firstLineChars="200"/>
        <w:jc w:val="left"/>
        <w:rPr>
          <w:rFonts w:cs="宋体" w:asciiTheme="minorEastAsia" w:hAnsiTheme="minorEastAsia" w:eastAsiaTheme="minorEastAsia"/>
          <w:color w:val="000000"/>
          <w:kern w:val="0"/>
          <w:sz w:val="28"/>
          <w:szCs w:val="28"/>
        </w:rPr>
      </w:pPr>
    </w:p>
    <w:p>
      <w:pPr>
        <w:spacing w:line="520" w:lineRule="exact"/>
        <w:ind w:firstLine="536" w:firstLineChars="200"/>
        <w:jc w:val="right"/>
        <w:rPr>
          <w:rFonts w:ascii="宋体" w:hAnsi="宋体" w:cstheme="minorBidi"/>
          <w:spacing w:val="-6"/>
          <w:sz w:val="28"/>
          <w:szCs w:val="28"/>
        </w:rPr>
      </w:pPr>
    </w:p>
    <w:p>
      <w:pPr>
        <w:spacing w:line="520" w:lineRule="exact"/>
        <w:ind w:firstLine="536" w:firstLineChars="200"/>
        <w:jc w:val="right"/>
        <w:rPr>
          <w:rFonts w:ascii="宋体" w:hAnsi="宋体" w:cstheme="minorBidi"/>
          <w:spacing w:val="-6"/>
          <w:sz w:val="28"/>
          <w:szCs w:val="28"/>
        </w:rPr>
      </w:pPr>
      <w:r>
        <w:rPr>
          <w:rFonts w:hint="eastAsia" w:ascii="宋体" w:hAnsi="宋体" w:cstheme="minorBidi"/>
          <w:spacing w:val="-6"/>
          <w:sz w:val="28"/>
          <w:szCs w:val="28"/>
        </w:rPr>
        <w:t>兖矿能源集团股份有限公司董事会</w:t>
      </w:r>
    </w:p>
    <w:p>
      <w:pPr>
        <w:spacing w:line="520" w:lineRule="exact"/>
        <w:ind w:firstLine="536" w:firstLineChars="200"/>
        <w:jc w:val="right"/>
        <w:rPr>
          <w:rFonts w:ascii="宋体" w:hAnsi="宋体" w:cstheme="minorBidi"/>
          <w:spacing w:val="-6"/>
          <w:sz w:val="28"/>
          <w:szCs w:val="28"/>
        </w:rPr>
      </w:pPr>
      <w:r>
        <w:rPr>
          <w:rFonts w:hint="eastAsia" w:ascii="宋体" w:hAnsi="宋体" w:cstheme="minorBidi"/>
          <w:spacing w:val="-6"/>
          <w:sz w:val="28"/>
          <w:szCs w:val="28"/>
        </w:rPr>
        <w:t>2023年6月30日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54610"/>
    </w:sdtPr>
    <w:sdtContent>
      <w:p>
        <w:pPr>
          <w:pStyle w:val="6"/>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mY2NjOWZkMzhlYWI0MWRhODhiNmQxNGI1NDMzYzEifQ=="/>
  </w:docVars>
  <w:rsids>
    <w:rsidRoot w:val="00793542"/>
    <w:rsid w:val="0001493D"/>
    <w:rsid w:val="00041D1E"/>
    <w:rsid w:val="00043100"/>
    <w:rsid w:val="0004710B"/>
    <w:rsid w:val="000654EE"/>
    <w:rsid w:val="00065B2E"/>
    <w:rsid w:val="000736A6"/>
    <w:rsid w:val="000A14C5"/>
    <w:rsid w:val="000A2A5A"/>
    <w:rsid w:val="000A59B8"/>
    <w:rsid w:val="000B03B4"/>
    <w:rsid w:val="000B06A3"/>
    <w:rsid w:val="000B6683"/>
    <w:rsid w:val="000D0045"/>
    <w:rsid w:val="000D2857"/>
    <w:rsid w:val="000F0BA9"/>
    <w:rsid w:val="001165A7"/>
    <w:rsid w:val="0012561D"/>
    <w:rsid w:val="00125FAA"/>
    <w:rsid w:val="00126891"/>
    <w:rsid w:val="00127605"/>
    <w:rsid w:val="00132E1A"/>
    <w:rsid w:val="001415E2"/>
    <w:rsid w:val="001448D2"/>
    <w:rsid w:val="001648C7"/>
    <w:rsid w:val="0017675F"/>
    <w:rsid w:val="00181546"/>
    <w:rsid w:val="001848FB"/>
    <w:rsid w:val="001849F4"/>
    <w:rsid w:val="001A2B92"/>
    <w:rsid w:val="001A3C5C"/>
    <w:rsid w:val="001B3289"/>
    <w:rsid w:val="001B6D2D"/>
    <w:rsid w:val="001D4672"/>
    <w:rsid w:val="001E2A97"/>
    <w:rsid w:val="001F763E"/>
    <w:rsid w:val="00224692"/>
    <w:rsid w:val="00226C78"/>
    <w:rsid w:val="002315D3"/>
    <w:rsid w:val="00231E28"/>
    <w:rsid w:val="002338A5"/>
    <w:rsid w:val="0024542B"/>
    <w:rsid w:val="002461FB"/>
    <w:rsid w:val="00257BC7"/>
    <w:rsid w:val="00266574"/>
    <w:rsid w:val="00266C2D"/>
    <w:rsid w:val="00266F5E"/>
    <w:rsid w:val="002904D7"/>
    <w:rsid w:val="00291940"/>
    <w:rsid w:val="00293167"/>
    <w:rsid w:val="00293CA5"/>
    <w:rsid w:val="002B1631"/>
    <w:rsid w:val="002B4417"/>
    <w:rsid w:val="002C5BDA"/>
    <w:rsid w:val="002D4B70"/>
    <w:rsid w:val="002D518D"/>
    <w:rsid w:val="002D6F58"/>
    <w:rsid w:val="002F1512"/>
    <w:rsid w:val="002F63A3"/>
    <w:rsid w:val="002F79CB"/>
    <w:rsid w:val="0031208A"/>
    <w:rsid w:val="00314A03"/>
    <w:rsid w:val="00320DFC"/>
    <w:rsid w:val="0032373F"/>
    <w:rsid w:val="00331093"/>
    <w:rsid w:val="0034244B"/>
    <w:rsid w:val="00351DD8"/>
    <w:rsid w:val="00353F32"/>
    <w:rsid w:val="003553DC"/>
    <w:rsid w:val="0036137C"/>
    <w:rsid w:val="00361AEB"/>
    <w:rsid w:val="003643ED"/>
    <w:rsid w:val="00364EB8"/>
    <w:rsid w:val="00372C68"/>
    <w:rsid w:val="00377BA9"/>
    <w:rsid w:val="003926AB"/>
    <w:rsid w:val="003A090B"/>
    <w:rsid w:val="003A7ECD"/>
    <w:rsid w:val="003B35CC"/>
    <w:rsid w:val="003C23A9"/>
    <w:rsid w:val="003C4DCE"/>
    <w:rsid w:val="003D3BFD"/>
    <w:rsid w:val="003E1517"/>
    <w:rsid w:val="003F1364"/>
    <w:rsid w:val="003F3073"/>
    <w:rsid w:val="003F4F97"/>
    <w:rsid w:val="004033F2"/>
    <w:rsid w:val="004243CC"/>
    <w:rsid w:val="00442979"/>
    <w:rsid w:val="004519CF"/>
    <w:rsid w:val="00470A48"/>
    <w:rsid w:val="00473CFF"/>
    <w:rsid w:val="00474CD2"/>
    <w:rsid w:val="0047584D"/>
    <w:rsid w:val="0049518B"/>
    <w:rsid w:val="004C12A3"/>
    <w:rsid w:val="004D04F9"/>
    <w:rsid w:val="004D62A6"/>
    <w:rsid w:val="004D7DAC"/>
    <w:rsid w:val="004E0CA4"/>
    <w:rsid w:val="004E2F8C"/>
    <w:rsid w:val="004F0831"/>
    <w:rsid w:val="004F0853"/>
    <w:rsid w:val="00516136"/>
    <w:rsid w:val="00531E95"/>
    <w:rsid w:val="00543CA6"/>
    <w:rsid w:val="005471AE"/>
    <w:rsid w:val="00561E04"/>
    <w:rsid w:val="00576854"/>
    <w:rsid w:val="00580CD9"/>
    <w:rsid w:val="00583274"/>
    <w:rsid w:val="0059599A"/>
    <w:rsid w:val="005A3A86"/>
    <w:rsid w:val="005A5136"/>
    <w:rsid w:val="005A5E6D"/>
    <w:rsid w:val="005C54B3"/>
    <w:rsid w:val="005C5706"/>
    <w:rsid w:val="005D61CF"/>
    <w:rsid w:val="005E3C93"/>
    <w:rsid w:val="005F4A4D"/>
    <w:rsid w:val="00602C56"/>
    <w:rsid w:val="006045E7"/>
    <w:rsid w:val="00606724"/>
    <w:rsid w:val="006173E7"/>
    <w:rsid w:val="006315CB"/>
    <w:rsid w:val="006354D9"/>
    <w:rsid w:val="00642100"/>
    <w:rsid w:val="00646292"/>
    <w:rsid w:val="00667904"/>
    <w:rsid w:val="00677D22"/>
    <w:rsid w:val="00685EA7"/>
    <w:rsid w:val="006956EB"/>
    <w:rsid w:val="00697EA2"/>
    <w:rsid w:val="006A277B"/>
    <w:rsid w:val="006B7B4C"/>
    <w:rsid w:val="006C14B7"/>
    <w:rsid w:val="006C2F81"/>
    <w:rsid w:val="006C3367"/>
    <w:rsid w:val="006C36D6"/>
    <w:rsid w:val="006D0178"/>
    <w:rsid w:val="00703B81"/>
    <w:rsid w:val="00703C5E"/>
    <w:rsid w:val="00710C47"/>
    <w:rsid w:val="00722A1F"/>
    <w:rsid w:val="00725820"/>
    <w:rsid w:val="00757890"/>
    <w:rsid w:val="00790BF8"/>
    <w:rsid w:val="00790C80"/>
    <w:rsid w:val="00793542"/>
    <w:rsid w:val="007966A9"/>
    <w:rsid w:val="007A1AA4"/>
    <w:rsid w:val="007A6D39"/>
    <w:rsid w:val="007B1AC2"/>
    <w:rsid w:val="007B6619"/>
    <w:rsid w:val="007C0CFC"/>
    <w:rsid w:val="007D0947"/>
    <w:rsid w:val="007D2750"/>
    <w:rsid w:val="007E17B2"/>
    <w:rsid w:val="007E7A2D"/>
    <w:rsid w:val="007F7B07"/>
    <w:rsid w:val="008057A6"/>
    <w:rsid w:val="00805EE5"/>
    <w:rsid w:val="008152A9"/>
    <w:rsid w:val="00820856"/>
    <w:rsid w:val="008257F8"/>
    <w:rsid w:val="00825FD7"/>
    <w:rsid w:val="00831FF6"/>
    <w:rsid w:val="008369DF"/>
    <w:rsid w:val="008415F3"/>
    <w:rsid w:val="008529A6"/>
    <w:rsid w:val="00852D3E"/>
    <w:rsid w:val="0085485B"/>
    <w:rsid w:val="00867535"/>
    <w:rsid w:val="00882788"/>
    <w:rsid w:val="00893989"/>
    <w:rsid w:val="008A3979"/>
    <w:rsid w:val="008B25CA"/>
    <w:rsid w:val="008D4835"/>
    <w:rsid w:val="008E725A"/>
    <w:rsid w:val="008F251E"/>
    <w:rsid w:val="008F72E4"/>
    <w:rsid w:val="00903A7D"/>
    <w:rsid w:val="00903C35"/>
    <w:rsid w:val="00921044"/>
    <w:rsid w:val="00926E08"/>
    <w:rsid w:val="00927F1B"/>
    <w:rsid w:val="00932AA9"/>
    <w:rsid w:val="00937C57"/>
    <w:rsid w:val="00950165"/>
    <w:rsid w:val="00972620"/>
    <w:rsid w:val="00975F61"/>
    <w:rsid w:val="009A5736"/>
    <w:rsid w:val="009B47D2"/>
    <w:rsid w:val="009C33E8"/>
    <w:rsid w:val="009D5746"/>
    <w:rsid w:val="009E6B7C"/>
    <w:rsid w:val="00A17448"/>
    <w:rsid w:val="00A408C6"/>
    <w:rsid w:val="00A44619"/>
    <w:rsid w:val="00A45716"/>
    <w:rsid w:val="00A6584A"/>
    <w:rsid w:val="00A65EDB"/>
    <w:rsid w:val="00A77C6F"/>
    <w:rsid w:val="00A821F0"/>
    <w:rsid w:val="00A8378E"/>
    <w:rsid w:val="00A84529"/>
    <w:rsid w:val="00AA0093"/>
    <w:rsid w:val="00AA4227"/>
    <w:rsid w:val="00AA602C"/>
    <w:rsid w:val="00AB063D"/>
    <w:rsid w:val="00AB3CD1"/>
    <w:rsid w:val="00AD56A9"/>
    <w:rsid w:val="00B01B88"/>
    <w:rsid w:val="00B168C2"/>
    <w:rsid w:val="00B17701"/>
    <w:rsid w:val="00B24DB8"/>
    <w:rsid w:val="00B365D7"/>
    <w:rsid w:val="00B52141"/>
    <w:rsid w:val="00B8440C"/>
    <w:rsid w:val="00B903B5"/>
    <w:rsid w:val="00B94061"/>
    <w:rsid w:val="00B94F54"/>
    <w:rsid w:val="00BA641F"/>
    <w:rsid w:val="00BC21E7"/>
    <w:rsid w:val="00BE65BA"/>
    <w:rsid w:val="00C13310"/>
    <w:rsid w:val="00C23990"/>
    <w:rsid w:val="00C30C64"/>
    <w:rsid w:val="00C36E70"/>
    <w:rsid w:val="00C60C37"/>
    <w:rsid w:val="00C65698"/>
    <w:rsid w:val="00C80369"/>
    <w:rsid w:val="00C86B4B"/>
    <w:rsid w:val="00C91E1D"/>
    <w:rsid w:val="00C927DE"/>
    <w:rsid w:val="00C9430B"/>
    <w:rsid w:val="00CB10CA"/>
    <w:rsid w:val="00CB4EC3"/>
    <w:rsid w:val="00CC3756"/>
    <w:rsid w:val="00CE186D"/>
    <w:rsid w:val="00CE54C8"/>
    <w:rsid w:val="00CE6ED6"/>
    <w:rsid w:val="00CF6D88"/>
    <w:rsid w:val="00D00E62"/>
    <w:rsid w:val="00D0252F"/>
    <w:rsid w:val="00D02CDD"/>
    <w:rsid w:val="00D05154"/>
    <w:rsid w:val="00D131EA"/>
    <w:rsid w:val="00D15226"/>
    <w:rsid w:val="00D1577D"/>
    <w:rsid w:val="00D24931"/>
    <w:rsid w:val="00D25419"/>
    <w:rsid w:val="00D325C1"/>
    <w:rsid w:val="00D32F84"/>
    <w:rsid w:val="00D352E6"/>
    <w:rsid w:val="00D3645D"/>
    <w:rsid w:val="00D370A7"/>
    <w:rsid w:val="00D417E8"/>
    <w:rsid w:val="00D603E5"/>
    <w:rsid w:val="00D64357"/>
    <w:rsid w:val="00D65968"/>
    <w:rsid w:val="00D778BA"/>
    <w:rsid w:val="00DB3782"/>
    <w:rsid w:val="00DB5C35"/>
    <w:rsid w:val="00DC4CD8"/>
    <w:rsid w:val="00DC4E39"/>
    <w:rsid w:val="00DD33AC"/>
    <w:rsid w:val="00DE35AC"/>
    <w:rsid w:val="00DE6533"/>
    <w:rsid w:val="00DF066F"/>
    <w:rsid w:val="00DF6D0B"/>
    <w:rsid w:val="00E110CD"/>
    <w:rsid w:val="00E226F5"/>
    <w:rsid w:val="00E45B72"/>
    <w:rsid w:val="00E53EF8"/>
    <w:rsid w:val="00E55CB5"/>
    <w:rsid w:val="00E62185"/>
    <w:rsid w:val="00E67313"/>
    <w:rsid w:val="00E6764A"/>
    <w:rsid w:val="00E849BA"/>
    <w:rsid w:val="00E90B68"/>
    <w:rsid w:val="00E95769"/>
    <w:rsid w:val="00E965C4"/>
    <w:rsid w:val="00EA019D"/>
    <w:rsid w:val="00EA0956"/>
    <w:rsid w:val="00EA183C"/>
    <w:rsid w:val="00EA4AD1"/>
    <w:rsid w:val="00EB2CC6"/>
    <w:rsid w:val="00EB3DE6"/>
    <w:rsid w:val="00EC6DC3"/>
    <w:rsid w:val="00EF06CE"/>
    <w:rsid w:val="00EF0782"/>
    <w:rsid w:val="00EF3A9F"/>
    <w:rsid w:val="00F03296"/>
    <w:rsid w:val="00F133EF"/>
    <w:rsid w:val="00F14006"/>
    <w:rsid w:val="00F2366D"/>
    <w:rsid w:val="00F444D2"/>
    <w:rsid w:val="00F50333"/>
    <w:rsid w:val="00F61193"/>
    <w:rsid w:val="00F6353E"/>
    <w:rsid w:val="00F63756"/>
    <w:rsid w:val="00F70ABC"/>
    <w:rsid w:val="00F71374"/>
    <w:rsid w:val="00F81D62"/>
    <w:rsid w:val="00F81ED3"/>
    <w:rsid w:val="00FA625A"/>
    <w:rsid w:val="00FB335B"/>
    <w:rsid w:val="00FC0F99"/>
    <w:rsid w:val="00FC1D13"/>
    <w:rsid w:val="00FC21B5"/>
    <w:rsid w:val="00FD3B10"/>
    <w:rsid w:val="00FD70DE"/>
    <w:rsid w:val="00FD767B"/>
    <w:rsid w:val="00FF7C77"/>
    <w:rsid w:val="016E2E49"/>
    <w:rsid w:val="13832D42"/>
    <w:rsid w:val="1786159F"/>
    <w:rsid w:val="39643B0E"/>
    <w:rsid w:val="3B4B7757"/>
    <w:rsid w:val="3D027B65"/>
    <w:rsid w:val="3E575F6A"/>
    <w:rsid w:val="4B3E43EF"/>
    <w:rsid w:val="5D181202"/>
    <w:rsid w:val="6ABC4C3D"/>
    <w:rsid w:val="78980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line="560" w:lineRule="exact"/>
      <w:ind w:firstLine="200" w:firstLineChars="200"/>
      <w:jc w:val="left"/>
      <w:outlineLvl w:val="0"/>
    </w:pPr>
    <w:rPr>
      <w:rFonts w:ascii="黑体" w:eastAsia="黑体" w:hAnsiTheme="minorHAnsi" w:cstheme="minorBidi"/>
      <w:bCs/>
      <w:spacing w:val="-6"/>
      <w:kern w:val="44"/>
      <w:sz w:val="32"/>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3"/>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rPr>
      <w:rFonts w:ascii="Calibri" w:hAnsi="Calibri" w:eastAsia="宋体" w:cs="Times New Roman"/>
    </w:rPr>
  </w:style>
  <w:style w:type="character" w:customStyle="1" w:styleId="13">
    <w:name w:val="批注主题 字符"/>
    <w:basedOn w:val="12"/>
    <w:link w:val="8"/>
    <w:semiHidden/>
    <w:qFormat/>
    <w:uiPriority w:val="99"/>
    <w:rPr>
      <w:rFonts w:ascii="Calibri" w:hAnsi="Calibri" w:eastAsia="宋体" w:cs="Times New Roman"/>
      <w:b/>
      <w:bCs/>
    </w:rPr>
  </w:style>
  <w:style w:type="character" w:customStyle="1" w:styleId="14">
    <w:name w:val="批注框文本 字符"/>
    <w:basedOn w:val="10"/>
    <w:link w:val="5"/>
    <w:semiHidden/>
    <w:qFormat/>
    <w:uiPriority w:val="99"/>
    <w:rPr>
      <w:rFonts w:ascii="Calibri" w:hAnsi="Calibri" w:eastAsia="宋体" w:cs="Times New Roman"/>
      <w:sz w:val="18"/>
      <w:szCs w:val="18"/>
    </w:rPr>
  </w:style>
  <w:style w:type="character" w:customStyle="1" w:styleId="15">
    <w:name w:val="页眉 字符"/>
    <w:basedOn w:val="10"/>
    <w:link w:val="7"/>
    <w:qFormat/>
    <w:uiPriority w:val="99"/>
    <w:rPr>
      <w:rFonts w:ascii="Calibri" w:hAnsi="Calibri" w:eastAsia="宋体" w:cs="Times New Roman"/>
      <w:sz w:val="18"/>
      <w:szCs w:val="18"/>
    </w:rPr>
  </w:style>
  <w:style w:type="character" w:customStyle="1" w:styleId="16">
    <w:name w:val="页脚 字符"/>
    <w:basedOn w:val="10"/>
    <w:link w:val="6"/>
    <w:qFormat/>
    <w:uiPriority w:val="99"/>
    <w:rPr>
      <w:rFonts w:ascii="Calibri" w:hAnsi="Calibri" w:eastAsia="宋体" w:cs="Times New Roman"/>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正文文本 字符"/>
    <w:basedOn w:val="10"/>
    <w:link w:val="4"/>
    <w:semiHidden/>
    <w:qFormat/>
    <w:uiPriority w:val="99"/>
    <w:rPr>
      <w:rFonts w:ascii="Calibri" w:hAnsi="Calibri"/>
      <w:kern w:val="2"/>
      <w:sz w:val="21"/>
      <w:szCs w:val="22"/>
    </w:rPr>
  </w:style>
  <w:style w:type="character" w:customStyle="1" w:styleId="19">
    <w:name w:val="标题 1 字符"/>
    <w:basedOn w:val="10"/>
    <w:link w:val="2"/>
    <w:qFormat/>
    <w:uiPriority w:val="9"/>
    <w:rPr>
      <w:rFonts w:ascii="黑体" w:eastAsia="黑体" w:hAnsiTheme="minorHAnsi" w:cstheme="minorBidi"/>
      <w:bCs/>
      <w:spacing w:val="-6"/>
      <w:kern w:val="44"/>
      <w:sz w:val="32"/>
      <w:szCs w:val="44"/>
    </w:rPr>
  </w:style>
  <w:style w:type="paragraph" w:customStyle="1" w:styleId="20">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5F2FE093-2320-4D2B-9302-FCFE4BBBBC91}">
  <ds:schemaRefs/>
</ds:datastoreItem>
</file>

<file path=customXml/itemProps2.xml><?xml version="1.0" encoding="utf-8"?>
<ds:datastoreItem xmlns:ds="http://schemas.openxmlformats.org/officeDocument/2006/customXml" ds:itemID="{FE144E02-CD11-430C-BDE6-E6109E55B83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971</Words>
  <Characters>1079</Characters>
  <Lines>27</Lines>
  <Paragraphs>18</Paragraphs>
  <TotalTime>26</TotalTime>
  <ScaleCrop>false</ScaleCrop>
  <LinksUpToDate>false</LinksUpToDate>
  <CharactersWithSpaces>1093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2020-10-09T08:17:00Z</dcterms:created>
  <dc:creator>wendy</dc:creator>
  <cp:lastModifiedBy>金建德</cp:lastModifiedBy>
  <cp:lastPrinted>2023-06-28T05:45:00Z</cp:lastPrinted>
  <dcterms:modified xsi:type="dcterms:W3CDTF">2023-06-29T11:27:18Z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5B77E7CEEC58BC6AFAE8886BEB80DBEB">
    <vt:lpwstr>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</vt:lpwstr>
  </property>
  <property fmtid="{D5CDD505-2E9C-101B-9397-08002B2CF9AE}" pid="4" name="ICV">
    <vt:lpwstr>FF70DE751D7A48A5A84411D876B31DC7</vt:lpwstr>
  </property>
</Properties>
</file>