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lang w:val="en-US" w:eastAsia="zh-CN"/>
        </w:rPr>
      </w:pPr>
      <w:r>
        <w:rPr>
          <w:rFonts w:ascii="黑体" w:hAnsi="黑体" w:eastAsia="黑体"/>
          <w:color w:val="000000"/>
        </w:rPr>
        <w:t>股票代码：600188             股票简称：</w:t>
      </w:r>
      <w:r>
        <w:rPr>
          <w:rFonts w:hint="eastAsia" w:ascii="黑体" w:hAnsi="黑体" w:eastAsia="黑体"/>
          <w:color w:val="000000"/>
        </w:rPr>
        <w:t>兖矿能源</w:t>
      </w:r>
      <w:r>
        <w:rPr>
          <w:rFonts w:ascii="黑体" w:hAnsi="黑体" w:eastAsia="黑体"/>
          <w:color w:val="000000"/>
        </w:rPr>
        <w:t xml:space="preserve">             编号：临2023-</w:t>
      </w:r>
      <w:r>
        <w:rPr>
          <w:rFonts w:hint="eastAsia" w:ascii="黑体" w:hAnsi="黑体" w:eastAsia="黑体"/>
          <w:color w:val="000000"/>
          <w:lang w:val="en-US" w:eastAsia="zh-CN"/>
        </w:rPr>
        <w:t>038</w:t>
      </w:r>
      <w:bookmarkStart w:id="1" w:name="_GoBack"/>
      <w:bookmarkEnd w:id="1"/>
    </w:p>
    <w:p>
      <w:pPr>
        <w:spacing w:line="500" w:lineRule="exact"/>
        <w:jc w:val="center"/>
        <w:rPr>
          <w:rFonts w:eastAsia="黑体"/>
          <w:color w:val="000000"/>
        </w:rPr>
      </w:pPr>
    </w:p>
    <w:p>
      <w:pPr>
        <w:spacing w:line="500" w:lineRule="exact"/>
        <w:jc w:val="center"/>
        <w:rPr>
          <w:rFonts w:ascii="黑体" w:eastAsia="黑体"/>
          <w:b/>
          <w:bCs/>
          <w:color w:val="FF0000"/>
          <w:sz w:val="36"/>
          <w:szCs w:val="36"/>
        </w:rPr>
      </w:pPr>
      <w:r>
        <w:rPr>
          <w:rFonts w:hint="eastAsia" w:ascii="黑体" w:eastAsia="黑体"/>
          <w:b/>
          <w:bCs/>
          <w:color w:val="FF0000"/>
          <w:sz w:val="36"/>
          <w:szCs w:val="36"/>
        </w:rPr>
        <w:t>兖矿能源集团</w:t>
      </w:r>
      <w:r>
        <w:rPr>
          <w:rFonts w:ascii="黑体" w:eastAsia="黑体"/>
          <w:b/>
          <w:bCs/>
          <w:color w:val="FF0000"/>
          <w:sz w:val="36"/>
          <w:szCs w:val="36"/>
        </w:rPr>
        <w:t>股份有限公司</w:t>
      </w:r>
    </w:p>
    <w:p>
      <w:pPr>
        <w:spacing w:line="500" w:lineRule="exact"/>
        <w:jc w:val="center"/>
        <w:rPr>
          <w:b/>
          <w:bCs/>
          <w:color w:val="000000"/>
          <w:sz w:val="32"/>
        </w:rPr>
      </w:pPr>
      <w:r>
        <w:rPr>
          <w:rFonts w:hint="eastAsia" w:ascii="黑体" w:eastAsia="黑体"/>
          <w:b/>
          <w:bCs/>
          <w:color w:val="FF0000"/>
          <w:sz w:val="36"/>
          <w:szCs w:val="36"/>
        </w:rPr>
        <w:t>关于年度预计担保的进展公告</w:t>
      </w:r>
    </w:p>
    <w:p>
      <w:pPr>
        <w:spacing w:line="560" w:lineRule="exact"/>
        <w:jc w:val="center"/>
        <w:rPr>
          <w:b/>
          <w:bCs/>
          <w:color w:val="000000"/>
          <w:sz w:val="28"/>
        </w:rPr>
      </w:pPr>
      <w:r>
        <w:rPr>
          <w:b/>
          <w:bCs/>
          <w:color w:val="000000"/>
          <w:sz w:val="28"/>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500" w:lineRule="exact"/>
        <w:ind w:firstLine="560" w:firstLineChars="200"/>
        <w:outlineLvl w:val="0"/>
        <w:rPr>
          <w:b/>
          <w:bCs/>
          <w:color w:val="000000"/>
          <w:sz w:val="28"/>
        </w:rPr>
      </w:pPr>
    </w:p>
    <w:p>
      <w:pPr>
        <w:adjustRightInd w:val="0"/>
        <w:snapToGrid w:val="0"/>
        <w:spacing w:line="480" w:lineRule="exact"/>
        <w:ind w:firstLine="540"/>
        <w:rPr>
          <w:rFonts w:ascii="宋体" w:hAnsi="宋体"/>
          <w:b/>
          <w:color w:val="000000"/>
          <w:sz w:val="28"/>
        </w:rPr>
      </w:pPr>
    </w:p>
    <w:p>
      <w:pPr>
        <w:adjustRightInd w:val="0"/>
        <w:snapToGrid w:val="0"/>
        <w:spacing w:line="520" w:lineRule="exact"/>
        <w:ind w:firstLine="540"/>
        <w:rPr>
          <w:rFonts w:ascii="宋体" w:hAnsi="宋体"/>
          <w:b/>
          <w:color w:val="000000"/>
          <w:sz w:val="28"/>
          <w:szCs w:val="28"/>
        </w:rPr>
      </w:pPr>
      <w:r>
        <w:rPr>
          <w:rFonts w:hint="eastAsia" w:ascii="宋体" w:hAnsi="宋体"/>
          <w:b/>
          <w:color w:val="000000"/>
          <w:sz w:val="28"/>
          <w:szCs w:val="28"/>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rPr>
        <w:t>被担保</w:t>
      </w:r>
      <w:r>
        <w:rPr>
          <w:rFonts w:hint="eastAsia" w:ascii="宋体" w:hAnsi="宋体"/>
          <w:b/>
          <w:color w:val="000000"/>
          <w:sz w:val="28"/>
          <w:szCs w:val="28"/>
          <w:highlight w:val="none"/>
        </w:rPr>
        <w:t>人名称：</w:t>
      </w:r>
      <w:r>
        <w:rPr>
          <w:rFonts w:hint="eastAsia" w:ascii="宋体" w:hAnsi="宋体"/>
          <w:color w:val="000000"/>
          <w:sz w:val="28"/>
          <w:szCs w:val="28"/>
          <w:highlight w:val="none"/>
        </w:rPr>
        <w:t>青岛中垠瑞丰国际贸易有限公司（“中垠瑞丰”）、兖煤澳大利亚有限公司（“兖煤澳洲”）及其子公司、兖矿能源澳洲附属公司。上述被担保人均为兖矿能源集团股份有限公司（“兖矿能源”“公司”）控股子公司，其中公司持有公司持有中垠瑞丰</w:t>
      </w:r>
      <w:r>
        <w:rPr>
          <w:rFonts w:ascii="宋体" w:hAnsi="宋体"/>
          <w:color w:val="000000"/>
          <w:sz w:val="28"/>
          <w:szCs w:val="28"/>
          <w:highlight w:val="none"/>
        </w:rPr>
        <w:t>51%股权，</w:t>
      </w:r>
      <w:r>
        <w:rPr>
          <w:rFonts w:hint="eastAsia" w:ascii="宋体" w:hAnsi="宋体"/>
          <w:color w:val="000000"/>
          <w:sz w:val="28"/>
          <w:szCs w:val="28"/>
          <w:highlight w:val="none"/>
        </w:rPr>
        <w:t>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color w:val="000000"/>
          <w:sz w:val="28"/>
          <w:szCs w:val="28"/>
          <w:highlight w:val="none"/>
        </w:rPr>
        <w:t>自202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月31日，公司在年度预计担保金额内为中垠瑞丰提供担保金额为人民币</w:t>
      </w:r>
      <w:r>
        <w:rPr>
          <w:rFonts w:hint="eastAsia" w:ascii="宋体" w:hAnsi="宋体"/>
          <w:color w:val="000000"/>
          <w:sz w:val="28"/>
          <w:szCs w:val="28"/>
          <w:highlight w:val="none"/>
          <w:lang w:val="en-US" w:eastAsia="zh-CN"/>
        </w:rPr>
        <w:t>2.50</w:t>
      </w:r>
      <w:r>
        <w:rPr>
          <w:rFonts w:hint="eastAsia" w:ascii="宋体" w:hAnsi="宋体"/>
          <w:color w:val="000000"/>
          <w:sz w:val="28"/>
          <w:szCs w:val="28"/>
          <w:highlight w:val="none"/>
        </w:rPr>
        <w:t>亿元；截至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月31日，公司为中垠瑞丰提供的担保余额为人民币3</w:t>
      </w:r>
      <w:r>
        <w:rPr>
          <w:rFonts w:hint="eastAsia" w:ascii="宋体" w:hAnsi="宋体"/>
          <w:color w:val="000000"/>
          <w:sz w:val="28"/>
          <w:szCs w:val="28"/>
          <w:highlight w:val="none"/>
          <w:lang w:val="en-US" w:eastAsia="zh-CN"/>
        </w:rPr>
        <w:t>2.20</w:t>
      </w:r>
      <w:r>
        <w:rPr>
          <w:rFonts w:hint="eastAsia" w:ascii="宋体" w:hAnsi="宋体"/>
          <w:color w:val="000000"/>
          <w:sz w:val="28"/>
          <w:szCs w:val="28"/>
          <w:highlight w:val="none"/>
        </w:rPr>
        <w:t>亿元；截至2023年5月31日，兖煤澳洲为其子公司提供担保余额为600万澳元，兖煤澳洲下属子公司为兖煤澳洲、兖煤澳洲下属子公司、兖矿能源澳洲附属公司提供担保余额为9.54亿澳元，担保余额合计为9.60亿澳元。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color w:val="000000"/>
          <w:sz w:val="28"/>
          <w:szCs w:val="28"/>
          <w:highlight w:val="none"/>
        </w:rPr>
        <w:t>中垠瑞丰提供反担保。。</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部分被担保对象资产负债率超过70%，敬请广大投资者注意相关风险。担保对象均为公司控股子公司，担保风险可控。</w:t>
      </w:r>
    </w:p>
    <w:p>
      <w:pPr>
        <w:adjustRightInd w:val="0"/>
        <w:snapToGrid w:val="0"/>
        <w:spacing w:line="520" w:lineRule="exact"/>
        <w:ind w:firstLine="539"/>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自</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月31日，公司在年度预计担保金额内为中垠瑞丰提供人民币</w:t>
      </w:r>
      <w:r>
        <w:rPr>
          <w:rFonts w:hint="eastAsia" w:ascii="宋体" w:hAnsi="宋体"/>
          <w:color w:val="000000"/>
          <w:sz w:val="28"/>
          <w:szCs w:val="28"/>
          <w:highlight w:val="none"/>
          <w:lang w:val="en-US" w:eastAsia="zh-CN"/>
        </w:rPr>
        <w:t>2.50</w:t>
      </w:r>
      <w:r>
        <w:rPr>
          <w:rFonts w:hint="eastAsia" w:ascii="宋体" w:hAnsi="宋体"/>
          <w:color w:val="000000"/>
          <w:sz w:val="28"/>
          <w:szCs w:val="28"/>
          <w:highlight w:val="none"/>
        </w:rPr>
        <w:t>亿元融资担保；截至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月31日，公司已实际为中垠瑞丰提供的担保余额为人民币</w:t>
      </w:r>
      <w:r>
        <w:rPr>
          <w:rFonts w:hint="eastAsia" w:ascii="宋体" w:hAnsi="宋体"/>
          <w:color w:val="000000"/>
          <w:sz w:val="28"/>
          <w:szCs w:val="28"/>
          <w:highlight w:val="none"/>
          <w:lang w:val="en-US" w:eastAsia="zh-CN"/>
        </w:rPr>
        <w:t>32.20</w:t>
      </w:r>
      <w:r>
        <w:rPr>
          <w:rFonts w:hint="eastAsia" w:ascii="宋体" w:hAnsi="宋体"/>
          <w:color w:val="000000"/>
          <w:sz w:val="28"/>
          <w:szCs w:val="28"/>
          <w:highlight w:val="none"/>
        </w:rPr>
        <w:t>亿元。</w:t>
      </w:r>
    </w:p>
    <w:p>
      <w:pPr>
        <w:adjustRightInd w:val="0"/>
        <w:snapToGrid w:val="0"/>
        <w:spacing w:line="520" w:lineRule="exact"/>
        <w:ind w:firstLine="539"/>
        <w:rPr>
          <w:rFonts w:hint="eastAsia" w:ascii="宋体" w:hAnsi="宋体"/>
          <w:color w:val="000000"/>
          <w:sz w:val="28"/>
          <w:szCs w:val="28"/>
          <w:highlight w:val="none"/>
        </w:rPr>
      </w:pPr>
      <w:r>
        <w:rPr>
          <w:rFonts w:hint="eastAsia" w:ascii="宋体" w:hAnsi="宋体"/>
          <w:color w:val="000000"/>
          <w:sz w:val="28"/>
          <w:szCs w:val="28"/>
          <w:highlight w:val="none"/>
        </w:rPr>
        <w:t>截至2023年5月31日，兖煤澳洲为其子公司提供担保余额为600万澳元，兖煤澳洲下属子公司以银行保函和保险保函形式为兖煤澳洲、兖煤澳洲下属子公司、兖矿能源澳洲附属公司提供担保余额为9.54亿澳元，</w:t>
      </w:r>
      <w:bookmarkStart w:id="0" w:name="_Hlk127454364"/>
      <w:r>
        <w:rPr>
          <w:rFonts w:hint="eastAsia" w:ascii="宋体" w:hAnsi="宋体"/>
          <w:color w:val="000000"/>
          <w:sz w:val="28"/>
          <w:szCs w:val="28"/>
          <w:highlight w:val="none"/>
        </w:rPr>
        <w:t>前述担保余额合计为9.60亿澳元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rPr>
        <w:t>2年3月30日召开的第八届董事会第二十一次会议、于20</w:t>
      </w:r>
      <w:r>
        <w:rPr>
          <w:rFonts w:ascii="宋体" w:hAnsi="宋体"/>
          <w:color w:val="000000"/>
          <w:sz w:val="28"/>
          <w:szCs w:val="28"/>
          <w:highlight w:val="none"/>
        </w:rPr>
        <w:t>2</w:t>
      </w:r>
      <w:r>
        <w:rPr>
          <w:rFonts w:hint="eastAsia" w:ascii="宋体" w:hAnsi="宋体"/>
          <w:color w:val="000000"/>
          <w:sz w:val="28"/>
          <w:szCs w:val="28"/>
          <w:highlight w:val="none"/>
        </w:rPr>
        <w:t>2年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021</w:t>
      </w:r>
      <w:r>
        <w:rPr>
          <w:rFonts w:hint="eastAsia" w:ascii="宋体" w:hAnsi="宋体"/>
          <w:color w:val="000000"/>
          <w:sz w:val="28"/>
          <w:szCs w:val="28"/>
          <w:highlight w:val="none"/>
        </w:rPr>
        <w:t>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0亿美元的融资担保；批准兖煤澳洲及其子公司向公司澳洲附属公司提供不超过12亿澳元的日常经营担保。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Lines="50" w:afterLines="50" w:line="520" w:lineRule="exact"/>
        <w:ind w:firstLine="560" w:firstLineChars="200"/>
        <w:rPr>
          <w:rFonts w:ascii="楷体" w:hAnsi="楷体" w:eastAsia="楷体"/>
          <w:sz w:val="28"/>
          <w:szCs w:val="28"/>
          <w:highlight w:val="none"/>
        </w:rPr>
      </w:pPr>
      <w:r>
        <w:rPr>
          <w:rFonts w:hint="eastAsia" w:ascii="楷体" w:hAnsi="楷体" w:eastAsia="楷体"/>
          <w:sz w:val="28"/>
          <w:szCs w:val="28"/>
          <w:highlight w:val="none"/>
        </w:rPr>
        <w:t>有关详情请见公司日期为2022年</w:t>
      </w:r>
      <w:r>
        <w:rPr>
          <w:rFonts w:ascii="楷体" w:hAnsi="楷体" w:eastAsia="楷体"/>
          <w:sz w:val="28"/>
          <w:szCs w:val="28"/>
          <w:highlight w:val="none"/>
        </w:rPr>
        <w:t>3</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日的公司第八届董事会第二十一次会议决议公告、关于向子公司提供融资担保和授权兖煤澳洲及其子公司向兖矿能源澳洲附属公司提供日常经营担保的公告，日期为2022年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021</w:t>
      </w:r>
      <w:r>
        <w:rPr>
          <w:rFonts w:hint="eastAsia" w:ascii="楷体" w:hAnsi="楷体" w:eastAsia="楷体"/>
          <w:sz w:val="28"/>
          <w:szCs w:val="28"/>
          <w:highlight w:val="none"/>
        </w:rPr>
        <w:t>年度股东周年大会决议公告。该等资料刊载于上海证券交易所网站、香港联合交易所有限公司网站、公司网站及/或中国境内《中国证券报》《上海证券报》《证券时报》《证券日报》。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二、被担保人担保情况</w:t>
      </w:r>
    </w:p>
    <w:p>
      <w:pPr>
        <w:adjustRightInd w:val="0"/>
        <w:snapToGrid w:val="0"/>
        <w:spacing w:line="520" w:lineRule="exact"/>
        <w:ind w:firstLine="539"/>
        <w:rPr>
          <w:rFonts w:ascii="楷体_GB2312" w:hAnsi="宋体" w:eastAsia="楷体_GB2312"/>
          <w:b/>
          <w:color w:val="000000"/>
          <w:sz w:val="28"/>
          <w:szCs w:val="28"/>
          <w:highlight w:val="none"/>
        </w:rPr>
      </w:pPr>
      <w:r>
        <w:rPr>
          <w:rFonts w:hint="eastAsia" w:ascii="楷体_GB2312" w:hAnsi="宋体" w:eastAsia="楷体_GB2312"/>
          <w:b/>
          <w:color w:val="000000"/>
          <w:sz w:val="28"/>
          <w:szCs w:val="28"/>
          <w:highlight w:val="none"/>
        </w:rPr>
        <w:t>（一）中垠瑞丰</w:t>
      </w:r>
    </w:p>
    <w:p>
      <w:pPr>
        <w:adjustRightInd w:val="0"/>
        <w:snapToGrid w:val="0"/>
        <w:spacing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中垠瑞丰于</w:t>
      </w:r>
      <w:r>
        <w:rPr>
          <w:rFonts w:ascii="宋体" w:hAnsi="宋体"/>
          <w:color w:val="000000"/>
          <w:sz w:val="28"/>
          <w:szCs w:val="28"/>
          <w:highlight w:val="none"/>
        </w:rPr>
        <w:t>2015</w:t>
      </w:r>
      <w:r>
        <w:rPr>
          <w:rFonts w:hint="eastAsia" w:ascii="宋体" w:hAnsi="宋体"/>
          <w:color w:val="000000"/>
          <w:sz w:val="28"/>
          <w:szCs w:val="28"/>
          <w:highlight w:val="none"/>
        </w:rPr>
        <w:t>年</w:t>
      </w:r>
      <w:r>
        <w:rPr>
          <w:rFonts w:ascii="宋体" w:hAnsi="宋体"/>
          <w:color w:val="000000"/>
          <w:sz w:val="28"/>
          <w:szCs w:val="28"/>
          <w:highlight w:val="none"/>
        </w:rPr>
        <w:t>11</w:t>
      </w:r>
      <w:r>
        <w:rPr>
          <w:rFonts w:hint="eastAsia" w:ascii="宋体" w:hAnsi="宋体"/>
          <w:color w:val="000000"/>
          <w:sz w:val="28"/>
          <w:szCs w:val="28"/>
          <w:highlight w:val="none"/>
        </w:rPr>
        <w:t>月在青岛市注册成立，统一社会信用代码</w:t>
      </w:r>
      <w:r>
        <w:rPr>
          <w:rFonts w:ascii="宋体" w:hAnsi="宋体"/>
          <w:color w:val="000000"/>
          <w:sz w:val="28"/>
          <w:szCs w:val="28"/>
          <w:highlight w:val="none"/>
        </w:rPr>
        <w:t>91370220MA3C0K0918</w:t>
      </w:r>
      <w:r>
        <w:rPr>
          <w:rFonts w:hint="eastAsia" w:ascii="宋体" w:hAnsi="宋体"/>
          <w:color w:val="000000"/>
          <w:sz w:val="28"/>
          <w:szCs w:val="28"/>
          <w:highlight w:val="none"/>
        </w:rPr>
        <w:t>，法定代表人任义飞，注册资本金人民币</w:t>
      </w:r>
      <w:r>
        <w:rPr>
          <w:rFonts w:ascii="宋体" w:hAnsi="宋体"/>
          <w:color w:val="000000"/>
          <w:sz w:val="28"/>
          <w:szCs w:val="28"/>
          <w:highlight w:val="none"/>
        </w:rPr>
        <w:t>2</w:t>
      </w:r>
      <w:r>
        <w:rPr>
          <w:rFonts w:hint="eastAsia" w:ascii="宋体" w:hAnsi="宋体"/>
          <w:color w:val="000000"/>
          <w:sz w:val="28"/>
          <w:szCs w:val="28"/>
          <w:highlight w:val="none"/>
        </w:rPr>
        <w:t>亿元，主要从事铁矿石、煤炭、钢材、机械设备、化工产品（不含危险品）、焦炭的国际贸易等业务，为兖矿能源控股子公司，其股权结构如下：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288"/>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3288"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名称</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出资额（亿元）</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持股比例（</w:t>
            </w:r>
            <w:r>
              <w:rPr>
                <w:rFonts w:ascii="宋体" w:hAnsi="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兖矿能源</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1.02</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w:t>
            </w:r>
          </w:p>
        </w:tc>
        <w:tc>
          <w:tcPr>
            <w:tcW w:w="3288" w:type="dxa"/>
            <w:vAlign w:val="center"/>
          </w:tcPr>
          <w:p>
            <w:pPr>
              <w:adjustRightInd w:val="0"/>
              <w:snapToGrid w:val="0"/>
              <w:spacing w:line="360" w:lineRule="atLeast"/>
              <w:jc w:val="center"/>
              <w:rPr>
                <w:rFonts w:ascii="宋体" w:hAnsi="宋体"/>
                <w:color w:val="000000"/>
                <w:szCs w:val="21"/>
                <w:highlight w:val="none"/>
              </w:rPr>
            </w:pPr>
            <w:r>
              <w:rPr>
                <w:rFonts w:hint="eastAsia" w:ascii="宋体" w:hAnsi="宋体"/>
                <w:color w:val="000000"/>
                <w:szCs w:val="21"/>
                <w:highlight w:val="none"/>
              </w:rPr>
              <w:t>青岛世纪瑞丰集团有限公司</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0.98</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合计</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2.00</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100</w:t>
            </w:r>
          </w:p>
        </w:tc>
      </w:tr>
    </w:tbl>
    <w:p>
      <w:pPr>
        <w:spacing w:beforeLines="50" w:line="520" w:lineRule="exact"/>
        <w:ind w:firstLine="612"/>
        <w:rPr>
          <w:rFonts w:ascii="宋体" w:hAnsi="宋体"/>
          <w:spacing w:val="-4"/>
          <w:sz w:val="28"/>
          <w:szCs w:val="28"/>
          <w:highlight w:val="none"/>
        </w:rPr>
      </w:pPr>
      <w:r>
        <w:rPr>
          <w:rFonts w:hint="eastAsia" w:ascii="宋体" w:hAnsi="宋体"/>
          <w:spacing w:val="-4"/>
          <w:sz w:val="28"/>
          <w:szCs w:val="28"/>
          <w:highlight w:val="none"/>
        </w:rPr>
        <w:t>中垠瑞丰主要财务指标如下（按中国会计准则编制）：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2021年12</w:t>
            </w:r>
            <w:r>
              <w:rPr>
                <w:rFonts w:hint="eastAsia" w:cs="宋体" w:asciiTheme="minorEastAsia" w:hAnsiTheme="minorEastAsia" w:eastAsiaTheme="minorEastAsia"/>
                <w:szCs w:val="21"/>
                <w:highlight w:val="none"/>
              </w:rPr>
              <w:t>月</w:t>
            </w:r>
            <w:r>
              <w:rPr>
                <w:rFonts w:cs="宋体" w:asciiTheme="minorEastAsia" w:hAnsiTheme="minorEastAsia" w:eastAsiaTheme="minorEastAsia"/>
                <w:szCs w:val="21"/>
                <w:highlight w:val="none"/>
              </w:rPr>
              <w:t>31</w:t>
            </w:r>
            <w:r>
              <w:rPr>
                <w:rFonts w:hint="eastAsia" w:cs="宋体" w:asciiTheme="minorEastAsia" w:hAnsiTheme="minorEastAsia" w:eastAsiaTheme="minorEastAsia"/>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920</w:t>
            </w:r>
            <w:r>
              <w:rPr>
                <w:rFonts w:ascii="宋体" w:hAnsi="宋体"/>
                <w:highlight w:val="none"/>
              </w:rPr>
              <w:t>,</w:t>
            </w:r>
            <w:r>
              <w:rPr>
                <w:rFonts w:hint="eastAsia" w:ascii="宋体" w:hAnsi="宋体" w:cs="宋体"/>
                <w:color w:val="000000"/>
                <w:szCs w:val="21"/>
                <w:highlight w:val="none"/>
              </w:rPr>
              <w:t>803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 xml:space="preserve">6,662,580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7</w:t>
            </w:r>
            <w:r>
              <w:rPr>
                <w:rFonts w:ascii="宋体" w:hAnsi="宋体"/>
                <w:highlight w:val="none"/>
              </w:rPr>
              <w:t>,</w:t>
            </w:r>
            <w:r>
              <w:rPr>
                <w:rFonts w:hint="eastAsia" w:ascii="宋体" w:hAnsi="宋体" w:cs="宋体"/>
                <w:color w:val="000000"/>
                <w:szCs w:val="21"/>
                <w:highlight w:val="none"/>
              </w:rPr>
              <w:t>552</w:t>
            </w:r>
            <w:r>
              <w:rPr>
                <w:rFonts w:ascii="宋体" w:hAnsi="宋体"/>
                <w:highlight w:val="none"/>
              </w:rPr>
              <w:t>,</w:t>
            </w:r>
            <w:r>
              <w:rPr>
                <w:rFonts w:hint="eastAsia" w:ascii="宋体" w:hAnsi="宋体" w:cs="宋体"/>
                <w:color w:val="000000"/>
                <w:szCs w:val="21"/>
                <w:highlight w:val="none"/>
              </w:rPr>
              <w:t>500</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 xml:space="preserve">6,320,634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368</w:t>
            </w:r>
            <w:r>
              <w:rPr>
                <w:rFonts w:ascii="宋体" w:hAnsi="宋体"/>
                <w:highlight w:val="none"/>
              </w:rPr>
              <w:t>,</w:t>
            </w:r>
            <w:r>
              <w:rPr>
                <w:rFonts w:hint="eastAsia" w:ascii="宋体" w:hAnsi="宋体"/>
                <w:highlight w:val="none"/>
              </w:rPr>
              <w:t>303</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341,946</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2021年度</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cs="宋体"/>
                <w:color w:val="000000"/>
                <w:szCs w:val="21"/>
                <w:highlight w:val="none"/>
              </w:rPr>
              <w:t>34</w:t>
            </w:r>
            <w:r>
              <w:rPr>
                <w:rFonts w:ascii="宋体" w:hAnsi="宋体"/>
                <w:highlight w:val="none"/>
              </w:rPr>
              <w:t>,</w:t>
            </w:r>
            <w:r>
              <w:rPr>
                <w:rFonts w:hint="eastAsia" w:ascii="宋体" w:hAnsi="宋体" w:cs="宋体"/>
                <w:color w:val="000000"/>
                <w:szCs w:val="21"/>
                <w:highlight w:val="none"/>
              </w:rPr>
              <w:t>919</w:t>
            </w:r>
            <w:r>
              <w:rPr>
                <w:rFonts w:ascii="宋体" w:hAnsi="宋体"/>
                <w:highlight w:val="none"/>
              </w:rPr>
              <w:t>,</w:t>
            </w:r>
            <w:r>
              <w:rPr>
                <w:rFonts w:hint="eastAsia" w:ascii="宋体" w:hAnsi="宋体" w:cs="宋体"/>
                <w:color w:val="000000"/>
                <w:szCs w:val="21"/>
                <w:highlight w:val="none"/>
              </w:rPr>
              <w:t>853</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27,194,581</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ascii="宋体" w:hAnsi="宋体" w:cs="宋体"/>
                <w:color w:val="000000"/>
                <w:szCs w:val="21"/>
                <w:highlight w:val="none"/>
              </w:rPr>
            </w:pPr>
            <w:r>
              <w:rPr>
                <w:rFonts w:hint="eastAsia" w:ascii="宋体" w:hAnsi="宋体" w:cs="宋体"/>
                <w:color w:val="000000"/>
                <w:szCs w:val="21"/>
                <w:highlight w:val="none"/>
              </w:rPr>
              <w:t>30</w:t>
            </w:r>
            <w:r>
              <w:rPr>
                <w:rFonts w:ascii="宋体" w:hAnsi="宋体"/>
                <w:highlight w:val="none"/>
              </w:rPr>
              <w:t>,</w:t>
            </w:r>
            <w:r>
              <w:rPr>
                <w:rFonts w:hint="eastAsia" w:ascii="宋体" w:hAnsi="宋体"/>
                <w:highlight w:val="none"/>
              </w:rPr>
              <w:t>196</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35,308</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cs="宋体"/>
                <w:color w:val="000000"/>
                <w:szCs w:val="21"/>
                <w:highlight w:val="none"/>
              </w:rPr>
              <w:t>23</w:t>
            </w:r>
            <w:r>
              <w:rPr>
                <w:rFonts w:ascii="宋体" w:hAnsi="宋体"/>
                <w:highlight w:val="none"/>
              </w:rPr>
              <w:t>,</w:t>
            </w:r>
            <w:r>
              <w:rPr>
                <w:rFonts w:hint="eastAsia" w:ascii="宋体" w:hAnsi="宋体"/>
                <w:highlight w:val="none"/>
              </w:rPr>
              <w:t xml:space="preserve">147 </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ascii="宋体" w:hAnsi="宋体"/>
                <w:highlight w:val="none"/>
              </w:rPr>
              <w:t>27,478</w:t>
            </w:r>
          </w:p>
        </w:tc>
      </w:tr>
    </w:tbl>
    <w:p>
      <w:pPr>
        <w:adjustRightInd w:val="0"/>
        <w:snapToGrid w:val="0"/>
        <w:spacing w:beforeLines="50" w:afterLines="50" w:line="560" w:lineRule="exact"/>
        <w:ind w:firstLine="539"/>
        <w:rPr>
          <w:rFonts w:ascii="楷体_GB2312" w:hAnsi="宋体" w:eastAsia="楷体_GB2312"/>
          <w:b/>
          <w:sz w:val="28"/>
          <w:szCs w:val="28"/>
          <w:highlight w:val="none"/>
        </w:rPr>
      </w:pPr>
      <w:r>
        <w:rPr>
          <w:rFonts w:hint="eastAsia" w:ascii="楷体_GB2312" w:hAnsi="宋体" w:eastAsia="楷体_GB2312"/>
          <w:b/>
          <w:sz w:val="28"/>
          <w:szCs w:val="28"/>
          <w:highlight w:val="none"/>
        </w:rPr>
        <w:t>(二)</w:t>
      </w:r>
      <w:r>
        <w:rPr>
          <w:rFonts w:hint="eastAsia"/>
          <w:highlight w:val="none"/>
        </w:rPr>
        <w:t xml:space="preserve"> </w:t>
      </w:r>
      <w:r>
        <w:rPr>
          <w:rFonts w:hint="eastAsia" w:ascii="楷体_GB2312" w:hAnsi="宋体" w:eastAsia="楷体_GB2312"/>
          <w:b/>
          <w:sz w:val="28"/>
          <w:szCs w:val="28"/>
          <w:highlight w:val="none"/>
        </w:rPr>
        <w:t>担保协议主要内容</w:t>
      </w:r>
    </w:p>
    <w:p>
      <w:pPr>
        <w:adjustRightInd w:val="0"/>
        <w:snapToGrid w:val="0"/>
        <w:spacing w:beforeLines="50" w:afterLines="50" w:line="560" w:lineRule="exact"/>
        <w:ind w:firstLine="539"/>
        <w:rPr>
          <w:rFonts w:ascii="楷体_GB2312" w:hAnsi="宋体" w:eastAsia="楷体_GB2312"/>
          <w:b/>
          <w:sz w:val="28"/>
          <w:szCs w:val="28"/>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09"/>
        <w:gridCol w:w="992"/>
        <w:gridCol w:w="992"/>
        <w:gridCol w:w="2127"/>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709"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债权人</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212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兖矿能源</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中垠瑞丰</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南洋商业银行（中国）有限公司青岛分行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2.50</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2023年</w:t>
            </w:r>
            <w:r>
              <w:rPr>
                <w:rFonts w:hint="eastAsia" w:asciiTheme="minorEastAsia" w:hAnsiTheme="minorEastAsia" w:eastAsiaTheme="minorEastAsia"/>
                <w:bCs/>
                <w:color w:val="000000"/>
                <w:szCs w:val="21"/>
                <w:highlight w:val="none"/>
                <w:lang w:val="en-US" w:eastAsia="zh-CN"/>
              </w:rPr>
              <w:t>5</w:t>
            </w:r>
            <w:r>
              <w:rPr>
                <w:rFonts w:hint="eastAsia" w:asciiTheme="minorEastAsia" w:hAnsiTheme="minorEastAsia" w:eastAsiaTheme="minorEastAsia"/>
                <w:bCs/>
                <w:color w:val="000000"/>
                <w:szCs w:val="21"/>
                <w:highlight w:val="none"/>
              </w:rPr>
              <w:t>月15日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保证担保的范围包括主合同项下的主债权和其他应付款项。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主债务履行届满之次日起三年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是</w:t>
            </w:r>
          </w:p>
        </w:tc>
      </w:tr>
    </w:tbl>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公司董事会认为：公司董事已于20</w:t>
      </w:r>
      <w:r>
        <w:rPr>
          <w:rFonts w:ascii="宋体" w:hAnsi="宋体"/>
          <w:sz w:val="28"/>
          <w:szCs w:val="28"/>
          <w:highlight w:val="none"/>
        </w:rPr>
        <w:t>2</w:t>
      </w:r>
      <w:r>
        <w:rPr>
          <w:rFonts w:hint="eastAsia" w:ascii="宋体" w:hAnsi="宋体"/>
          <w:sz w:val="28"/>
          <w:szCs w:val="28"/>
          <w:highlight w:val="none"/>
        </w:rPr>
        <w:t>2年3月30日召开的第八届董事会第二十一次会议审议通过前述担保事项，独立董事发表了同意的独立意见，同时公司2</w:t>
      </w:r>
      <w:r>
        <w:rPr>
          <w:rFonts w:ascii="宋体" w:hAnsi="宋体"/>
          <w:sz w:val="28"/>
          <w:szCs w:val="28"/>
          <w:highlight w:val="none"/>
        </w:rPr>
        <w:t>021</w:t>
      </w:r>
      <w:r>
        <w:rPr>
          <w:rFonts w:hint="eastAsia" w:ascii="宋体" w:hAnsi="宋体"/>
          <w:sz w:val="28"/>
          <w:szCs w:val="28"/>
          <w:highlight w:val="none"/>
        </w:rPr>
        <w:t>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023</w:t>
      </w:r>
      <w:r>
        <w:rPr>
          <w:rFonts w:hint="eastAsia" w:ascii="宋体" w:hAnsi="宋体"/>
          <w:sz w:val="28"/>
          <w:szCs w:val="28"/>
          <w:highlight w:val="none"/>
        </w:rPr>
        <w:t>年</w:t>
      </w:r>
      <w:r>
        <w:rPr>
          <w:rFonts w:hint="eastAsia" w:ascii="宋体" w:hAnsi="宋体"/>
          <w:sz w:val="28"/>
          <w:szCs w:val="28"/>
          <w:highlight w:val="none"/>
          <w:lang w:val="en-US" w:eastAsia="zh-CN"/>
        </w:rPr>
        <w:t>5</w:t>
      </w:r>
      <w:r>
        <w:rPr>
          <w:rFonts w:hint="eastAsia" w:ascii="宋体" w:hAnsi="宋体"/>
          <w:sz w:val="28"/>
          <w:szCs w:val="28"/>
          <w:highlight w:val="none"/>
        </w:rPr>
        <w:t>月31日，公司累计对外担保余额为人民币</w:t>
      </w:r>
      <w:r>
        <w:rPr>
          <w:rFonts w:hint="eastAsia" w:ascii="宋体" w:hAnsi="宋体"/>
          <w:color w:val="auto"/>
          <w:sz w:val="28"/>
          <w:szCs w:val="28"/>
          <w:highlight w:val="none"/>
          <w:lang w:val="en-US" w:eastAsia="zh-CN"/>
        </w:rPr>
        <w:t>224.63</w:t>
      </w:r>
      <w:r>
        <w:rPr>
          <w:rFonts w:hint="eastAsia" w:ascii="宋体" w:hAnsi="宋体"/>
          <w:sz w:val="28"/>
          <w:szCs w:val="28"/>
          <w:highlight w:val="none"/>
        </w:rPr>
        <w:t>亿元，占公司2022年按中国会计准则计算的经审计净资产人民币947.35亿元的</w:t>
      </w:r>
      <w:r>
        <w:rPr>
          <w:rFonts w:hint="eastAsia" w:ascii="宋体" w:hAnsi="宋体"/>
          <w:sz w:val="28"/>
          <w:szCs w:val="28"/>
          <w:highlight w:val="none"/>
          <w:lang w:val="en-US" w:eastAsia="zh-CN"/>
        </w:rPr>
        <w:t>23.71</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ascii="宋体" w:hAnsi="宋体"/>
          <w:color w:val="000000"/>
          <w:sz w:val="28"/>
          <w:szCs w:val="28"/>
          <w:highlight w:val="none"/>
        </w:rPr>
      </w:pPr>
      <w:r>
        <w:rPr>
          <w:rFonts w:hint="eastAsia" w:ascii="宋体" w:hAnsi="宋体"/>
          <w:color w:val="000000"/>
          <w:sz w:val="28"/>
          <w:szCs w:val="28"/>
          <w:highlight w:val="none"/>
        </w:rPr>
        <w:t>20</w:t>
      </w:r>
      <w:r>
        <w:rPr>
          <w:rFonts w:ascii="宋体" w:hAnsi="宋体"/>
          <w:color w:val="000000"/>
          <w:sz w:val="28"/>
          <w:szCs w:val="28"/>
          <w:highlight w:val="none"/>
        </w:rPr>
        <w:t>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6</w:t>
      </w:r>
      <w:r>
        <w:rPr>
          <w:rFonts w:hint="eastAsia" w:ascii="宋体" w:hAnsi="宋体"/>
          <w:color w:val="000000"/>
          <w:sz w:val="28"/>
          <w:szCs w:val="28"/>
          <w:highlight w:val="none"/>
        </w:rPr>
        <w:t>月</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0日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mY2NjOWZkMzhlYWI0MWRhODhiNmQxNGI1NDMzYzEifQ=="/>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4AD5FA9"/>
    <w:rsid w:val="1130228A"/>
    <w:rsid w:val="176470DA"/>
    <w:rsid w:val="1BC45719"/>
    <w:rsid w:val="234A2E0A"/>
    <w:rsid w:val="47AD1BC9"/>
    <w:rsid w:val="48947988"/>
    <w:rsid w:val="59594BD1"/>
    <w:rsid w:val="5D5D3774"/>
    <w:rsid w:val="5DE007BC"/>
    <w:rsid w:val="62ED2922"/>
    <w:rsid w:val="637D7578"/>
    <w:rsid w:val="6C1958B7"/>
    <w:rsid w:val="6F154BE6"/>
    <w:rsid w:val="71081781"/>
    <w:rsid w:val="75CD7A22"/>
    <w:rsid w:val="765E353C"/>
    <w:rsid w:val="76FF13B0"/>
    <w:rsid w:val="7B2A76F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Colorful 2"/>
    <w:basedOn w:val="14"/>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Char"/>
    <w:link w:val="10"/>
    <w:qFormat/>
    <w:uiPriority w:val="0"/>
    <w:rPr>
      <w:kern w:val="2"/>
      <w:sz w:val="18"/>
      <w:szCs w:val="18"/>
    </w:rPr>
  </w:style>
  <w:style w:type="character" w:customStyle="1" w:styleId="28">
    <w:name w:val="批注文字 Char"/>
    <w:link w:val="3"/>
    <w:semiHidden/>
    <w:qFormat/>
    <w:uiPriority w:val="99"/>
    <w:rPr>
      <w:kern w:val="2"/>
      <w:sz w:val="21"/>
    </w:rPr>
  </w:style>
  <w:style w:type="character" w:customStyle="1" w:styleId="29">
    <w:name w:val="日期 Char"/>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5</Pages>
  <Words>1934</Words>
  <Characters>2208</Characters>
  <Lines>26</Lines>
  <Paragraphs>7</Paragraphs>
  <TotalTime>7</TotalTime>
  <ScaleCrop>false</ScaleCrop>
  <LinksUpToDate>false</LinksUpToDate>
  <CharactersWithSpaces>2240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金建德</cp:lastModifiedBy>
  <cp:lastPrinted>2023-02-17T06:33:00Z</cp:lastPrinted>
  <dcterms:modified xsi:type="dcterms:W3CDTF">2023-06-29T10:58:45Z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</vt:lpwstr>
  </property>
  <property fmtid="{D5CDD505-2E9C-101B-9397-08002B2CF9AE}" pid="3" name="KSOProductBuildVer">
    <vt:lpwstr>2052-11.1.0.12650</vt:lpwstr>
  </property>
  <property fmtid="{D5CDD505-2E9C-101B-9397-08002B2CF9AE}" pid="4" name="ICV">
    <vt:lpwstr>B573FDF141624C02AB56436551E7D149_13</vt:lpwstr>
  </property>
</Properties>
</file>