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黑体" w:hAnsi="黑体" w:eastAsia="黑体" w:cs="黑体"/>
          <w:color w:val="000000"/>
          <w:szCs w:val="20"/>
          <w:lang w:val="en-US" w:eastAsia="zh-CN"/>
        </w:rPr>
      </w:pPr>
      <w:r>
        <w:rPr>
          <w:rFonts w:hint="eastAsia" w:ascii="黑体" w:hAnsi="黑体" w:eastAsia="黑体" w:cs="黑体"/>
          <w:color w:val="000000"/>
          <w:szCs w:val="20"/>
        </w:rPr>
        <w:t>股票代码：</w:t>
      </w:r>
      <w:r>
        <w:rPr>
          <w:rFonts w:hint="eastAsia" w:ascii="黑体" w:hAnsi="黑体" w:eastAsia="黑体" w:cs="黑体"/>
          <w:color w:val="000000"/>
          <w:szCs w:val="20"/>
        </w:rPr>
        <w:t>600188</w:t>
      </w:r>
      <w:r>
        <w:rPr>
          <w:rFonts w:hint="eastAsia" w:ascii="黑体" w:hAnsi="黑体" w:eastAsia="黑体" w:cs="黑体"/>
          <w:color w:val="000000"/>
          <w:szCs w:val="20"/>
        </w:rPr>
        <w:t xml:space="preserve">     </w:t>
      </w:r>
      <w:r>
        <w:rPr>
          <w:rFonts w:hint="eastAsia" w:ascii="黑体" w:hAnsi="黑体" w:eastAsia="黑体" w:cs="黑体"/>
          <w:color w:val="000000"/>
          <w:szCs w:val="20"/>
        </w:rPr>
        <w:t xml:space="preserve"> </w:t>
      </w:r>
      <w:r>
        <w:rPr>
          <w:rFonts w:hint="eastAsia" w:ascii="黑体" w:hAnsi="黑体" w:eastAsia="黑体" w:cs="黑体"/>
          <w:color w:val="000000"/>
          <w:szCs w:val="20"/>
        </w:rPr>
        <w:t xml:space="preserve">         股票简称：兖矿能源      </w:t>
      </w:r>
      <w:r>
        <w:rPr>
          <w:rFonts w:hint="eastAsia" w:ascii="黑体" w:hAnsi="黑体" w:eastAsia="黑体" w:cs="黑体"/>
          <w:color w:val="000000"/>
          <w:szCs w:val="20"/>
        </w:rPr>
        <w:t xml:space="preserve">     </w:t>
      </w:r>
      <w:r>
        <w:rPr>
          <w:rFonts w:hint="eastAsia" w:ascii="黑体" w:hAnsi="黑体" w:eastAsia="黑体" w:cs="黑体"/>
          <w:color w:val="000000"/>
          <w:szCs w:val="20"/>
        </w:rPr>
        <w:t xml:space="preserve">   编号：临20</w:t>
      </w:r>
      <w:r>
        <w:rPr>
          <w:rFonts w:hint="eastAsia" w:ascii="黑体" w:hAnsi="黑体" w:eastAsia="黑体" w:cs="黑体"/>
          <w:color w:val="000000"/>
          <w:szCs w:val="20"/>
        </w:rPr>
        <w:t>23</w:t>
      </w:r>
      <w:r>
        <w:rPr>
          <w:rFonts w:hint="eastAsia" w:ascii="黑体" w:hAnsi="黑体" w:eastAsia="黑体" w:cs="黑体"/>
          <w:color w:val="000000"/>
          <w:szCs w:val="20"/>
        </w:rPr>
        <w:t>-</w:t>
      </w:r>
      <w:r>
        <w:rPr>
          <w:rFonts w:hint="eastAsia" w:ascii="黑体" w:hAnsi="黑体" w:eastAsia="黑体" w:cs="黑体"/>
          <w:color w:val="000000"/>
          <w:szCs w:val="20"/>
          <w:lang w:val="en-US" w:eastAsia="zh-CN"/>
        </w:rPr>
        <w:t>0</w:t>
      </w:r>
      <w:r>
        <w:rPr>
          <w:rFonts w:hint="eastAsia" w:ascii="黑体" w:hAnsi="黑体" w:eastAsia="黑体" w:cs="黑体"/>
          <w:color w:val="000000"/>
          <w:szCs w:val="20"/>
          <w:lang w:val="en-US" w:eastAsia="zh-CN"/>
        </w:rPr>
        <w:t>31</w:t>
      </w:r>
    </w:p>
    <w:p>
      <w:pPr>
        <w:spacing w:line="560" w:lineRule="exact"/>
        <w:jc w:val="center"/>
        <w:rPr>
          <w:rFonts w:ascii="黑体" w:eastAsia="黑体"/>
          <w:b/>
          <w:bCs/>
          <w:color w:val="FF0000"/>
          <w:sz w:val="36"/>
          <w:szCs w:val="36"/>
        </w:rPr>
      </w:pPr>
    </w:p>
    <w:p>
      <w:pPr>
        <w:spacing w:line="560" w:lineRule="exact"/>
        <w:jc w:val="center"/>
        <w:rPr>
          <w:rFonts w:ascii="黑体" w:eastAsia="黑体"/>
          <w:b/>
          <w:bCs/>
          <w:color w:val="FF0000"/>
          <w:sz w:val="36"/>
          <w:szCs w:val="36"/>
        </w:rPr>
      </w:pPr>
      <w:r>
        <w:rPr>
          <w:rFonts w:hint="eastAsia" w:ascii="黑体" w:eastAsia="黑体"/>
          <w:b/>
          <w:bCs/>
          <w:color w:val="FF0000"/>
          <w:sz w:val="36"/>
          <w:szCs w:val="36"/>
        </w:rPr>
        <w:t>兖矿能源集团股份有限公司</w:t>
      </w:r>
    </w:p>
    <w:p>
      <w:pPr>
        <w:spacing w:line="560" w:lineRule="exact"/>
        <w:jc w:val="center"/>
        <w:rPr>
          <w:rFonts w:ascii="黑体" w:eastAsia="黑体"/>
          <w:b/>
          <w:bCs/>
          <w:color w:val="FF0000"/>
          <w:sz w:val="36"/>
          <w:szCs w:val="36"/>
        </w:rPr>
      </w:pPr>
      <w:r>
        <w:rPr>
          <w:rFonts w:hint="eastAsia" w:ascii="黑体" w:eastAsia="黑体"/>
          <w:b/>
          <w:bCs/>
          <w:color w:val="FF0000"/>
          <w:sz w:val="36"/>
          <w:szCs w:val="36"/>
        </w:rPr>
        <w:t>关于2018年A股股票期权激励计划第三个行权期</w:t>
      </w:r>
    </w:p>
    <w:p>
      <w:pPr>
        <w:spacing w:line="560" w:lineRule="exact"/>
        <w:jc w:val="center"/>
        <w:rPr>
          <w:rFonts w:ascii="黑体" w:eastAsia="黑体"/>
          <w:b/>
          <w:bCs/>
          <w:color w:val="FF0000"/>
          <w:sz w:val="36"/>
          <w:szCs w:val="36"/>
        </w:rPr>
      </w:pPr>
      <w:r>
        <w:rPr>
          <w:rFonts w:hint="eastAsia" w:ascii="黑体" w:eastAsia="黑体"/>
          <w:b/>
          <w:bCs/>
          <w:color w:val="FF0000"/>
          <w:sz w:val="36"/>
          <w:szCs w:val="36"/>
        </w:rPr>
        <w:t>采用自主行权模式的提示性公告</w:t>
      </w:r>
      <w:bookmarkStart w:id="1" w:name="_GoBack"/>
      <w:bookmarkEnd w:id="1"/>
    </w:p>
    <w:p>
      <w:pPr>
        <w:spacing w:line="400" w:lineRule="exact"/>
        <w:rPr>
          <w:sz w:val="28"/>
          <w:szCs w:val="28"/>
        </w:rPr>
      </w:pPr>
    </w:p>
    <w:p>
      <w:pPr>
        <w:spacing w:line="360" w:lineRule="auto"/>
        <w:ind w:firstLine="560" w:firstLineChars="200"/>
        <w:rPr>
          <w:rFonts w:asciiTheme="minorEastAsia" w:hAnsiTheme="minorEastAsia"/>
          <w:b/>
          <w:bCs/>
          <w:sz w:val="24"/>
        </w:rPr>
      </w:pPr>
      <w:r>
        <w:rPr>
          <w:sz w:val="28"/>
          <w:szCs w:val="20"/>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5372100" cy="980440"/>
                <wp:effectExtent l="0" t="0" r="19050" b="10160"/>
                <wp:wrapTopAndBottom/>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5372100" cy="980440"/>
                        </a:xfrm>
                        <a:prstGeom prst="rect">
                          <a:avLst/>
                        </a:prstGeom>
                        <a:solidFill>
                          <a:srgbClr val="FFFFFF"/>
                        </a:solidFill>
                        <a:ln w="9525">
                          <a:solidFill>
                            <a:srgbClr val="000000"/>
                          </a:solidFill>
                          <a:miter lim="800000"/>
                        </a:ln>
                      </wps:spPr>
                      <wps:txbx>
                        <w:txbxContent>
                          <w:p>
                            <w:pPr>
                              <w:adjustRightInd w:val="0"/>
                              <w:snapToGrid w:val="0"/>
                              <w:spacing w:line="480" w:lineRule="exact"/>
                              <w:ind w:firstLine="560" w:firstLineChars="200"/>
                              <w:rPr>
                                <w:sz w:val="28"/>
                              </w:rPr>
                            </w:pPr>
                            <w:r>
                              <w:rPr>
                                <w:rFonts w:hint="eastAsia"/>
                                <w:sz w:val="28"/>
                              </w:rPr>
                              <w:t>本公司董事会及全体董事保证本公告内容不存在任何虚假记载、误导性陈述或者重大遗漏，并对其内容的真实性、准确性和完整性承担法律责任。</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0pt;margin-top:0pt;height:77.2pt;width:423pt;mso-wrap-distance-bottom:0pt;mso-wrap-distance-top:0pt;z-index:251659264;mso-width-relative:page;mso-height-relative:page;" fillcolor="#FFFFFF" filled="t" stroked="t" coordsize="21600,21600" o:gfxdata="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K0ppUzUAAAABQEAAA8AAAAAAAAAAQAgAAAAIgAAAGRycy9k&#10;b3ducmV2LnhtbFBLAQIUABQAAAAIAIdO4kCSB4ouPwIAAIcEAAAOAAAAAAAAAAEAIAAAACMBAABk&#10;cnMvZTJvRG9jLnhtbFBLBQYAAAAABgAGAFkBAADUBQAAAAA=&#10;">
                <v:fill on="t" focussize="0,0"/>
                <v:stroke color="#000000" miterlimit="8" joinstyle="miter"/>
                <v:imagedata o:title=""/>
                <o:lock v:ext="edit" aspectratio="f"/>
                <v:textbox>
                  <w:txbxContent>
                    <w:p>
                      <w:pPr>
                        <w:adjustRightInd w:val="0"/>
                        <w:snapToGrid w:val="0"/>
                        <w:spacing w:line="480" w:lineRule="exact"/>
                        <w:ind w:firstLine="560" w:firstLineChars="200"/>
                        <w:rPr>
                          <w:sz w:val="28"/>
                        </w:rPr>
                      </w:pPr>
                      <w:r>
                        <w:rPr>
                          <w:rFonts w:hint="eastAsia"/>
                          <w:sz w:val="28"/>
                        </w:rPr>
                        <w:t>本公司董事会及全体董事保证本公告内容不存在任何虚假记载、误导性陈述或者重大遗漏，并对其内容的真实性、准确性和完整性承担法律责任。</w:t>
                      </w:r>
                    </w:p>
                  </w:txbxContent>
                </v:textbox>
                <w10:wrap type="topAndBottom"/>
              </v:shape>
            </w:pict>
          </mc:Fallback>
        </mc:AlternateContent>
      </w:r>
    </w:p>
    <w:p>
      <w:pPr>
        <w:spacing w:line="520" w:lineRule="exact"/>
        <w:ind w:firstLine="560" w:firstLineChars="200"/>
        <w:rPr>
          <w:rFonts w:ascii="宋体" w:hAnsi="宋体"/>
          <w:sz w:val="28"/>
          <w:szCs w:val="28"/>
        </w:rPr>
      </w:pPr>
      <w:r>
        <w:rPr>
          <w:rFonts w:hint="eastAsia" w:ascii="宋体" w:hAnsi="宋体"/>
          <w:sz w:val="28"/>
          <w:szCs w:val="28"/>
        </w:rPr>
        <w:t>根据</w:t>
      </w:r>
      <w:r>
        <w:rPr>
          <w:rFonts w:ascii="宋体" w:hAnsi="宋体"/>
          <w:sz w:val="28"/>
          <w:szCs w:val="28"/>
        </w:rPr>
        <w:t>2019</w:t>
      </w:r>
      <w:r>
        <w:rPr>
          <w:rFonts w:hint="eastAsia" w:ascii="宋体" w:hAnsi="宋体"/>
          <w:sz w:val="28"/>
          <w:szCs w:val="28"/>
        </w:rPr>
        <w:t>年</w:t>
      </w:r>
      <w:r>
        <w:rPr>
          <w:rFonts w:ascii="宋体" w:hAnsi="宋体"/>
          <w:sz w:val="28"/>
          <w:szCs w:val="28"/>
        </w:rPr>
        <w:t>2</w:t>
      </w:r>
      <w:r>
        <w:rPr>
          <w:rFonts w:hint="eastAsia" w:ascii="宋体" w:hAnsi="宋体"/>
          <w:sz w:val="28"/>
          <w:szCs w:val="28"/>
        </w:rPr>
        <w:t>月</w:t>
      </w:r>
      <w:r>
        <w:rPr>
          <w:rFonts w:ascii="宋体" w:hAnsi="宋体"/>
          <w:sz w:val="28"/>
          <w:szCs w:val="28"/>
        </w:rPr>
        <w:t>12</w:t>
      </w:r>
      <w:r>
        <w:rPr>
          <w:rFonts w:hint="eastAsia" w:ascii="宋体" w:hAnsi="宋体"/>
          <w:sz w:val="28"/>
          <w:szCs w:val="28"/>
        </w:rPr>
        <w:t>日召开的兖矿能源集团股份有限公司（“公司”“本公司”）2019年度第一次临时股东大会、2019年度第一次A股类别股东大会及2019年度第一次H股类别股东大会授权，公司于20</w:t>
      </w:r>
      <w:r>
        <w:rPr>
          <w:rFonts w:ascii="宋体" w:hAnsi="宋体"/>
          <w:sz w:val="28"/>
          <w:szCs w:val="28"/>
        </w:rPr>
        <w:t>23</w:t>
      </w:r>
      <w:r>
        <w:rPr>
          <w:rFonts w:hint="eastAsia" w:ascii="宋体" w:hAnsi="宋体"/>
          <w:sz w:val="28"/>
          <w:szCs w:val="28"/>
        </w:rPr>
        <w:t>年</w:t>
      </w:r>
      <w:r>
        <w:rPr>
          <w:rFonts w:ascii="宋体" w:hAnsi="宋体"/>
          <w:sz w:val="28"/>
          <w:szCs w:val="28"/>
        </w:rPr>
        <w:t>4</w:t>
      </w:r>
      <w:r>
        <w:rPr>
          <w:rFonts w:hint="eastAsia" w:ascii="宋体" w:hAnsi="宋体"/>
          <w:sz w:val="28"/>
          <w:szCs w:val="28"/>
        </w:rPr>
        <w:t>月</w:t>
      </w:r>
      <w:r>
        <w:rPr>
          <w:rFonts w:ascii="宋体" w:hAnsi="宋体"/>
          <w:sz w:val="28"/>
          <w:szCs w:val="28"/>
        </w:rPr>
        <w:t>24</w:t>
      </w:r>
      <w:r>
        <w:rPr>
          <w:rFonts w:hint="eastAsia" w:ascii="宋体" w:hAnsi="宋体"/>
          <w:sz w:val="28"/>
          <w:szCs w:val="28"/>
        </w:rPr>
        <w:t>日召开第八届董事会第二十八次会议，审议并批准了《关于2018年A股股票期权激励计划行权条件成就的议案》。</w:t>
      </w:r>
    </w:p>
    <w:p>
      <w:pPr>
        <w:adjustRightInd w:val="0"/>
        <w:snapToGrid w:val="0"/>
        <w:spacing w:line="500" w:lineRule="exact"/>
        <w:ind w:firstLine="560" w:firstLineChars="200"/>
        <w:rPr>
          <w:rFonts w:ascii="楷体_GB2312" w:hAnsi="等线" w:eastAsia="楷体_GB2312" w:cs="等线"/>
          <w:sz w:val="28"/>
          <w:szCs w:val="28"/>
        </w:rPr>
      </w:pPr>
      <w:r>
        <w:rPr>
          <w:rFonts w:hint="eastAsia" w:ascii="楷体_GB2312" w:hAnsi="等线" w:eastAsia="楷体_GB2312" w:cs="等线"/>
          <w:sz w:val="28"/>
          <w:szCs w:val="28"/>
        </w:rPr>
        <w:t>有关详情请见公司日期为</w:t>
      </w:r>
      <w:r>
        <w:rPr>
          <w:rFonts w:ascii="楷体_GB2312" w:hAnsi="等线" w:eastAsia="楷体_GB2312" w:cs="等线"/>
          <w:sz w:val="28"/>
          <w:szCs w:val="28"/>
        </w:rPr>
        <w:t>2023年4月24日的</w:t>
      </w:r>
      <w:r>
        <w:rPr>
          <w:rFonts w:hint="eastAsia" w:ascii="楷体_GB2312" w:hAnsi="等线" w:eastAsia="楷体_GB2312" w:cs="等线"/>
          <w:sz w:val="28"/>
          <w:szCs w:val="28"/>
        </w:rPr>
        <w:t>关于</w:t>
      </w:r>
      <w:r>
        <w:rPr>
          <w:rFonts w:ascii="楷体_GB2312" w:hAnsi="等线" w:eastAsia="楷体_GB2312" w:cs="等线"/>
          <w:sz w:val="28"/>
          <w:szCs w:val="28"/>
        </w:rPr>
        <w:t>2018年A股股票期权激励计划第</w:t>
      </w:r>
      <w:r>
        <w:rPr>
          <w:rFonts w:hint="eastAsia" w:ascii="楷体_GB2312" w:hAnsi="等线" w:eastAsia="楷体_GB2312" w:cs="等线"/>
          <w:sz w:val="28"/>
          <w:szCs w:val="28"/>
        </w:rPr>
        <w:t>三</w:t>
      </w:r>
      <w:r>
        <w:rPr>
          <w:rFonts w:ascii="楷体_GB2312" w:hAnsi="等线" w:eastAsia="楷体_GB2312" w:cs="等线"/>
          <w:sz w:val="28"/>
          <w:szCs w:val="28"/>
        </w:rPr>
        <w:t>个行权期行权条件成就的公告</w:t>
      </w:r>
      <w:r>
        <w:rPr>
          <w:rFonts w:hint="eastAsia" w:ascii="楷体_GB2312" w:hAnsi="等线" w:eastAsia="楷体_GB2312" w:cs="等线"/>
          <w:sz w:val="28"/>
          <w:szCs w:val="28"/>
        </w:rPr>
        <w:t>。该等资料载于上海证券交易所网站、香港联合交易所有限公司网站、公司网站及</w:t>
      </w:r>
      <w:r>
        <w:rPr>
          <w:rFonts w:ascii="楷体_GB2312" w:hAnsi="等线" w:eastAsia="楷体_GB2312" w:cs="等线"/>
          <w:sz w:val="28"/>
          <w:szCs w:val="28"/>
        </w:rPr>
        <w:t>/或中国境内《中国证券报》《上海证券报》《证券时报》《证券日报》。</w:t>
      </w:r>
    </w:p>
    <w:p>
      <w:pPr>
        <w:spacing w:line="520" w:lineRule="exact"/>
        <w:ind w:firstLine="560" w:firstLineChars="200"/>
        <w:rPr>
          <w:rFonts w:ascii="宋体" w:hAnsi="宋体"/>
          <w:sz w:val="28"/>
          <w:szCs w:val="28"/>
        </w:rPr>
      </w:pPr>
      <w:r>
        <w:rPr>
          <w:rFonts w:hint="eastAsia" w:ascii="宋体" w:hAnsi="宋体"/>
          <w:sz w:val="28"/>
          <w:szCs w:val="28"/>
        </w:rPr>
        <w:t>公司201</w:t>
      </w:r>
      <w:r>
        <w:rPr>
          <w:rFonts w:ascii="宋体" w:hAnsi="宋体"/>
          <w:sz w:val="28"/>
          <w:szCs w:val="28"/>
        </w:rPr>
        <w:t>8</w:t>
      </w:r>
      <w:r>
        <w:rPr>
          <w:rFonts w:hint="eastAsia" w:ascii="宋体" w:hAnsi="宋体"/>
          <w:sz w:val="28"/>
          <w:szCs w:val="28"/>
        </w:rPr>
        <w:t>年A股股票期权激励计划第三个行权期采用自主行权方式行权，主要安排如下：</w:t>
      </w:r>
    </w:p>
    <w:p>
      <w:pPr>
        <w:spacing w:line="520" w:lineRule="exact"/>
        <w:ind w:firstLine="560" w:firstLineChars="200"/>
        <w:rPr>
          <w:rFonts w:ascii="宋体" w:hAnsi="宋体"/>
          <w:sz w:val="28"/>
          <w:szCs w:val="28"/>
        </w:rPr>
      </w:pPr>
      <w:r>
        <w:rPr>
          <w:rFonts w:ascii="宋体" w:hAnsi="宋体"/>
          <w:sz w:val="28"/>
          <w:szCs w:val="28"/>
        </w:rPr>
        <w:t>1</w:t>
      </w:r>
      <w:r>
        <w:rPr>
          <w:rFonts w:hint="eastAsia" w:ascii="宋体" w:hAnsi="宋体"/>
          <w:sz w:val="28"/>
          <w:szCs w:val="28"/>
        </w:rPr>
        <w:t>.行权数量：</w:t>
      </w:r>
      <w:r>
        <w:rPr>
          <w:rFonts w:ascii="宋体" w:hAnsi="宋体"/>
          <w:sz w:val="28"/>
          <w:szCs w:val="28"/>
        </w:rPr>
        <w:t>12,656,840</w:t>
      </w:r>
      <w:r>
        <w:rPr>
          <w:rFonts w:hint="eastAsia" w:ascii="宋体" w:hAnsi="宋体"/>
          <w:sz w:val="28"/>
          <w:szCs w:val="28"/>
        </w:rPr>
        <w:t>份</w:t>
      </w:r>
    </w:p>
    <w:p>
      <w:pPr>
        <w:spacing w:line="520" w:lineRule="exact"/>
        <w:ind w:firstLine="560" w:firstLineChars="200"/>
        <w:rPr>
          <w:rFonts w:ascii="宋体" w:hAnsi="宋体"/>
          <w:sz w:val="28"/>
          <w:szCs w:val="28"/>
        </w:rPr>
      </w:pPr>
      <w:r>
        <w:rPr>
          <w:rFonts w:ascii="宋体" w:hAnsi="宋体"/>
          <w:sz w:val="28"/>
          <w:szCs w:val="28"/>
        </w:rPr>
        <w:t>2</w:t>
      </w:r>
      <w:r>
        <w:rPr>
          <w:rFonts w:hint="eastAsia" w:ascii="宋体" w:hAnsi="宋体"/>
          <w:sz w:val="28"/>
          <w:szCs w:val="28"/>
        </w:rPr>
        <w:t>.行权人数：</w:t>
      </w:r>
      <w:r>
        <w:rPr>
          <w:rFonts w:ascii="宋体" w:hAnsi="宋体"/>
          <w:sz w:val="28"/>
          <w:szCs w:val="28"/>
        </w:rPr>
        <w:t>419</w:t>
      </w:r>
      <w:r>
        <w:rPr>
          <w:rFonts w:hint="eastAsia" w:ascii="宋体" w:hAnsi="宋体"/>
          <w:sz w:val="28"/>
          <w:szCs w:val="28"/>
        </w:rPr>
        <w:t>名</w:t>
      </w:r>
    </w:p>
    <w:p>
      <w:pPr>
        <w:spacing w:line="520" w:lineRule="exact"/>
        <w:ind w:firstLine="560" w:firstLineChars="200"/>
        <w:rPr>
          <w:rFonts w:ascii="宋体" w:hAnsi="宋体"/>
          <w:sz w:val="28"/>
          <w:szCs w:val="28"/>
        </w:rPr>
      </w:pPr>
      <w:r>
        <w:rPr>
          <w:rFonts w:ascii="宋体" w:hAnsi="宋体"/>
          <w:sz w:val="28"/>
          <w:szCs w:val="28"/>
        </w:rPr>
        <w:t>3</w:t>
      </w:r>
      <w:r>
        <w:rPr>
          <w:rFonts w:hint="eastAsia" w:ascii="宋体" w:hAnsi="宋体"/>
          <w:sz w:val="28"/>
          <w:szCs w:val="28"/>
        </w:rPr>
        <w:t>.行权价格：人民币</w:t>
      </w:r>
      <w:r>
        <w:rPr>
          <w:rFonts w:ascii="宋体" w:hAnsi="宋体"/>
          <w:sz w:val="28"/>
          <w:szCs w:val="28"/>
        </w:rPr>
        <w:t>4.52</w:t>
      </w:r>
      <w:r>
        <w:rPr>
          <w:rFonts w:hint="eastAsia" w:ascii="宋体" w:hAnsi="宋体"/>
          <w:sz w:val="28"/>
          <w:szCs w:val="28"/>
        </w:rPr>
        <w:t>元/份</w:t>
      </w:r>
    </w:p>
    <w:p>
      <w:pPr>
        <w:spacing w:line="520" w:lineRule="exact"/>
        <w:ind w:firstLine="560" w:firstLineChars="200"/>
        <w:rPr>
          <w:rFonts w:ascii="宋体" w:hAnsi="宋体"/>
          <w:sz w:val="28"/>
          <w:szCs w:val="28"/>
        </w:rPr>
      </w:pPr>
      <w:r>
        <w:rPr>
          <w:rFonts w:ascii="宋体" w:hAnsi="宋体"/>
          <w:sz w:val="28"/>
          <w:szCs w:val="28"/>
        </w:rPr>
        <w:t>4</w:t>
      </w:r>
      <w:r>
        <w:rPr>
          <w:rFonts w:hint="eastAsia" w:ascii="宋体" w:hAnsi="宋体"/>
          <w:sz w:val="28"/>
          <w:szCs w:val="28"/>
        </w:rPr>
        <w:t>.股票来源：公司向激励对象定向发行公司人民币普通股（A股）股票。</w:t>
      </w:r>
    </w:p>
    <w:p>
      <w:pPr>
        <w:spacing w:line="520" w:lineRule="exact"/>
        <w:ind w:firstLine="560" w:firstLineChars="200"/>
        <w:rPr>
          <w:rFonts w:ascii="宋体" w:hAnsi="宋体"/>
          <w:sz w:val="28"/>
          <w:szCs w:val="28"/>
        </w:rPr>
      </w:pPr>
      <w:r>
        <w:rPr>
          <w:rFonts w:ascii="宋体" w:hAnsi="宋体"/>
          <w:sz w:val="28"/>
          <w:szCs w:val="28"/>
        </w:rPr>
        <w:t>5</w:t>
      </w:r>
      <w:r>
        <w:rPr>
          <w:rFonts w:hint="eastAsia" w:ascii="宋体" w:hAnsi="宋体"/>
          <w:sz w:val="28"/>
          <w:szCs w:val="28"/>
        </w:rPr>
        <w:t>.行权方式：自主行权。公司已聘请中泰证券股份有限公司作为自主行权主办券商。</w:t>
      </w:r>
    </w:p>
    <w:p>
      <w:pPr>
        <w:spacing w:line="520" w:lineRule="exact"/>
        <w:ind w:firstLine="560" w:firstLineChars="200"/>
        <w:rPr>
          <w:rFonts w:ascii="宋体" w:hAnsi="宋体"/>
          <w:sz w:val="28"/>
          <w:szCs w:val="28"/>
        </w:rPr>
      </w:pPr>
      <w:r>
        <w:rPr>
          <w:rFonts w:ascii="宋体" w:hAnsi="宋体"/>
          <w:sz w:val="28"/>
          <w:szCs w:val="28"/>
        </w:rPr>
        <w:t>6</w:t>
      </w:r>
      <w:r>
        <w:rPr>
          <w:rFonts w:hint="eastAsia" w:ascii="宋体" w:hAnsi="宋体"/>
          <w:sz w:val="28"/>
          <w:szCs w:val="28"/>
        </w:rPr>
        <w:t>.行权安排：根据政策规定的窗口期及手续办理情况，实际可行权期为2023年</w:t>
      </w:r>
      <w:r>
        <w:rPr>
          <w:rFonts w:ascii="宋体" w:hAnsi="宋体"/>
          <w:sz w:val="28"/>
          <w:szCs w:val="28"/>
        </w:rPr>
        <w:t>5</w:t>
      </w:r>
      <w:r>
        <w:rPr>
          <w:rFonts w:hint="eastAsia" w:ascii="宋体" w:hAnsi="宋体"/>
          <w:sz w:val="28"/>
          <w:szCs w:val="28"/>
        </w:rPr>
        <w:t>月</w:t>
      </w:r>
      <w:r>
        <w:rPr>
          <w:rFonts w:ascii="宋体" w:hAnsi="宋体"/>
          <w:sz w:val="28"/>
          <w:szCs w:val="28"/>
        </w:rPr>
        <w:t>23</w:t>
      </w:r>
      <w:r>
        <w:rPr>
          <w:rFonts w:hint="eastAsia" w:ascii="宋体" w:hAnsi="宋体"/>
          <w:sz w:val="28"/>
          <w:szCs w:val="28"/>
        </w:rPr>
        <w:t>日起至202</w:t>
      </w:r>
      <w:r>
        <w:rPr>
          <w:rFonts w:ascii="宋体" w:hAnsi="宋体"/>
          <w:sz w:val="28"/>
          <w:szCs w:val="28"/>
        </w:rPr>
        <w:t>4</w:t>
      </w:r>
      <w:r>
        <w:rPr>
          <w:rFonts w:hint="eastAsia" w:ascii="宋体" w:hAnsi="宋体"/>
          <w:sz w:val="28"/>
          <w:szCs w:val="28"/>
        </w:rPr>
        <w:t>年2月</w:t>
      </w:r>
      <w:r>
        <w:rPr>
          <w:rFonts w:ascii="宋体" w:hAnsi="宋体"/>
          <w:sz w:val="28"/>
          <w:szCs w:val="28"/>
        </w:rPr>
        <w:t>12</w:t>
      </w:r>
      <w:r>
        <w:rPr>
          <w:rFonts w:hint="eastAsia" w:ascii="宋体" w:hAnsi="宋体"/>
          <w:sz w:val="28"/>
          <w:szCs w:val="28"/>
        </w:rPr>
        <w:t>日止，激励对象可在实际可行权期限内（法定禁止行权期除外）自主行权。行权所得股票可于行权日（T日）后的第二个交易日（T+2）日上市交易。</w:t>
      </w:r>
    </w:p>
    <w:p>
      <w:pPr>
        <w:spacing w:line="520" w:lineRule="exact"/>
        <w:ind w:firstLine="560" w:firstLineChars="200"/>
        <w:rPr>
          <w:rFonts w:ascii="宋体" w:hAnsi="宋体"/>
          <w:sz w:val="28"/>
          <w:szCs w:val="28"/>
        </w:rPr>
      </w:pPr>
      <w:r>
        <w:rPr>
          <w:rFonts w:ascii="宋体" w:hAnsi="宋体"/>
          <w:sz w:val="28"/>
          <w:szCs w:val="28"/>
        </w:rPr>
        <w:t>7</w:t>
      </w:r>
      <w:r>
        <w:rPr>
          <w:rFonts w:hint="eastAsia" w:ascii="宋体" w:hAnsi="宋体"/>
          <w:sz w:val="28"/>
          <w:szCs w:val="28"/>
        </w:rPr>
        <w:t>.本次可行权对象名单</w:t>
      </w:r>
      <w:r>
        <w:rPr>
          <w:rFonts w:ascii="宋体" w:hAnsi="宋体"/>
          <w:sz w:val="28"/>
          <w:szCs w:val="28"/>
        </w:rPr>
        <w:t>:</w:t>
      </w:r>
    </w:p>
    <w:tbl>
      <w:tblPr>
        <w:tblStyle w:val="6"/>
        <w:tblW w:w="8065"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57" w:type="dxa"/>
          <w:bottom w:w="0" w:type="dxa"/>
          <w:right w:w="57" w:type="dxa"/>
        </w:tblCellMar>
      </w:tblPr>
      <w:tblGrid>
        <w:gridCol w:w="1204"/>
        <w:gridCol w:w="1843"/>
        <w:gridCol w:w="1448"/>
        <w:gridCol w:w="1869"/>
        <w:gridCol w:w="1701"/>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57" w:type="dxa"/>
            <w:bottom w:w="0" w:type="dxa"/>
            <w:right w:w="57" w:type="dxa"/>
          </w:tblCellMar>
        </w:tblPrEx>
        <w:trPr>
          <w:trHeight w:val="1023" w:hRule="exact"/>
          <w:jc w:val="center"/>
        </w:trPr>
        <w:tc>
          <w:tcPr>
            <w:tcW w:w="1204" w:type="dxa"/>
            <w:shd w:val="clear" w:color="auto" w:fill="D9D9D9"/>
            <w:vAlign w:val="center"/>
          </w:tcPr>
          <w:p>
            <w:pPr>
              <w:kinsoku w:val="0"/>
              <w:overflowPunct w:val="0"/>
              <w:autoSpaceDE w:val="0"/>
              <w:autoSpaceDN w:val="0"/>
              <w:adjustRightInd w:val="0"/>
              <w:jc w:val="center"/>
              <w:rPr>
                <w:kern w:val="0"/>
                <w:szCs w:val="21"/>
              </w:rPr>
            </w:pPr>
            <w:bookmarkStart w:id="0" w:name="_Hlk32231946"/>
            <w:r>
              <w:rPr>
                <w:b/>
                <w:bCs/>
                <w:kern w:val="0"/>
                <w:szCs w:val="21"/>
              </w:rPr>
              <w:t>激励对象</w:t>
            </w:r>
          </w:p>
        </w:tc>
        <w:tc>
          <w:tcPr>
            <w:tcW w:w="1843" w:type="dxa"/>
            <w:shd w:val="clear" w:color="auto" w:fill="D9D9D9"/>
            <w:vAlign w:val="center"/>
          </w:tcPr>
          <w:p>
            <w:pPr>
              <w:kinsoku w:val="0"/>
              <w:overflowPunct w:val="0"/>
              <w:autoSpaceDE w:val="0"/>
              <w:autoSpaceDN w:val="0"/>
              <w:adjustRightInd w:val="0"/>
              <w:jc w:val="center"/>
              <w:rPr>
                <w:kern w:val="0"/>
                <w:szCs w:val="21"/>
              </w:rPr>
            </w:pPr>
            <w:r>
              <w:rPr>
                <w:b/>
                <w:bCs/>
                <w:kern w:val="0"/>
                <w:szCs w:val="21"/>
              </w:rPr>
              <w:t>职务</w:t>
            </w:r>
          </w:p>
        </w:tc>
        <w:tc>
          <w:tcPr>
            <w:tcW w:w="1448" w:type="dxa"/>
            <w:shd w:val="clear" w:color="auto" w:fill="D9D9D9"/>
            <w:vAlign w:val="center"/>
          </w:tcPr>
          <w:p>
            <w:pPr>
              <w:kinsoku w:val="0"/>
              <w:overflowPunct w:val="0"/>
              <w:autoSpaceDE w:val="0"/>
              <w:autoSpaceDN w:val="0"/>
              <w:adjustRightInd w:val="0"/>
              <w:jc w:val="center"/>
              <w:rPr>
                <w:b/>
                <w:bCs/>
                <w:kern w:val="0"/>
                <w:szCs w:val="21"/>
              </w:rPr>
            </w:pPr>
            <w:r>
              <w:rPr>
                <w:rFonts w:hint="eastAsia"/>
                <w:b/>
                <w:bCs/>
                <w:kern w:val="0"/>
                <w:szCs w:val="21"/>
              </w:rPr>
              <w:t>第三个行权期可行权数量</w:t>
            </w:r>
          </w:p>
          <w:p>
            <w:pPr>
              <w:kinsoku w:val="0"/>
              <w:overflowPunct w:val="0"/>
              <w:autoSpaceDE w:val="0"/>
              <w:autoSpaceDN w:val="0"/>
              <w:adjustRightInd w:val="0"/>
              <w:jc w:val="center"/>
              <w:rPr>
                <w:b/>
                <w:bCs/>
                <w:kern w:val="0"/>
                <w:szCs w:val="21"/>
              </w:rPr>
            </w:pPr>
            <w:r>
              <w:rPr>
                <w:rFonts w:hint="eastAsia"/>
                <w:b/>
                <w:bCs/>
                <w:kern w:val="0"/>
                <w:szCs w:val="21"/>
              </w:rPr>
              <w:t>（万份）</w:t>
            </w:r>
          </w:p>
        </w:tc>
        <w:tc>
          <w:tcPr>
            <w:tcW w:w="1869" w:type="dxa"/>
            <w:shd w:val="clear" w:color="auto" w:fill="D9D9D9"/>
            <w:vAlign w:val="center"/>
          </w:tcPr>
          <w:p>
            <w:pPr>
              <w:kinsoku w:val="0"/>
              <w:overflowPunct w:val="0"/>
              <w:autoSpaceDE w:val="0"/>
              <w:autoSpaceDN w:val="0"/>
              <w:adjustRightInd w:val="0"/>
              <w:jc w:val="center"/>
              <w:rPr>
                <w:b/>
                <w:bCs/>
                <w:kern w:val="0"/>
                <w:szCs w:val="21"/>
              </w:rPr>
            </w:pPr>
            <w:r>
              <w:rPr>
                <w:rFonts w:hint="eastAsia"/>
                <w:b/>
                <w:bCs/>
                <w:kern w:val="0"/>
                <w:szCs w:val="21"/>
              </w:rPr>
              <w:t>占授予股票期权总数的比例（%）</w:t>
            </w:r>
          </w:p>
        </w:tc>
        <w:tc>
          <w:tcPr>
            <w:tcW w:w="1701" w:type="dxa"/>
            <w:shd w:val="clear" w:color="auto" w:fill="D9D9D9"/>
            <w:vAlign w:val="center"/>
          </w:tcPr>
          <w:p>
            <w:pPr>
              <w:kinsoku w:val="0"/>
              <w:overflowPunct w:val="0"/>
              <w:autoSpaceDE w:val="0"/>
              <w:autoSpaceDN w:val="0"/>
              <w:adjustRightInd w:val="0"/>
              <w:jc w:val="center"/>
              <w:rPr>
                <w:b/>
                <w:bCs/>
                <w:kern w:val="0"/>
                <w:szCs w:val="21"/>
              </w:rPr>
            </w:pPr>
            <w:r>
              <w:rPr>
                <w:rFonts w:hint="eastAsia"/>
                <w:b/>
                <w:bCs/>
                <w:kern w:val="0"/>
                <w:szCs w:val="21"/>
              </w:rPr>
              <w:t>占授予时股本总额的比例（%）</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510" w:hRule="atLeast"/>
          <w:jc w:val="center"/>
        </w:trPr>
        <w:tc>
          <w:tcPr>
            <w:tcW w:w="1204" w:type="dxa"/>
            <w:shd w:val="clear" w:color="auto" w:fill="auto"/>
            <w:vAlign w:val="center"/>
          </w:tcPr>
          <w:p>
            <w:pPr>
              <w:kinsoku w:val="0"/>
              <w:overflowPunct w:val="0"/>
              <w:autoSpaceDE w:val="0"/>
              <w:autoSpaceDN w:val="0"/>
              <w:adjustRightInd w:val="0"/>
              <w:jc w:val="center"/>
              <w:rPr>
                <w:rFonts w:ascii="宋体" w:hAnsi="宋体" w:cs="宋体"/>
                <w:szCs w:val="21"/>
              </w:rPr>
            </w:pPr>
            <w:r>
              <w:rPr>
                <w:rFonts w:hint="eastAsia" w:ascii="宋体" w:hAnsi="宋体" w:cs="宋体"/>
                <w:szCs w:val="21"/>
              </w:rPr>
              <w:t>肖耀猛</w:t>
            </w:r>
          </w:p>
        </w:tc>
        <w:tc>
          <w:tcPr>
            <w:tcW w:w="1843" w:type="dxa"/>
            <w:shd w:val="clear" w:color="auto" w:fill="auto"/>
            <w:vAlign w:val="center"/>
          </w:tcPr>
          <w:p>
            <w:pPr>
              <w:kinsoku w:val="0"/>
              <w:overflowPunct w:val="0"/>
              <w:autoSpaceDE w:val="0"/>
              <w:autoSpaceDN w:val="0"/>
              <w:adjustRightInd w:val="0"/>
              <w:jc w:val="center"/>
              <w:rPr>
                <w:rFonts w:ascii="宋体" w:hAnsi="宋体" w:cs="宋体"/>
                <w:szCs w:val="21"/>
              </w:rPr>
            </w:pPr>
            <w:r>
              <w:rPr>
                <w:rFonts w:hint="eastAsia" w:ascii="宋体" w:hAnsi="宋体" w:cs="宋体"/>
                <w:szCs w:val="21"/>
              </w:rPr>
              <w:t>党委书记、董事、总经理</w:t>
            </w:r>
          </w:p>
        </w:tc>
        <w:tc>
          <w:tcPr>
            <w:tcW w:w="1448" w:type="dxa"/>
            <w:shd w:val="clear" w:color="auto" w:fill="auto"/>
            <w:vAlign w:val="center"/>
          </w:tcPr>
          <w:p>
            <w:pPr>
              <w:kinsoku w:val="0"/>
              <w:overflowPunct w:val="0"/>
              <w:autoSpaceDE w:val="0"/>
              <w:autoSpaceDN w:val="0"/>
              <w:adjustRightInd w:val="0"/>
              <w:jc w:val="center"/>
              <w:rPr>
                <w:rFonts w:ascii="宋体" w:hAnsi="宋体" w:cs="宋体"/>
                <w:szCs w:val="21"/>
              </w:rPr>
            </w:pPr>
            <w:r>
              <w:rPr>
                <w:rFonts w:ascii="宋体" w:hAnsi="宋体" w:cs="宋体"/>
                <w:szCs w:val="21"/>
              </w:rPr>
              <w:t>5.10</w:t>
            </w:r>
          </w:p>
        </w:tc>
        <w:tc>
          <w:tcPr>
            <w:tcW w:w="1869" w:type="dxa"/>
            <w:shd w:val="clear" w:color="auto" w:fill="auto"/>
            <w:vAlign w:val="center"/>
          </w:tcPr>
          <w:p>
            <w:pPr>
              <w:kinsoku w:val="0"/>
              <w:overflowPunct w:val="0"/>
              <w:autoSpaceDE w:val="0"/>
              <w:autoSpaceDN w:val="0"/>
              <w:adjustRightInd w:val="0"/>
              <w:jc w:val="center"/>
              <w:rPr>
                <w:rFonts w:ascii="宋体" w:hAnsi="宋体" w:cs="宋体"/>
                <w:szCs w:val="21"/>
              </w:rPr>
            </w:pPr>
            <w:r>
              <w:rPr>
                <w:rFonts w:ascii="宋体" w:hAnsi="宋体" w:cs="宋体"/>
                <w:szCs w:val="21"/>
              </w:rPr>
              <w:t>0.14</w:t>
            </w:r>
          </w:p>
        </w:tc>
        <w:tc>
          <w:tcPr>
            <w:tcW w:w="1701" w:type="dxa"/>
            <w:vAlign w:val="center"/>
          </w:tcPr>
          <w:p>
            <w:pPr>
              <w:kinsoku w:val="0"/>
              <w:overflowPunct w:val="0"/>
              <w:autoSpaceDE w:val="0"/>
              <w:autoSpaceDN w:val="0"/>
              <w:adjustRightInd w:val="0"/>
              <w:jc w:val="center"/>
              <w:rPr>
                <w:rFonts w:ascii="宋体" w:hAnsi="宋体" w:cs="宋体"/>
                <w:szCs w:val="21"/>
              </w:rPr>
            </w:pPr>
            <w:r>
              <w:rPr>
                <w:rFonts w:ascii="宋体" w:hAnsi="宋体" w:cs="宋体"/>
                <w:szCs w:val="21"/>
              </w:rPr>
              <w:t>0.001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57" w:type="dxa"/>
            <w:bottom w:w="0" w:type="dxa"/>
            <w:right w:w="57" w:type="dxa"/>
          </w:tblCellMar>
        </w:tblPrEx>
        <w:trPr>
          <w:trHeight w:val="510" w:hRule="atLeast"/>
          <w:jc w:val="center"/>
        </w:trPr>
        <w:tc>
          <w:tcPr>
            <w:tcW w:w="1204" w:type="dxa"/>
            <w:shd w:val="clear" w:color="auto" w:fill="auto"/>
            <w:vAlign w:val="center"/>
          </w:tcPr>
          <w:p>
            <w:pPr>
              <w:kinsoku w:val="0"/>
              <w:overflowPunct w:val="0"/>
              <w:autoSpaceDE w:val="0"/>
              <w:autoSpaceDN w:val="0"/>
              <w:adjustRightInd w:val="0"/>
              <w:jc w:val="center"/>
              <w:rPr>
                <w:rFonts w:ascii="宋体" w:hAnsi="宋体" w:cs="宋体"/>
                <w:szCs w:val="21"/>
              </w:rPr>
            </w:pPr>
            <w:r>
              <w:rPr>
                <w:rFonts w:hint="eastAsia" w:ascii="宋体" w:hAnsi="宋体" w:cs="宋体"/>
                <w:szCs w:val="21"/>
              </w:rPr>
              <w:t>赵青春</w:t>
            </w:r>
          </w:p>
        </w:tc>
        <w:tc>
          <w:tcPr>
            <w:tcW w:w="1843" w:type="dxa"/>
            <w:shd w:val="clear" w:color="auto" w:fill="auto"/>
            <w:vAlign w:val="center"/>
          </w:tcPr>
          <w:p>
            <w:pPr>
              <w:kinsoku w:val="0"/>
              <w:overflowPunct w:val="0"/>
              <w:autoSpaceDE w:val="0"/>
              <w:autoSpaceDN w:val="0"/>
              <w:adjustRightInd w:val="0"/>
              <w:jc w:val="center"/>
              <w:rPr>
                <w:rFonts w:ascii="宋体" w:hAnsi="宋体" w:cs="宋体"/>
                <w:szCs w:val="21"/>
              </w:rPr>
            </w:pPr>
            <w:r>
              <w:rPr>
                <w:rFonts w:hint="eastAsia" w:ascii="宋体" w:hAnsi="宋体" w:cs="宋体"/>
                <w:szCs w:val="21"/>
              </w:rPr>
              <w:t>董事、财务总监</w:t>
            </w:r>
          </w:p>
        </w:tc>
        <w:tc>
          <w:tcPr>
            <w:tcW w:w="1448" w:type="dxa"/>
            <w:shd w:val="clear" w:color="auto" w:fill="auto"/>
            <w:vAlign w:val="center"/>
          </w:tcPr>
          <w:p>
            <w:pPr>
              <w:kinsoku w:val="0"/>
              <w:overflowPunct w:val="0"/>
              <w:autoSpaceDE w:val="0"/>
              <w:autoSpaceDN w:val="0"/>
              <w:adjustRightInd w:val="0"/>
              <w:jc w:val="center"/>
              <w:rPr>
                <w:rFonts w:ascii="宋体" w:hAnsi="宋体" w:cs="宋体"/>
                <w:szCs w:val="21"/>
              </w:rPr>
            </w:pPr>
            <w:r>
              <w:rPr>
                <w:rFonts w:ascii="宋体" w:hAnsi="宋体" w:cs="宋体"/>
                <w:szCs w:val="21"/>
              </w:rPr>
              <w:t>8.84</w:t>
            </w:r>
          </w:p>
        </w:tc>
        <w:tc>
          <w:tcPr>
            <w:tcW w:w="1869" w:type="dxa"/>
            <w:shd w:val="clear" w:color="auto" w:fill="auto"/>
            <w:vAlign w:val="center"/>
          </w:tcPr>
          <w:p>
            <w:pPr>
              <w:kinsoku w:val="0"/>
              <w:overflowPunct w:val="0"/>
              <w:autoSpaceDE w:val="0"/>
              <w:autoSpaceDN w:val="0"/>
              <w:adjustRightInd w:val="0"/>
              <w:jc w:val="center"/>
              <w:rPr>
                <w:rFonts w:ascii="宋体" w:hAnsi="宋体" w:cs="宋体"/>
                <w:szCs w:val="21"/>
              </w:rPr>
            </w:pPr>
            <w:r>
              <w:rPr>
                <w:rFonts w:ascii="宋体" w:hAnsi="宋体" w:cs="宋体"/>
                <w:szCs w:val="21"/>
              </w:rPr>
              <w:t>0.24</w:t>
            </w:r>
          </w:p>
        </w:tc>
        <w:tc>
          <w:tcPr>
            <w:tcW w:w="1701" w:type="dxa"/>
            <w:vAlign w:val="center"/>
          </w:tcPr>
          <w:p>
            <w:pPr>
              <w:kinsoku w:val="0"/>
              <w:overflowPunct w:val="0"/>
              <w:autoSpaceDE w:val="0"/>
              <w:autoSpaceDN w:val="0"/>
              <w:adjustRightInd w:val="0"/>
              <w:jc w:val="center"/>
              <w:rPr>
                <w:rFonts w:ascii="宋体" w:hAnsi="宋体" w:cs="宋体"/>
                <w:szCs w:val="21"/>
              </w:rPr>
            </w:pPr>
            <w:r>
              <w:rPr>
                <w:rFonts w:ascii="宋体" w:hAnsi="宋体" w:cs="宋体"/>
                <w:szCs w:val="21"/>
              </w:rPr>
              <w:t>0.002</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57" w:type="dxa"/>
            <w:bottom w:w="0" w:type="dxa"/>
            <w:right w:w="57" w:type="dxa"/>
          </w:tblCellMar>
        </w:tblPrEx>
        <w:trPr>
          <w:trHeight w:val="510" w:hRule="atLeast"/>
          <w:jc w:val="center"/>
        </w:trPr>
        <w:tc>
          <w:tcPr>
            <w:tcW w:w="1204" w:type="dxa"/>
            <w:shd w:val="clear" w:color="auto" w:fill="auto"/>
            <w:vAlign w:val="center"/>
          </w:tcPr>
          <w:p>
            <w:pPr>
              <w:kinsoku w:val="0"/>
              <w:overflowPunct w:val="0"/>
              <w:autoSpaceDE w:val="0"/>
              <w:autoSpaceDN w:val="0"/>
              <w:adjustRightInd w:val="0"/>
              <w:jc w:val="center"/>
              <w:rPr>
                <w:rFonts w:ascii="宋体" w:hAnsi="宋体" w:cs="宋体"/>
                <w:szCs w:val="21"/>
              </w:rPr>
            </w:pPr>
            <w:r>
              <w:rPr>
                <w:rFonts w:hint="eastAsia" w:ascii="宋体" w:hAnsi="宋体" w:cs="宋体"/>
                <w:szCs w:val="21"/>
              </w:rPr>
              <w:t>田兆华</w:t>
            </w:r>
          </w:p>
        </w:tc>
        <w:tc>
          <w:tcPr>
            <w:tcW w:w="1843" w:type="dxa"/>
            <w:shd w:val="clear" w:color="auto" w:fill="auto"/>
            <w:vAlign w:val="center"/>
          </w:tcPr>
          <w:p>
            <w:pPr>
              <w:kinsoku w:val="0"/>
              <w:overflowPunct w:val="0"/>
              <w:autoSpaceDE w:val="0"/>
              <w:autoSpaceDN w:val="0"/>
              <w:adjustRightInd w:val="0"/>
              <w:jc w:val="center"/>
              <w:rPr>
                <w:rFonts w:ascii="宋体" w:hAnsi="宋体" w:cs="宋体"/>
                <w:szCs w:val="21"/>
              </w:rPr>
            </w:pPr>
            <w:r>
              <w:rPr>
                <w:rFonts w:hint="eastAsia" w:ascii="宋体" w:hAnsi="宋体" w:cs="宋体"/>
                <w:szCs w:val="21"/>
              </w:rPr>
              <w:t>副总经理</w:t>
            </w:r>
          </w:p>
        </w:tc>
        <w:tc>
          <w:tcPr>
            <w:tcW w:w="1448" w:type="dxa"/>
            <w:shd w:val="clear" w:color="auto" w:fill="auto"/>
            <w:vAlign w:val="center"/>
          </w:tcPr>
          <w:p>
            <w:pPr>
              <w:kinsoku w:val="0"/>
              <w:overflowPunct w:val="0"/>
              <w:autoSpaceDE w:val="0"/>
              <w:autoSpaceDN w:val="0"/>
              <w:adjustRightInd w:val="0"/>
              <w:jc w:val="center"/>
              <w:rPr>
                <w:rFonts w:ascii="宋体" w:hAnsi="宋体" w:cs="宋体"/>
                <w:szCs w:val="21"/>
              </w:rPr>
            </w:pPr>
            <w:r>
              <w:rPr>
                <w:rFonts w:ascii="宋体" w:hAnsi="宋体" w:cs="宋体"/>
                <w:szCs w:val="21"/>
              </w:rPr>
              <w:t>5.10</w:t>
            </w:r>
          </w:p>
        </w:tc>
        <w:tc>
          <w:tcPr>
            <w:tcW w:w="1869" w:type="dxa"/>
            <w:shd w:val="clear" w:color="auto" w:fill="auto"/>
            <w:vAlign w:val="center"/>
          </w:tcPr>
          <w:p>
            <w:pPr>
              <w:kinsoku w:val="0"/>
              <w:overflowPunct w:val="0"/>
              <w:autoSpaceDE w:val="0"/>
              <w:autoSpaceDN w:val="0"/>
              <w:adjustRightInd w:val="0"/>
              <w:jc w:val="center"/>
              <w:rPr>
                <w:rFonts w:ascii="宋体" w:hAnsi="宋体" w:cs="宋体"/>
                <w:szCs w:val="21"/>
              </w:rPr>
            </w:pPr>
            <w:r>
              <w:rPr>
                <w:rFonts w:ascii="宋体" w:hAnsi="宋体" w:cs="宋体"/>
                <w:szCs w:val="21"/>
              </w:rPr>
              <w:t>0.14</w:t>
            </w:r>
          </w:p>
        </w:tc>
        <w:tc>
          <w:tcPr>
            <w:tcW w:w="1701" w:type="dxa"/>
            <w:vAlign w:val="center"/>
          </w:tcPr>
          <w:p>
            <w:pPr>
              <w:kinsoku w:val="0"/>
              <w:overflowPunct w:val="0"/>
              <w:autoSpaceDE w:val="0"/>
              <w:autoSpaceDN w:val="0"/>
              <w:adjustRightInd w:val="0"/>
              <w:jc w:val="center"/>
              <w:rPr>
                <w:rFonts w:ascii="宋体" w:hAnsi="宋体" w:cs="宋体"/>
                <w:szCs w:val="21"/>
              </w:rPr>
            </w:pPr>
            <w:r>
              <w:rPr>
                <w:rFonts w:ascii="宋体" w:hAnsi="宋体" w:cs="宋体"/>
                <w:szCs w:val="21"/>
              </w:rPr>
              <w:t>0.001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57" w:type="dxa"/>
            <w:bottom w:w="0" w:type="dxa"/>
            <w:right w:w="57" w:type="dxa"/>
          </w:tblCellMar>
        </w:tblPrEx>
        <w:trPr>
          <w:trHeight w:val="510" w:hRule="exact"/>
          <w:jc w:val="center"/>
        </w:trPr>
        <w:tc>
          <w:tcPr>
            <w:tcW w:w="1204" w:type="dxa"/>
            <w:shd w:val="clear" w:color="auto" w:fill="auto"/>
            <w:vAlign w:val="center"/>
          </w:tcPr>
          <w:p>
            <w:pPr>
              <w:kinsoku w:val="0"/>
              <w:overflowPunct w:val="0"/>
              <w:autoSpaceDE w:val="0"/>
              <w:autoSpaceDN w:val="0"/>
              <w:adjustRightInd w:val="0"/>
              <w:jc w:val="center"/>
              <w:rPr>
                <w:rFonts w:ascii="宋体" w:hAnsi="宋体" w:cs="宋体"/>
                <w:szCs w:val="21"/>
              </w:rPr>
            </w:pPr>
            <w:r>
              <w:rPr>
                <w:rFonts w:hint="eastAsia" w:ascii="宋体" w:hAnsi="宋体" w:cs="宋体"/>
                <w:szCs w:val="21"/>
              </w:rPr>
              <w:t>马俊鹏</w:t>
            </w:r>
          </w:p>
        </w:tc>
        <w:tc>
          <w:tcPr>
            <w:tcW w:w="1843" w:type="dxa"/>
            <w:shd w:val="clear" w:color="auto" w:fill="auto"/>
            <w:vAlign w:val="center"/>
          </w:tcPr>
          <w:p>
            <w:pPr>
              <w:kinsoku w:val="0"/>
              <w:overflowPunct w:val="0"/>
              <w:autoSpaceDE w:val="0"/>
              <w:autoSpaceDN w:val="0"/>
              <w:adjustRightInd w:val="0"/>
              <w:jc w:val="center"/>
              <w:rPr>
                <w:rFonts w:ascii="宋体" w:hAnsi="宋体" w:cs="宋体"/>
                <w:szCs w:val="21"/>
              </w:rPr>
            </w:pPr>
            <w:r>
              <w:rPr>
                <w:rFonts w:hint="eastAsia" w:ascii="宋体" w:hAnsi="宋体" w:cs="宋体"/>
                <w:szCs w:val="21"/>
              </w:rPr>
              <w:t>总工程师</w:t>
            </w:r>
          </w:p>
        </w:tc>
        <w:tc>
          <w:tcPr>
            <w:tcW w:w="1448" w:type="dxa"/>
            <w:shd w:val="clear" w:color="auto" w:fill="auto"/>
            <w:vAlign w:val="center"/>
          </w:tcPr>
          <w:p>
            <w:pPr>
              <w:kinsoku w:val="0"/>
              <w:overflowPunct w:val="0"/>
              <w:autoSpaceDE w:val="0"/>
              <w:autoSpaceDN w:val="0"/>
              <w:adjustRightInd w:val="0"/>
              <w:jc w:val="center"/>
              <w:rPr>
                <w:rFonts w:ascii="宋体" w:hAnsi="宋体" w:cs="宋体"/>
                <w:szCs w:val="21"/>
              </w:rPr>
            </w:pPr>
            <w:r>
              <w:rPr>
                <w:rFonts w:ascii="宋体" w:hAnsi="宋体" w:cs="宋体"/>
                <w:szCs w:val="21"/>
              </w:rPr>
              <w:t>5.10</w:t>
            </w:r>
          </w:p>
        </w:tc>
        <w:tc>
          <w:tcPr>
            <w:tcW w:w="1869" w:type="dxa"/>
            <w:shd w:val="clear" w:color="auto" w:fill="auto"/>
            <w:vAlign w:val="center"/>
          </w:tcPr>
          <w:p>
            <w:pPr>
              <w:kinsoku w:val="0"/>
              <w:overflowPunct w:val="0"/>
              <w:autoSpaceDE w:val="0"/>
              <w:autoSpaceDN w:val="0"/>
              <w:adjustRightInd w:val="0"/>
              <w:jc w:val="center"/>
              <w:rPr>
                <w:rFonts w:ascii="宋体" w:hAnsi="宋体" w:cs="宋体"/>
                <w:szCs w:val="21"/>
              </w:rPr>
            </w:pPr>
            <w:r>
              <w:rPr>
                <w:rFonts w:ascii="宋体" w:hAnsi="宋体" w:cs="宋体"/>
                <w:szCs w:val="21"/>
              </w:rPr>
              <w:t>0.14</w:t>
            </w:r>
          </w:p>
        </w:tc>
        <w:tc>
          <w:tcPr>
            <w:tcW w:w="1701" w:type="dxa"/>
            <w:vAlign w:val="center"/>
          </w:tcPr>
          <w:p>
            <w:pPr>
              <w:kinsoku w:val="0"/>
              <w:overflowPunct w:val="0"/>
              <w:autoSpaceDE w:val="0"/>
              <w:autoSpaceDN w:val="0"/>
              <w:adjustRightInd w:val="0"/>
              <w:jc w:val="center"/>
              <w:rPr>
                <w:rFonts w:ascii="宋体" w:hAnsi="宋体" w:cs="宋体"/>
                <w:szCs w:val="21"/>
              </w:rPr>
            </w:pPr>
            <w:r>
              <w:rPr>
                <w:rFonts w:ascii="宋体" w:hAnsi="宋体" w:cs="宋体"/>
                <w:szCs w:val="21"/>
              </w:rPr>
              <w:t>0.001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57" w:type="dxa"/>
            <w:bottom w:w="0" w:type="dxa"/>
            <w:right w:w="57" w:type="dxa"/>
          </w:tblCellMar>
        </w:tblPrEx>
        <w:trPr>
          <w:trHeight w:val="510" w:hRule="exact"/>
          <w:jc w:val="center"/>
        </w:trPr>
        <w:tc>
          <w:tcPr>
            <w:tcW w:w="1204" w:type="dxa"/>
            <w:shd w:val="clear" w:color="auto" w:fill="auto"/>
            <w:vAlign w:val="center"/>
          </w:tcPr>
          <w:p>
            <w:pPr>
              <w:kinsoku w:val="0"/>
              <w:overflowPunct w:val="0"/>
              <w:autoSpaceDE w:val="0"/>
              <w:autoSpaceDN w:val="0"/>
              <w:adjustRightInd w:val="0"/>
              <w:jc w:val="center"/>
              <w:rPr>
                <w:rFonts w:ascii="宋体" w:hAnsi="宋体" w:cs="宋体"/>
                <w:szCs w:val="21"/>
              </w:rPr>
            </w:pPr>
            <w:r>
              <w:rPr>
                <w:rFonts w:hint="eastAsia" w:ascii="宋体" w:hAnsi="宋体" w:cs="宋体"/>
                <w:szCs w:val="21"/>
              </w:rPr>
              <w:t>康</w:t>
            </w:r>
            <w:r>
              <w:rPr>
                <w:rFonts w:ascii="宋体" w:hAnsi="宋体" w:cs="宋体"/>
                <w:szCs w:val="21"/>
              </w:rPr>
              <w:t xml:space="preserve">  </w:t>
            </w:r>
            <w:r>
              <w:rPr>
                <w:rFonts w:hint="eastAsia" w:ascii="宋体" w:hAnsi="宋体" w:cs="宋体"/>
                <w:szCs w:val="21"/>
              </w:rPr>
              <w:t>丹</w:t>
            </w:r>
          </w:p>
        </w:tc>
        <w:tc>
          <w:tcPr>
            <w:tcW w:w="1843" w:type="dxa"/>
            <w:shd w:val="clear" w:color="auto" w:fill="auto"/>
            <w:vAlign w:val="center"/>
          </w:tcPr>
          <w:p>
            <w:pPr>
              <w:kinsoku w:val="0"/>
              <w:overflowPunct w:val="0"/>
              <w:autoSpaceDE w:val="0"/>
              <w:autoSpaceDN w:val="0"/>
              <w:adjustRightInd w:val="0"/>
              <w:jc w:val="center"/>
              <w:rPr>
                <w:rFonts w:ascii="宋体" w:hAnsi="宋体" w:cs="宋体"/>
                <w:szCs w:val="21"/>
              </w:rPr>
            </w:pPr>
            <w:r>
              <w:rPr>
                <w:rFonts w:hint="eastAsia" w:ascii="宋体" w:hAnsi="宋体" w:cs="宋体"/>
                <w:szCs w:val="21"/>
              </w:rPr>
              <w:t>安全总监</w:t>
            </w:r>
          </w:p>
        </w:tc>
        <w:tc>
          <w:tcPr>
            <w:tcW w:w="1448" w:type="dxa"/>
            <w:shd w:val="clear" w:color="auto" w:fill="auto"/>
            <w:vAlign w:val="center"/>
          </w:tcPr>
          <w:p>
            <w:pPr>
              <w:kinsoku w:val="0"/>
              <w:overflowPunct w:val="0"/>
              <w:autoSpaceDE w:val="0"/>
              <w:autoSpaceDN w:val="0"/>
              <w:adjustRightInd w:val="0"/>
              <w:jc w:val="center"/>
              <w:rPr>
                <w:rFonts w:ascii="宋体" w:hAnsi="宋体" w:cs="宋体"/>
                <w:szCs w:val="21"/>
              </w:rPr>
            </w:pPr>
            <w:r>
              <w:rPr>
                <w:rFonts w:ascii="宋体" w:hAnsi="宋体" w:cs="宋体"/>
                <w:szCs w:val="21"/>
              </w:rPr>
              <w:t>4.08</w:t>
            </w:r>
          </w:p>
        </w:tc>
        <w:tc>
          <w:tcPr>
            <w:tcW w:w="1869" w:type="dxa"/>
            <w:shd w:val="clear" w:color="auto" w:fill="auto"/>
            <w:vAlign w:val="center"/>
          </w:tcPr>
          <w:p>
            <w:pPr>
              <w:kinsoku w:val="0"/>
              <w:overflowPunct w:val="0"/>
              <w:autoSpaceDE w:val="0"/>
              <w:autoSpaceDN w:val="0"/>
              <w:adjustRightInd w:val="0"/>
              <w:jc w:val="center"/>
              <w:rPr>
                <w:rFonts w:ascii="宋体" w:hAnsi="宋体" w:cs="宋体"/>
                <w:szCs w:val="21"/>
              </w:rPr>
            </w:pPr>
            <w:r>
              <w:rPr>
                <w:rFonts w:ascii="宋体" w:hAnsi="宋体" w:cs="宋体"/>
                <w:szCs w:val="21"/>
              </w:rPr>
              <w:t>0.11</w:t>
            </w:r>
          </w:p>
        </w:tc>
        <w:tc>
          <w:tcPr>
            <w:tcW w:w="1701" w:type="dxa"/>
            <w:vAlign w:val="center"/>
          </w:tcPr>
          <w:p>
            <w:pPr>
              <w:kinsoku w:val="0"/>
              <w:overflowPunct w:val="0"/>
              <w:autoSpaceDE w:val="0"/>
              <w:autoSpaceDN w:val="0"/>
              <w:adjustRightInd w:val="0"/>
              <w:jc w:val="center"/>
              <w:rPr>
                <w:rFonts w:ascii="宋体" w:hAnsi="宋体" w:cs="宋体"/>
                <w:szCs w:val="21"/>
              </w:rPr>
            </w:pPr>
            <w:r>
              <w:rPr>
                <w:rFonts w:ascii="宋体" w:hAnsi="宋体" w:cs="宋体"/>
                <w:szCs w:val="21"/>
              </w:rPr>
              <w:t>0.001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57" w:type="dxa"/>
            <w:bottom w:w="0" w:type="dxa"/>
            <w:right w:w="57" w:type="dxa"/>
          </w:tblCellMar>
        </w:tblPrEx>
        <w:trPr>
          <w:trHeight w:val="510" w:hRule="exact"/>
          <w:jc w:val="center"/>
        </w:trPr>
        <w:tc>
          <w:tcPr>
            <w:tcW w:w="1204" w:type="dxa"/>
            <w:shd w:val="clear" w:color="auto" w:fill="auto"/>
            <w:vAlign w:val="center"/>
          </w:tcPr>
          <w:p>
            <w:pPr>
              <w:kinsoku w:val="0"/>
              <w:overflowPunct w:val="0"/>
              <w:autoSpaceDE w:val="0"/>
              <w:autoSpaceDN w:val="0"/>
              <w:adjustRightInd w:val="0"/>
              <w:jc w:val="center"/>
              <w:rPr>
                <w:rFonts w:ascii="宋体" w:hAnsi="宋体" w:cs="宋体"/>
                <w:szCs w:val="21"/>
              </w:rPr>
            </w:pPr>
            <w:r>
              <w:rPr>
                <w:rFonts w:hint="eastAsia" w:ascii="宋体" w:hAnsi="宋体" w:cs="宋体"/>
                <w:szCs w:val="21"/>
              </w:rPr>
              <w:t>王九红</w:t>
            </w:r>
          </w:p>
        </w:tc>
        <w:tc>
          <w:tcPr>
            <w:tcW w:w="1843" w:type="dxa"/>
            <w:shd w:val="clear" w:color="auto" w:fill="auto"/>
            <w:vAlign w:val="center"/>
          </w:tcPr>
          <w:p>
            <w:pPr>
              <w:kinsoku w:val="0"/>
              <w:overflowPunct w:val="0"/>
              <w:autoSpaceDE w:val="0"/>
              <w:autoSpaceDN w:val="0"/>
              <w:adjustRightInd w:val="0"/>
              <w:jc w:val="center"/>
              <w:rPr>
                <w:rFonts w:ascii="宋体" w:hAnsi="宋体" w:cs="宋体"/>
                <w:szCs w:val="21"/>
              </w:rPr>
            </w:pPr>
            <w:r>
              <w:rPr>
                <w:rFonts w:hint="eastAsia" w:ascii="宋体" w:hAnsi="宋体" w:cs="宋体"/>
                <w:szCs w:val="21"/>
              </w:rPr>
              <w:t>副总经理</w:t>
            </w:r>
          </w:p>
        </w:tc>
        <w:tc>
          <w:tcPr>
            <w:tcW w:w="1448" w:type="dxa"/>
            <w:shd w:val="clear" w:color="auto" w:fill="auto"/>
            <w:vAlign w:val="center"/>
          </w:tcPr>
          <w:p>
            <w:pPr>
              <w:kinsoku w:val="0"/>
              <w:overflowPunct w:val="0"/>
              <w:autoSpaceDE w:val="0"/>
              <w:autoSpaceDN w:val="0"/>
              <w:adjustRightInd w:val="0"/>
              <w:jc w:val="center"/>
              <w:rPr>
                <w:rFonts w:ascii="宋体" w:hAnsi="宋体" w:cs="宋体"/>
                <w:szCs w:val="21"/>
              </w:rPr>
            </w:pPr>
            <w:r>
              <w:rPr>
                <w:rFonts w:ascii="宋体" w:hAnsi="宋体" w:cs="宋体"/>
                <w:szCs w:val="21"/>
              </w:rPr>
              <w:t>4.08</w:t>
            </w:r>
          </w:p>
        </w:tc>
        <w:tc>
          <w:tcPr>
            <w:tcW w:w="1869" w:type="dxa"/>
            <w:shd w:val="clear" w:color="auto" w:fill="auto"/>
            <w:vAlign w:val="center"/>
          </w:tcPr>
          <w:p>
            <w:pPr>
              <w:kinsoku w:val="0"/>
              <w:overflowPunct w:val="0"/>
              <w:autoSpaceDE w:val="0"/>
              <w:autoSpaceDN w:val="0"/>
              <w:adjustRightInd w:val="0"/>
              <w:jc w:val="center"/>
              <w:rPr>
                <w:rFonts w:ascii="宋体" w:hAnsi="宋体" w:cs="宋体"/>
                <w:szCs w:val="21"/>
              </w:rPr>
            </w:pPr>
            <w:r>
              <w:rPr>
                <w:rFonts w:ascii="宋体" w:hAnsi="宋体" w:cs="宋体"/>
                <w:szCs w:val="21"/>
              </w:rPr>
              <w:t>0.11</w:t>
            </w:r>
          </w:p>
        </w:tc>
        <w:tc>
          <w:tcPr>
            <w:tcW w:w="1701" w:type="dxa"/>
            <w:vAlign w:val="center"/>
          </w:tcPr>
          <w:p>
            <w:pPr>
              <w:kinsoku w:val="0"/>
              <w:overflowPunct w:val="0"/>
              <w:autoSpaceDE w:val="0"/>
              <w:autoSpaceDN w:val="0"/>
              <w:adjustRightInd w:val="0"/>
              <w:jc w:val="center"/>
              <w:rPr>
                <w:rFonts w:ascii="宋体" w:hAnsi="宋体" w:cs="宋体"/>
                <w:szCs w:val="21"/>
              </w:rPr>
            </w:pPr>
            <w:r>
              <w:rPr>
                <w:rFonts w:ascii="宋体" w:hAnsi="宋体" w:cs="宋体"/>
                <w:szCs w:val="21"/>
              </w:rPr>
              <w:t>0.001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57" w:type="dxa"/>
            <w:bottom w:w="0" w:type="dxa"/>
            <w:right w:w="57" w:type="dxa"/>
          </w:tblCellMar>
        </w:tblPrEx>
        <w:trPr>
          <w:trHeight w:val="510" w:hRule="exact"/>
          <w:jc w:val="center"/>
        </w:trPr>
        <w:tc>
          <w:tcPr>
            <w:tcW w:w="3047" w:type="dxa"/>
            <w:gridSpan w:val="2"/>
            <w:vAlign w:val="center"/>
          </w:tcPr>
          <w:p>
            <w:pPr>
              <w:kinsoku w:val="0"/>
              <w:overflowPunct w:val="0"/>
              <w:autoSpaceDE w:val="0"/>
              <w:autoSpaceDN w:val="0"/>
              <w:adjustRightInd w:val="0"/>
              <w:jc w:val="center"/>
              <w:rPr>
                <w:rFonts w:ascii="宋体" w:hAnsi="宋体" w:cs="宋体"/>
                <w:szCs w:val="21"/>
                <w:highlight w:val="yellow"/>
              </w:rPr>
            </w:pPr>
            <w:r>
              <w:rPr>
                <w:rFonts w:ascii="宋体" w:hAnsi="宋体" w:cs="宋体"/>
                <w:szCs w:val="21"/>
              </w:rPr>
              <w:t>其他人员（413人）</w:t>
            </w:r>
          </w:p>
        </w:tc>
        <w:tc>
          <w:tcPr>
            <w:tcW w:w="1448" w:type="dxa"/>
            <w:vAlign w:val="center"/>
          </w:tcPr>
          <w:p>
            <w:pPr>
              <w:kinsoku w:val="0"/>
              <w:overflowPunct w:val="0"/>
              <w:autoSpaceDE w:val="0"/>
              <w:autoSpaceDN w:val="0"/>
              <w:adjustRightInd w:val="0"/>
              <w:jc w:val="center"/>
              <w:rPr>
                <w:rFonts w:ascii="宋体" w:hAnsi="宋体" w:cs="宋体"/>
                <w:szCs w:val="21"/>
              </w:rPr>
            </w:pPr>
            <w:r>
              <w:rPr>
                <w:rFonts w:hint="eastAsia" w:ascii="宋体" w:hAnsi="宋体" w:cs="宋体"/>
                <w:szCs w:val="21"/>
              </w:rPr>
              <w:t>1,233.384</w:t>
            </w:r>
          </w:p>
        </w:tc>
        <w:tc>
          <w:tcPr>
            <w:tcW w:w="1869" w:type="dxa"/>
            <w:tcBorders>
              <w:top w:val="single" w:color="000000" w:sz="4" w:space="0"/>
              <w:left w:val="single" w:color="000000" w:sz="4" w:space="0"/>
              <w:bottom w:val="single" w:color="000000" w:sz="4" w:space="0"/>
              <w:right w:val="single" w:color="000000" w:sz="4" w:space="0"/>
            </w:tcBorders>
            <w:vAlign w:val="center"/>
          </w:tcPr>
          <w:p>
            <w:pPr>
              <w:kinsoku w:val="0"/>
              <w:overflowPunct w:val="0"/>
              <w:autoSpaceDE w:val="0"/>
              <w:autoSpaceDN w:val="0"/>
              <w:adjustRightInd w:val="0"/>
              <w:jc w:val="center"/>
              <w:rPr>
                <w:rFonts w:ascii="宋体" w:hAnsi="宋体" w:cs="宋体"/>
                <w:szCs w:val="21"/>
              </w:rPr>
            </w:pPr>
            <w:r>
              <w:rPr>
                <w:rFonts w:hint="eastAsia" w:ascii="宋体" w:hAnsi="宋体" w:cs="宋体"/>
                <w:szCs w:val="21"/>
              </w:rPr>
              <w:t>33.11</w:t>
            </w:r>
          </w:p>
        </w:tc>
        <w:tc>
          <w:tcPr>
            <w:tcW w:w="1701" w:type="dxa"/>
            <w:vAlign w:val="center"/>
          </w:tcPr>
          <w:p>
            <w:pPr>
              <w:kinsoku w:val="0"/>
              <w:overflowPunct w:val="0"/>
              <w:autoSpaceDE w:val="0"/>
              <w:autoSpaceDN w:val="0"/>
              <w:adjustRightInd w:val="0"/>
              <w:jc w:val="center"/>
              <w:rPr>
                <w:rFonts w:ascii="宋体" w:hAnsi="宋体" w:cs="宋体"/>
                <w:szCs w:val="21"/>
              </w:rPr>
            </w:pPr>
            <w:r>
              <w:rPr>
                <w:rFonts w:ascii="宋体" w:hAnsi="宋体" w:cs="宋体"/>
                <w:szCs w:val="21"/>
              </w:rPr>
              <w:t>0.251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57" w:type="dxa"/>
            <w:bottom w:w="0" w:type="dxa"/>
            <w:right w:w="57" w:type="dxa"/>
          </w:tblCellMar>
        </w:tblPrEx>
        <w:trPr>
          <w:trHeight w:val="510" w:hRule="exact"/>
          <w:jc w:val="center"/>
        </w:trPr>
        <w:tc>
          <w:tcPr>
            <w:tcW w:w="3047" w:type="dxa"/>
            <w:gridSpan w:val="2"/>
            <w:vAlign w:val="center"/>
          </w:tcPr>
          <w:p>
            <w:pPr>
              <w:kinsoku w:val="0"/>
              <w:overflowPunct w:val="0"/>
              <w:autoSpaceDE w:val="0"/>
              <w:autoSpaceDN w:val="0"/>
              <w:adjustRightInd w:val="0"/>
              <w:jc w:val="center"/>
              <w:rPr>
                <w:rFonts w:ascii="宋体" w:hAnsi="宋体" w:cs="宋体"/>
                <w:szCs w:val="21"/>
                <w:highlight w:val="yellow"/>
              </w:rPr>
            </w:pPr>
            <w:r>
              <w:rPr>
                <w:rFonts w:hint="eastAsia" w:ascii="宋体" w:hAnsi="宋体"/>
                <w:b/>
                <w:bCs/>
                <w:color w:val="000000"/>
                <w:kern w:val="24"/>
              </w:rPr>
              <w:t>合计（</w:t>
            </w:r>
            <w:r>
              <w:rPr>
                <w:rFonts w:ascii="宋体" w:hAnsi="宋体"/>
                <w:b/>
                <w:bCs/>
                <w:color w:val="000000"/>
                <w:kern w:val="24"/>
              </w:rPr>
              <w:t>419</w:t>
            </w:r>
            <w:r>
              <w:rPr>
                <w:rFonts w:hint="eastAsia" w:ascii="宋体" w:hAnsi="宋体"/>
                <w:b/>
                <w:bCs/>
                <w:color w:val="000000"/>
                <w:kern w:val="24"/>
              </w:rPr>
              <w:t>人）</w:t>
            </w:r>
          </w:p>
        </w:tc>
        <w:tc>
          <w:tcPr>
            <w:tcW w:w="1448" w:type="dxa"/>
            <w:tcBorders>
              <w:top w:val="single" w:color="auto" w:sz="4" w:space="0"/>
              <w:left w:val="single" w:color="000000" w:sz="4" w:space="0"/>
              <w:bottom w:val="single" w:color="000000" w:sz="12" w:space="0"/>
              <w:right w:val="single" w:color="000000" w:sz="4" w:space="0"/>
            </w:tcBorders>
            <w:vAlign w:val="center"/>
          </w:tcPr>
          <w:p>
            <w:pPr>
              <w:kinsoku w:val="0"/>
              <w:overflowPunct w:val="0"/>
              <w:autoSpaceDE w:val="0"/>
              <w:autoSpaceDN w:val="0"/>
              <w:adjustRightInd w:val="0"/>
              <w:jc w:val="center"/>
              <w:rPr>
                <w:rFonts w:ascii="宋体" w:hAnsi="宋体" w:cs="宋体"/>
                <w:b/>
                <w:bCs/>
                <w:szCs w:val="21"/>
              </w:rPr>
            </w:pPr>
            <w:r>
              <w:rPr>
                <w:rFonts w:hint="eastAsia" w:ascii="宋体" w:hAnsi="宋体" w:cs="宋体"/>
                <w:b/>
                <w:bCs/>
                <w:szCs w:val="21"/>
              </w:rPr>
              <w:t>1,265.684</w:t>
            </w:r>
          </w:p>
        </w:tc>
        <w:tc>
          <w:tcPr>
            <w:tcW w:w="1869" w:type="dxa"/>
            <w:tcBorders>
              <w:top w:val="single" w:color="auto" w:sz="4" w:space="0"/>
              <w:left w:val="single" w:color="000000" w:sz="4" w:space="0"/>
              <w:bottom w:val="single" w:color="000000" w:sz="12" w:space="0"/>
              <w:right w:val="single" w:color="000000" w:sz="4" w:space="0"/>
            </w:tcBorders>
            <w:vAlign w:val="center"/>
          </w:tcPr>
          <w:p>
            <w:pPr>
              <w:kinsoku w:val="0"/>
              <w:overflowPunct w:val="0"/>
              <w:autoSpaceDE w:val="0"/>
              <w:autoSpaceDN w:val="0"/>
              <w:adjustRightInd w:val="0"/>
              <w:jc w:val="center"/>
              <w:rPr>
                <w:rFonts w:ascii="宋体" w:hAnsi="宋体" w:cs="宋体"/>
                <w:b/>
                <w:bCs/>
                <w:szCs w:val="21"/>
              </w:rPr>
            </w:pPr>
            <w:r>
              <w:rPr>
                <w:rFonts w:hint="eastAsia" w:ascii="宋体" w:hAnsi="宋体" w:cs="宋体"/>
                <w:b/>
                <w:bCs/>
                <w:szCs w:val="21"/>
              </w:rPr>
              <w:t>33.98</w:t>
            </w:r>
          </w:p>
        </w:tc>
        <w:tc>
          <w:tcPr>
            <w:tcW w:w="1701" w:type="dxa"/>
            <w:vAlign w:val="center"/>
          </w:tcPr>
          <w:p>
            <w:pPr>
              <w:kinsoku w:val="0"/>
              <w:overflowPunct w:val="0"/>
              <w:autoSpaceDE w:val="0"/>
              <w:autoSpaceDN w:val="0"/>
              <w:adjustRightInd w:val="0"/>
              <w:jc w:val="center"/>
              <w:rPr>
                <w:rFonts w:ascii="宋体" w:hAnsi="宋体" w:cs="宋体"/>
                <w:b/>
                <w:bCs/>
                <w:szCs w:val="21"/>
              </w:rPr>
            </w:pPr>
            <w:r>
              <w:rPr>
                <w:rFonts w:ascii="宋体" w:hAnsi="宋体" w:cs="宋体"/>
                <w:b/>
                <w:bCs/>
                <w:szCs w:val="21"/>
              </w:rPr>
              <w:t>0.258</w:t>
            </w:r>
          </w:p>
        </w:tc>
      </w:tr>
      <w:bookmarkEnd w:id="0"/>
    </w:tbl>
    <w:p>
      <w:pPr>
        <w:ind w:firstLine="480" w:firstLineChars="200"/>
        <w:rPr>
          <w:rFonts w:ascii="宋体" w:hAnsi="宋体" w:cs="宋体"/>
          <w:sz w:val="24"/>
        </w:rPr>
      </w:pPr>
      <w:r>
        <w:rPr>
          <w:rFonts w:hint="eastAsia" w:ascii="宋体" w:hAnsi="宋体" w:cs="宋体"/>
          <w:sz w:val="24"/>
        </w:rPr>
        <w:t>注：</w:t>
      </w:r>
    </w:p>
    <w:p>
      <w:pPr>
        <w:ind w:firstLine="480" w:firstLineChars="200"/>
        <w:rPr>
          <w:rFonts w:ascii="宋体" w:hAnsi="宋体" w:cs="宋体"/>
          <w:sz w:val="24"/>
        </w:rPr>
      </w:pPr>
      <w:r>
        <w:rPr>
          <w:rFonts w:hint="eastAsia" w:ascii="宋体" w:hAnsi="宋体" w:cs="宋体"/>
          <w:sz w:val="24"/>
        </w:rPr>
        <w:t>①上表中部分合计数与各明细数相加之和在尾数上如有差异，系百分比结果四舍五入所致；</w:t>
      </w:r>
    </w:p>
    <w:p>
      <w:pPr>
        <w:ind w:firstLine="480" w:firstLineChars="200"/>
        <w:rPr>
          <w:rFonts w:ascii="宋体" w:hAnsi="宋体" w:cs="宋体"/>
          <w:sz w:val="24"/>
        </w:rPr>
      </w:pPr>
      <w:r>
        <w:rPr>
          <w:rFonts w:hint="eastAsia" w:ascii="宋体" w:hAnsi="宋体" w:cs="宋体"/>
          <w:sz w:val="24"/>
        </w:rPr>
        <w:t>②对于上表所列的第三个行权期可行权数量以中国证券登记结算有限公司实际确认数为准。</w:t>
      </w:r>
    </w:p>
    <w:p>
      <w:pPr>
        <w:spacing w:line="520" w:lineRule="exact"/>
        <w:ind w:firstLine="560" w:firstLineChars="200"/>
        <w:rPr>
          <w:rFonts w:ascii="宋体" w:hAnsi="宋体"/>
          <w:sz w:val="28"/>
          <w:szCs w:val="28"/>
        </w:rPr>
      </w:pPr>
      <w:r>
        <w:rPr>
          <w:rFonts w:ascii="宋体" w:hAnsi="宋体"/>
          <w:sz w:val="28"/>
          <w:szCs w:val="28"/>
        </w:rPr>
        <w:t>8</w:t>
      </w:r>
      <w:r>
        <w:rPr>
          <w:rFonts w:hint="eastAsia" w:ascii="宋体" w:hAnsi="宋体"/>
          <w:sz w:val="28"/>
          <w:szCs w:val="28"/>
        </w:rPr>
        <w:t>.可行权日必须为交易日，且不得在法定禁止行权期内行权：</w:t>
      </w:r>
    </w:p>
    <w:p>
      <w:pPr>
        <w:spacing w:line="520" w:lineRule="exact"/>
        <w:ind w:firstLine="560" w:firstLineChars="200"/>
        <w:rPr>
          <w:rFonts w:ascii="宋体" w:hAnsi="宋体"/>
          <w:sz w:val="28"/>
          <w:szCs w:val="28"/>
        </w:rPr>
      </w:pPr>
      <w:r>
        <w:rPr>
          <w:rFonts w:hint="eastAsia" w:ascii="宋体" w:hAnsi="宋体"/>
          <w:sz w:val="28"/>
          <w:szCs w:val="28"/>
        </w:rPr>
        <w:t>（1）公司定期报告公告前三十日内，因特殊原因推迟定期报告公告日期的，自原预约公告日前三十日起算，至公告前一日；</w:t>
      </w:r>
    </w:p>
    <w:p>
      <w:pPr>
        <w:spacing w:line="520" w:lineRule="exact"/>
        <w:ind w:firstLine="560" w:firstLineChars="200"/>
        <w:rPr>
          <w:rFonts w:ascii="宋体" w:hAnsi="宋体"/>
          <w:sz w:val="28"/>
          <w:szCs w:val="28"/>
        </w:rPr>
      </w:pPr>
      <w:r>
        <w:rPr>
          <w:rFonts w:hint="eastAsia" w:ascii="宋体" w:hAnsi="宋体"/>
          <w:sz w:val="28"/>
          <w:szCs w:val="28"/>
        </w:rPr>
        <w:t>（2）公司业绩预告、业绩快报公告前十日内；</w:t>
      </w:r>
    </w:p>
    <w:p>
      <w:pPr>
        <w:spacing w:line="520" w:lineRule="exact"/>
        <w:ind w:firstLine="560" w:firstLineChars="200"/>
        <w:rPr>
          <w:rFonts w:ascii="宋体" w:hAnsi="宋体"/>
          <w:sz w:val="28"/>
          <w:szCs w:val="28"/>
        </w:rPr>
      </w:pPr>
      <w:r>
        <w:rPr>
          <w:rFonts w:hint="eastAsia" w:ascii="宋体" w:hAnsi="宋体"/>
          <w:sz w:val="28"/>
          <w:szCs w:val="28"/>
        </w:rPr>
        <w:t>（3）自可能对本公司股票及其衍生品种交易价格产生较大影响的重大事件发生之日或者进入决策程序之日，至依法披露后二个交易日内；</w:t>
      </w:r>
    </w:p>
    <w:p>
      <w:pPr>
        <w:spacing w:line="520" w:lineRule="exact"/>
        <w:ind w:firstLine="560" w:firstLineChars="200"/>
        <w:rPr>
          <w:rFonts w:ascii="宋体" w:hAnsi="宋体"/>
          <w:sz w:val="28"/>
          <w:szCs w:val="28"/>
        </w:rPr>
      </w:pPr>
      <w:r>
        <w:rPr>
          <w:rFonts w:hint="eastAsia" w:ascii="宋体" w:hAnsi="宋体"/>
          <w:sz w:val="28"/>
          <w:szCs w:val="28"/>
        </w:rPr>
        <w:t>（4）中国证券监督管理委员会及上海证券交易所规定的其它期间。</w:t>
      </w:r>
    </w:p>
    <w:p>
      <w:pPr>
        <w:spacing w:line="520" w:lineRule="exact"/>
        <w:ind w:firstLine="560" w:firstLineChars="200"/>
        <w:rPr>
          <w:rFonts w:ascii="宋体" w:hAnsi="宋体"/>
          <w:sz w:val="28"/>
          <w:szCs w:val="28"/>
        </w:rPr>
      </w:pPr>
      <w:r>
        <w:rPr>
          <w:rFonts w:hint="eastAsia" w:ascii="宋体" w:hAnsi="宋体"/>
          <w:sz w:val="28"/>
          <w:szCs w:val="28"/>
        </w:rPr>
        <w:t>上述“重大交易”、“重大事项”及“可能影响股价的重大事件”为公司依据《上海证券交易所股票上市规则》的规定应当披露的交易或其他重大事项。</w:t>
      </w:r>
    </w:p>
    <w:p>
      <w:pPr>
        <w:spacing w:line="520" w:lineRule="exact"/>
        <w:ind w:firstLine="560" w:firstLineChars="200"/>
        <w:rPr>
          <w:rFonts w:ascii="宋体" w:hAnsi="宋体"/>
          <w:sz w:val="28"/>
          <w:szCs w:val="28"/>
        </w:rPr>
      </w:pPr>
      <w:r>
        <w:rPr>
          <w:rFonts w:ascii="宋体" w:hAnsi="宋体"/>
          <w:sz w:val="28"/>
          <w:szCs w:val="28"/>
        </w:rPr>
        <w:t>9</w:t>
      </w:r>
      <w:r>
        <w:rPr>
          <w:rFonts w:hint="eastAsia" w:ascii="宋体" w:hAnsi="宋体"/>
          <w:sz w:val="28"/>
          <w:szCs w:val="28"/>
        </w:rPr>
        <w:t>.公司将在定期报告中或以临时报告形式披露每季度股权激励对象变化、股票期权重要参数调整情况、激励对象自主行权情况以及公司股份变化情况等信息。</w:t>
      </w:r>
    </w:p>
    <w:p>
      <w:pPr>
        <w:spacing w:line="520" w:lineRule="exact"/>
        <w:ind w:firstLine="560" w:firstLineChars="200"/>
        <w:rPr>
          <w:rFonts w:ascii="宋体" w:hAnsi="宋体"/>
          <w:sz w:val="28"/>
          <w:szCs w:val="28"/>
        </w:rPr>
      </w:pPr>
    </w:p>
    <w:p>
      <w:pPr>
        <w:spacing w:line="520" w:lineRule="exact"/>
        <w:ind w:firstLine="560" w:firstLineChars="200"/>
        <w:rPr>
          <w:rFonts w:ascii="宋体" w:hAnsi="宋体"/>
          <w:sz w:val="28"/>
          <w:szCs w:val="28"/>
        </w:rPr>
      </w:pPr>
      <w:r>
        <w:rPr>
          <w:rFonts w:hint="eastAsia" w:ascii="宋体" w:hAnsi="宋体"/>
          <w:sz w:val="28"/>
          <w:szCs w:val="28"/>
        </w:rPr>
        <w:t>特此公告。</w:t>
      </w:r>
    </w:p>
    <w:p>
      <w:pPr>
        <w:spacing w:line="520" w:lineRule="exact"/>
        <w:jc w:val="right"/>
        <w:rPr>
          <w:rFonts w:ascii="宋体" w:hAnsi="宋体"/>
          <w:sz w:val="28"/>
          <w:szCs w:val="28"/>
        </w:rPr>
      </w:pPr>
    </w:p>
    <w:p>
      <w:pPr>
        <w:spacing w:line="520" w:lineRule="exact"/>
        <w:jc w:val="right"/>
        <w:rPr>
          <w:rFonts w:ascii="宋体" w:hAnsi="宋体"/>
          <w:sz w:val="28"/>
          <w:szCs w:val="28"/>
        </w:rPr>
      </w:pPr>
    </w:p>
    <w:p>
      <w:pPr>
        <w:spacing w:line="520" w:lineRule="exact"/>
        <w:ind w:firstLine="560" w:firstLineChars="200"/>
        <w:jc w:val="right"/>
        <w:rPr>
          <w:rFonts w:ascii="宋体" w:hAnsi="宋体"/>
          <w:sz w:val="28"/>
          <w:szCs w:val="28"/>
        </w:rPr>
      </w:pPr>
      <w:r>
        <w:rPr>
          <w:rFonts w:hint="eastAsia" w:ascii="宋体" w:hAnsi="宋体"/>
          <w:sz w:val="28"/>
          <w:szCs w:val="28"/>
        </w:rPr>
        <w:t>兖矿能源集团股份有限公司董事会</w:t>
      </w:r>
    </w:p>
    <w:p>
      <w:pPr>
        <w:spacing w:line="520" w:lineRule="exact"/>
        <w:ind w:right="945" w:rightChars="450" w:firstLine="560" w:firstLineChars="200"/>
        <w:jc w:val="right"/>
        <w:rPr>
          <w:rFonts w:ascii="宋体" w:hAnsi="宋体"/>
          <w:sz w:val="28"/>
          <w:szCs w:val="28"/>
        </w:rPr>
      </w:pPr>
      <w:r>
        <w:rPr>
          <w:rFonts w:hint="eastAsia" w:ascii="宋体" w:hAnsi="宋体"/>
          <w:sz w:val="28"/>
          <w:szCs w:val="28"/>
        </w:rPr>
        <w:t>2</w:t>
      </w:r>
      <w:r>
        <w:rPr>
          <w:rFonts w:ascii="宋体" w:hAnsi="宋体"/>
          <w:sz w:val="28"/>
          <w:szCs w:val="28"/>
        </w:rPr>
        <w:t>023</w:t>
      </w:r>
      <w:r>
        <w:rPr>
          <w:rFonts w:hint="eastAsia" w:ascii="宋体" w:hAnsi="宋体"/>
          <w:sz w:val="28"/>
          <w:szCs w:val="28"/>
        </w:rPr>
        <w:t>年</w:t>
      </w:r>
      <w:r>
        <w:rPr>
          <w:rFonts w:ascii="宋体" w:hAnsi="宋体"/>
          <w:sz w:val="28"/>
          <w:szCs w:val="28"/>
        </w:rPr>
        <w:t>5</w:t>
      </w:r>
      <w:r>
        <w:rPr>
          <w:rFonts w:hint="eastAsia" w:ascii="宋体" w:hAnsi="宋体"/>
          <w:sz w:val="28"/>
          <w:szCs w:val="28"/>
        </w:rPr>
        <w:t>月</w:t>
      </w:r>
      <w:r>
        <w:rPr>
          <w:rFonts w:ascii="宋体" w:hAnsi="宋体"/>
          <w:sz w:val="28"/>
          <w:szCs w:val="28"/>
        </w:rPr>
        <w:t>17</w:t>
      </w:r>
      <w:r>
        <w:rPr>
          <w:rFonts w:hint="eastAsia" w:ascii="宋体" w:hAnsi="宋体"/>
          <w:sz w:val="28"/>
          <w:szCs w:val="28"/>
        </w:rPr>
        <w:t xml:space="preserve">日 </w:t>
      </w:r>
      <w:r>
        <w:rPr>
          <w:rFonts w:ascii="宋体" w:hAnsi="宋体"/>
          <w:sz w:val="28"/>
          <w:szCs w:val="28"/>
        </w:rPr>
        <w:t xml:space="preserve">     </w:t>
      </w:r>
    </w:p>
    <w:sectPr>
      <w:headerReference r:id="rId3" w:type="default"/>
      <w:footerReference r:id="rId5" w:type="default"/>
      <w:headerReference r:id="rId4"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32984120"/>
      <w:docPartObj>
        <w:docPartGallery w:val="AutoText"/>
      </w:docPartObj>
    </w:sdtPr>
    <w:sdtContent>
      <w:p>
        <w:pPr>
          <w:pStyle w:val="4"/>
          <w:jc w:val="center"/>
        </w:pPr>
        <w:r>
          <w:fldChar w:fldCharType="begin"/>
        </w:r>
        <w:r>
          <w:instrText xml:space="preserve">PAGE   \* MERGEFORMAT</w:instrText>
        </w:r>
        <w:r>
          <w:fldChar w:fldCharType="separate"/>
        </w:r>
        <w:r>
          <w:rPr>
            <w:lang w:val="zh-CN"/>
          </w:rPr>
          <w:t>3</w:t>
        </w:r>
        <w:r>
          <w:fldChar w:fldCharType="end"/>
        </w:r>
      </w:p>
    </w:sdtContent>
  </w:sdt>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right" w:y="1"/>
      <w:rPr>
        <w:rStyle w:val="9"/>
      </w:rPr>
    </w:pPr>
    <w:r>
      <w:fldChar w:fldCharType="begin"/>
    </w:r>
    <w:r>
      <w:rPr>
        <w:rStyle w:val="9"/>
      </w:rPr>
      <w:instrText xml:space="preserve">PAGE  </w:instrText>
    </w:r>
    <w:r>
      <w:fldChar w:fldCharType="separate"/>
    </w:r>
    <w:r>
      <w:rPr>
        <w:rStyle w:val="9"/>
      </w:rPr>
      <w:t>1</w:t>
    </w:r>
    <w:r>
      <w:fldChar w:fldCharType="end"/>
    </w:r>
  </w:p>
  <w:p>
    <w:pPr>
      <w:pStyle w:val="5"/>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dmY2NjOWZkMzhlYWI0MWRhODhiNmQxNGI1NDMzYzEifQ=="/>
  </w:docVars>
  <w:rsids>
    <w:rsidRoot w:val="00F3353A"/>
    <w:rsid w:val="000202B7"/>
    <w:rsid w:val="00032E9A"/>
    <w:rsid w:val="00042A33"/>
    <w:rsid w:val="00065006"/>
    <w:rsid w:val="00082BCC"/>
    <w:rsid w:val="000A0447"/>
    <w:rsid w:val="000B0B08"/>
    <w:rsid w:val="000F6834"/>
    <w:rsid w:val="001074FD"/>
    <w:rsid w:val="00137881"/>
    <w:rsid w:val="001E4B92"/>
    <w:rsid w:val="001E5725"/>
    <w:rsid w:val="001F36CB"/>
    <w:rsid w:val="002101D4"/>
    <w:rsid w:val="00211FFD"/>
    <w:rsid w:val="00212498"/>
    <w:rsid w:val="0021754B"/>
    <w:rsid w:val="00231BC5"/>
    <w:rsid w:val="00244352"/>
    <w:rsid w:val="00247DBF"/>
    <w:rsid w:val="00254B82"/>
    <w:rsid w:val="00265533"/>
    <w:rsid w:val="00274402"/>
    <w:rsid w:val="002769CD"/>
    <w:rsid w:val="0028125A"/>
    <w:rsid w:val="002850C6"/>
    <w:rsid w:val="002A3CAE"/>
    <w:rsid w:val="002A4658"/>
    <w:rsid w:val="002A6B25"/>
    <w:rsid w:val="002B4B03"/>
    <w:rsid w:val="002B7DF6"/>
    <w:rsid w:val="002F729D"/>
    <w:rsid w:val="003A7F8C"/>
    <w:rsid w:val="003B11E1"/>
    <w:rsid w:val="003B5B63"/>
    <w:rsid w:val="003C7A9E"/>
    <w:rsid w:val="003F2356"/>
    <w:rsid w:val="003F2D73"/>
    <w:rsid w:val="004255E4"/>
    <w:rsid w:val="004B7003"/>
    <w:rsid w:val="004D746E"/>
    <w:rsid w:val="00516628"/>
    <w:rsid w:val="00525C6C"/>
    <w:rsid w:val="00537B31"/>
    <w:rsid w:val="00544766"/>
    <w:rsid w:val="005503D5"/>
    <w:rsid w:val="0057011F"/>
    <w:rsid w:val="005919E0"/>
    <w:rsid w:val="005A5AA6"/>
    <w:rsid w:val="005A5EDB"/>
    <w:rsid w:val="005A7B60"/>
    <w:rsid w:val="005F707A"/>
    <w:rsid w:val="00627FFC"/>
    <w:rsid w:val="00693A09"/>
    <w:rsid w:val="006D19F6"/>
    <w:rsid w:val="006F0FDF"/>
    <w:rsid w:val="00700D98"/>
    <w:rsid w:val="00732183"/>
    <w:rsid w:val="007652B6"/>
    <w:rsid w:val="007A0397"/>
    <w:rsid w:val="007A5A7B"/>
    <w:rsid w:val="007B7329"/>
    <w:rsid w:val="007E4D82"/>
    <w:rsid w:val="00812E7E"/>
    <w:rsid w:val="00815AD9"/>
    <w:rsid w:val="00835C53"/>
    <w:rsid w:val="008424A9"/>
    <w:rsid w:val="008914BE"/>
    <w:rsid w:val="00896681"/>
    <w:rsid w:val="008B318E"/>
    <w:rsid w:val="008D31A2"/>
    <w:rsid w:val="009E6C44"/>
    <w:rsid w:val="00A05DF9"/>
    <w:rsid w:val="00A37368"/>
    <w:rsid w:val="00A466B5"/>
    <w:rsid w:val="00A66C27"/>
    <w:rsid w:val="00AB618D"/>
    <w:rsid w:val="00AE0397"/>
    <w:rsid w:val="00AE4A5C"/>
    <w:rsid w:val="00AE6777"/>
    <w:rsid w:val="00B16F9A"/>
    <w:rsid w:val="00B22B1E"/>
    <w:rsid w:val="00B366CD"/>
    <w:rsid w:val="00B5692D"/>
    <w:rsid w:val="00B62E0C"/>
    <w:rsid w:val="00B91543"/>
    <w:rsid w:val="00B945F9"/>
    <w:rsid w:val="00BE3B15"/>
    <w:rsid w:val="00BE4EB6"/>
    <w:rsid w:val="00BE703F"/>
    <w:rsid w:val="00BF26FD"/>
    <w:rsid w:val="00BF4187"/>
    <w:rsid w:val="00BF78F5"/>
    <w:rsid w:val="00C26963"/>
    <w:rsid w:val="00C31413"/>
    <w:rsid w:val="00C41726"/>
    <w:rsid w:val="00C66A05"/>
    <w:rsid w:val="00C81E6E"/>
    <w:rsid w:val="00C90134"/>
    <w:rsid w:val="00CA7AE6"/>
    <w:rsid w:val="00CD6A36"/>
    <w:rsid w:val="00CF3A78"/>
    <w:rsid w:val="00D30A13"/>
    <w:rsid w:val="00D9498F"/>
    <w:rsid w:val="00DB7D7B"/>
    <w:rsid w:val="00DD35B9"/>
    <w:rsid w:val="00DF1FD1"/>
    <w:rsid w:val="00E14ED3"/>
    <w:rsid w:val="00E229D0"/>
    <w:rsid w:val="00E510F8"/>
    <w:rsid w:val="00E51F37"/>
    <w:rsid w:val="00E6606C"/>
    <w:rsid w:val="00E90804"/>
    <w:rsid w:val="00EA4F8F"/>
    <w:rsid w:val="00EB3068"/>
    <w:rsid w:val="00EB4614"/>
    <w:rsid w:val="00ED4B2B"/>
    <w:rsid w:val="00EF44D1"/>
    <w:rsid w:val="00F16EE4"/>
    <w:rsid w:val="00F22598"/>
    <w:rsid w:val="00F32BBE"/>
    <w:rsid w:val="00F3353A"/>
    <w:rsid w:val="00F63829"/>
    <w:rsid w:val="00F80B96"/>
    <w:rsid w:val="00F85BFD"/>
    <w:rsid w:val="00FB307B"/>
    <w:rsid w:val="358F0D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0"/>
    <w:qFormat/>
    <w:uiPriority w:val="9"/>
    <w:pPr>
      <w:keepNext/>
      <w:keepLines/>
      <w:spacing w:before="220" w:after="210"/>
      <w:ind w:firstLine="200" w:firstLineChars="200"/>
      <w:outlineLvl w:val="0"/>
    </w:pPr>
    <w:rPr>
      <w:rFonts w:ascii="Calibri" w:hAnsi="Calibri"/>
      <w:b/>
      <w:bCs/>
      <w:kern w:val="44"/>
      <w:sz w:val="24"/>
      <w:szCs w:val="44"/>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3">
    <w:name w:val="Balloon Text"/>
    <w:basedOn w:val="1"/>
    <w:link w:val="15"/>
    <w:semiHidden/>
    <w:unhideWhenUsed/>
    <w:qFormat/>
    <w:uiPriority w:val="99"/>
    <w:rPr>
      <w:sz w:val="18"/>
      <w:szCs w:val="18"/>
    </w:rPr>
  </w:style>
  <w:style w:type="paragraph" w:styleId="4">
    <w:name w:val="footer"/>
    <w:basedOn w:val="1"/>
    <w:link w:val="11"/>
    <w:qFormat/>
    <w:uiPriority w:val="99"/>
    <w:pPr>
      <w:tabs>
        <w:tab w:val="center" w:pos="4153"/>
        <w:tab w:val="right" w:pos="8306"/>
      </w:tabs>
      <w:snapToGrid w:val="0"/>
      <w:jc w:val="left"/>
    </w:pPr>
    <w:rPr>
      <w:sz w:val="18"/>
      <w:szCs w:val="18"/>
    </w:rPr>
  </w:style>
  <w:style w:type="paragraph" w:styleId="5">
    <w:name w:val="header"/>
    <w:basedOn w:val="1"/>
    <w:link w:val="12"/>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5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page number"/>
    <w:basedOn w:val="8"/>
    <w:qFormat/>
    <w:uiPriority w:val="0"/>
  </w:style>
  <w:style w:type="character" w:customStyle="1" w:styleId="10">
    <w:name w:val="标题 1 字符"/>
    <w:basedOn w:val="8"/>
    <w:link w:val="2"/>
    <w:uiPriority w:val="9"/>
    <w:rPr>
      <w:rFonts w:ascii="Calibri" w:hAnsi="Calibri" w:eastAsia="宋体" w:cs="Times New Roman"/>
      <w:b/>
      <w:bCs/>
      <w:kern w:val="44"/>
      <w:sz w:val="24"/>
      <w:szCs w:val="44"/>
    </w:rPr>
  </w:style>
  <w:style w:type="character" w:customStyle="1" w:styleId="11">
    <w:name w:val="页脚 字符"/>
    <w:basedOn w:val="8"/>
    <w:link w:val="4"/>
    <w:uiPriority w:val="99"/>
    <w:rPr>
      <w:rFonts w:ascii="Times New Roman" w:hAnsi="Times New Roman" w:eastAsia="宋体" w:cs="Times New Roman"/>
      <w:sz w:val="18"/>
      <w:szCs w:val="18"/>
    </w:rPr>
  </w:style>
  <w:style w:type="character" w:customStyle="1" w:styleId="12">
    <w:name w:val="页眉 字符"/>
    <w:basedOn w:val="8"/>
    <w:link w:val="5"/>
    <w:qFormat/>
    <w:uiPriority w:val="99"/>
    <w:rPr>
      <w:rFonts w:ascii="Times New Roman" w:hAnsi="Times New Roman" w:eastAsia="宋体" w:cs="Times New Roman"/>
      <w:sz w:val="18"/>
      <w:szCs w:val="18"/>
    </w:rPr>
  </w:style>
  <w:style w:type="paragraph" w:styleId="13">
    <w:name w:val="List Paragraph"/>
    <w:basedOn w:val="1"/>
    <w:unhideWhenUsed/>
    <w:qFormat/>
    <w:uiPriority w:val="99"/>
    <w:pPr>
      <w:ind w:firstLine="420" w:firstLineChars="200"/>
    </w:pPr>
  </w:style>
  <w:style w:type="table" w:customStyle="1" w:styleId="14">
    <w:name w:val="网格型1"/>
    <w:basedOn w:val="6"/>
    <w:qFormat/>
    <w:uiPriority w:val="59"/>
    <w:rPr>
      <w:rFonts w:ascii="Calibri" w:hAnsi="Calibri" w:eastAsia="宋体"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15">
    <w:name w:val="批注框文本 字符"/>
    <w:basedOn w:val="8"/>
    <w:link w:val="3"/>
    <w:semiHidden/>
    <w:qFormat/>
    <w:uiPriority w:val="99"/>
    <w:rPr>
      <w:rFonts w:ascii="Times New Roman" w:hAnsi="Times New Roman" w:eastAsia="宋体" w:cs="Times New Roman"/>
      <w:sz w:val="18"/>
      <w:szCs w:val="18"/>
    </w:rPr>
  </w:style>
  <w:style w:type="paragraph" w:customStyle="1" w:styleId="16">
    <w:name w:val="Revision"/>
    <w:hidden/>
    <w:semiHidden/>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1151</Words>
  <Characters>1327</Characters>
  <Lines>10</Lines>
  <Paragraphs>2</Paragraphs>
  <TotalTime>22</TotalTime>
  <ScaleCrop>false</ScaleCrop>
  <LinksUpToDate>false</LinksUpToDate>
  <CharactersWithSpaces>1364</CharactersWithSpaces>
  <Application>WPS Office_11.1.0.12650_F1E327BC-269C-435d-A152-05C5408002CA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2023-05-15T01:19:00Z</dcterms:created>
  <dc:creator>熊振中</dc:creator>
  <cp:lastModifiedBy>金建德</cp:lastModifiedBy>
  <cp:lastPrinted>2022-02-15T07:42:00Z</cp:lastPrinted>
  <dcterms:modified xsi:type="dcterms:W3CDTF">2023-05-17T07:13:40Z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2052-11.1.0.12650</vt:lpwstr>
  </property>
  <property fmtid="{D5CDD505-2E9C-101B-9397-08002B2CF9AE}" pid="3" name="ICV">
    <vt:lpwstr>B0DBCC4622604B479739AF35DDC5F794</vt:lpwstr>
  </property>
</Properties>
</file>