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w:t>
      </w:r>
      <w:r>
        <w:rPr>
          <w:rFonts w:hint="eastAsia" w:ascii="黑体" w:hAnsi="黑体" w:eastAsia="黑体"/>
          <w:color w:val="000000"/>
        </w:rPr>
        <w:t>3</w:t>
      </w:r>
      <w:r>
        <w:rPr>
          <w:rFonts w:ascii="黑体" w:hAnsi="黑体" w:eastAsia="黑体"/>
          <w:color w:val="000000"/>
        </w:rPr>
        <w:t>-</w:t>
      </w:r>
      <w:r>
        <w:rPr>
          <w:rFonts w:hint="eastAsia" w:ascii="黑体" w:hAnsi="黑体" w:eastAsia="黑体"/>
          <w:color w:val="000000"/>
          <w:lang w:val="en-US" w:eastAsia="zh-CN"/>
        </w:rPr>
        <w:t>014</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bookmarkStart w:id="2" w:name="_GoBack"/>
      <w:bookmarkEnd w:id="2"/>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关于向子公司提供融资担保和授权兖煤澳洲及其子公司向兖矿能源澳洲附属公司提供日常经营担保的</w:t>
      </w:r>
    </w:p>
    <w:p>
      <w:pPr>
        <w:spacing w:line="500" w:lineRule="exact"/>
        <w:jc w:val="center"/>
        <w:rPr>
          <w:b/>
          <w:bCs/>
          <w:color w:val="000000"/>
          <w:sz w:val="32"/>
        </w:rPr>
      </w:pPr>
      <w:r>
        <w:rPr>
          <w:rFonts w:hint="eastAsia" w:ascii="黑体" w:eastAsia="黑体"/>
          <w:b/>
          <w:bCs/>
          <w:color w:val="FF0000"/>
          <w:sz w:val="36"/>
          <w:szCs w:val="36"/>
        </w:rPr>
        <w:t>公  告</w:t>
      </w:r>
    </w:p>
    <w:p>
      <w:pPr>
        <w:spacing w:line="560" w:lineRule="exact"/>
        <w:jc w:val="center"/>
        <w:rPr>
          <w:b/>
          <w:bCs/>
          <w:color w:val="000000"/>
          <w:sz w:val="28"/>
        </w:rPr>
      </w:pPr>
      <w:r>
        <w:rPr>
          <w:b/>
          <w:bCs/>
          <w:color w:val="000000"/>
          <w:sz w:val="28"/>
        </w:rPr>
        <w:pict>
          <v:shape id="_x0000_s2050" o:spid="_x0000_s2050" o:spt="202" type="#_x0000_t202" style="position:absolute;left:0pt;margin-left:9pt;margin-top:26pt;height:77.2pt;width:423pt;z-index:251659264;mso-width-relative:page;mso-height-relative:page;" coordsize="21600,21600">
            <v:path/>
            <v:fill focussize="0,0"/>
            <v:stroke joinstyle="miter"/>
            <v:imagedata o:title=""/>
            <o:lock v:ext="edit"/>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w: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40"/>
        <w:textAlignment w:val="auto"/>
        <w:rPr>
          <w:rFonts w:ascii="宋体" w:hAnsi="宋体"/>
          <w:b/>
          <w:color w:val="000000"/>
          <w:sz w:val="28"/>
          <w:szCs w:val="28"/>
        </w:rPr>
      </w:pPr>
      <w:r>
        <w:rPr>
          <w:rFonts w:hint="eastAsia" w:ascii="宋体" w:hAnsi="宋体"/>
          <w:b/>
          <w:color w:val="000000"/>
          <w:sz w:val="28"/>
          <w:szCs w:val="28"/>
        </w:rPr>
        <w:t>重要内容提示：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textAlignment w:val="auto"/>
        <w:rPr>
          <w:rFonts w:ascii="宋体" w:hAnsi="宋体"/>
          <w:b/>
          <w:color w:val="000000"/>
          <w:sz w:val="28"/>
          <w:szCs w:val="28"/>
        </w:rPr>
      </w:pPr>
      <w:r>
        <w:rPr>
          <w:rFonts w:hint="eastAsia" w:ascii="宋体" w:hAnsi="宋体"/>
          <w:b/>
          <w:color w:val="000000"/>
          <w:sz w:val="28"/>
          <w:szCs w:val="28"/>
        </w:rPr>
        <w:t>本次担保情况及被担保人名称：</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left="851"/>
        <w:textAlignment w:val="auto"/>
        <w:rPr>
          <w:rFonts w:hint="eastAsia" w:ascii="宋体" w:hAnsi="宋体"/>
          <w:color w:val="000000"/>
          <w:sz w:val="28"/>
          <w:szCs w:val="28"/>
          <w:lang w:val="en-US" w:eastAsia="zh-CN"/>
        </w:rPr>
      </w:pPr>
      <w:r>
        <w:rPr>
          <w:rFonts w:hint="eastAsia" w:ascii="宋体" w:hAnsi="宋体"/>
          <w:color w:val="000000"/>
          <w:sz w:val="28"/>
          <w:szCs w:val="28"/>
        </w:rPr>
        <w:t>授权兖矿能源集团股份有限公司（“公司”“兖矿能源”）及其控股公司</w:t>
      </w:r>
      <w:r>
        <w:rPr>
          <w:rFonts w:hint="eastAsia" w:ascii="宋体" w:hAnsi="宋体"/>
          <w:color w:val="000000"/>
          <w:sz w:val="28"/>
          <w:szCs w:val="28"/>
          <w:lang w:eastAsia="zh-CN"/>
        </w:rPr>
        <w:t>，</w:t>
      </w:r>
      <w:r>
        <w:rPr>
          <w:rFonts w:hint="eastAsia" w:ascii="宋体" w:hAnsi="宋体"/>
          <w:color w:val="000000"/>
          <w:sz w:val="28"/>
          <w:szCs w:val="28"/>
        </w:rPr>
        <w:t>向</w:t>
      </w:r>
      <w:r>
        <w:rPr>
          <w:rFonts w:hint="eastAsia" w:ascii="宋体" w:hAnsi="宋体"/>
          <w:color w:val="000000"/>
          <w:sz w:val="28"/>
          <w:szCs w:val="28"/>
          <w:lang w:val="en-US" w:eastAsia="zh-CN"/>
        </w:rPr>
        <w:t>兖矿能源</w:t>
      </w:r>
      <w:r>
        <w:rPr>
          <w:rFonts w:hint="eastAsia" w:ascii="宋体" w:hAnsi="宋体"/>
          <w:color w:val="000000"/>
          <w:sz w:val="28"/>
          <w:szCs w:val="28"/>
        </w:rPr>
        <w:t>控股公司及参股公司（以下合称“子公司”）提供总额不超过等值50亿美元的融资担保</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其中为资产负债率70%以上的被担保对象提供30亿美元担保，为资产负债率70%以下的被担保对象提供20亿美元担保。</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left="851"/>
        <w:textAlignment w:val="auto"/>
        <w:rPr>
          <w:rFonts w:ascii="宋体" w:hAnsi="宋体"/>
          <w:b/>
          <w:color w:val="000000"/>
          <w:sz w:val="28"/>
          <w:szCs w:val="28"/>
        </w:rPr>
      </w:pPr>
      <w:r>
        <w:rPr>
          <w:rFonts w:hint="eastAsia" w:ascii="宋体" w:hAnsi="宋体"/>
          <w:color w:val="000000"/>
          <w:sz w:val="28"/>
          <w:szCs w:val="28"/>
        </w:rPr>
        <w:t>授权兖煤澳大利亚有限公司（“兖煤澳洲”）及其控股公司，向兖矿能源澳洲附属公司提供总额不超过15亿澳元的日常经营担保。</w:t>
      </w:r>
      <w:r>
        <w:rPr>
          <w:rFonts w:hint="eastAsia" w:ascii="宋体" w:hAnsi="宋体"/>
          <w:color w:val="000000"/>
          <w:sz w:val="28"/>
          <w:szCs w:val="28"/>
          <w:lang w:val="en-US" w:eastAsia="zh-CN"/>
        </w:rPr>
        <w:t>其中为资产负债率70%以上的被担保对象提供3亿</w:t>
      </w:r>
      <w:r>
        <w:rPr>
          <w:rFonts w:hint="eastAsia" w:ascii="宋体" w:hAnsi="宋体"/>
          <w:color w:val="000000"/>
          <w:sz w:val="28"/>
          <w:szCs w:val="28"/>
        </w:rPr>
        <w:t>澳元</w:t>
      </w:r>
      <w:r>
        <w:rPr>
          <w:rFonts w:hint="eastAsia" w:ascii="宋体" w:hAnsi="宋体"/>
          <w:color w:val="000000"/>
          <w:sz w:val="28"/>
          <w:szCs w:val="28"/>
          <w:lang w:val="en-US" w:eastAsia="zh-CN"/>
        </w:rPr>
        <w:t>担保，为资产负债率70%以下的被担保对象提供12亿</w:t>
      </w:r>
      <w:r>
        <w:rPr>
          <w:rFonts w:hint="eastAsia" w:ascii="宋体" w:hAnsi="宋体"/>
          <w:color w:val="000000"/>
          <w:sz w:val="28"/>
          <w:szCs w:val="28"/>
        </w:rPr>
        <w:t>澳元</w:t>
      </w:r>
      <w:r>
        <w:rPr>
          <w:rFonts w:hint="eastAsia" w:ascii="宋体" w:hAnsi="宋体"/>
          <w:color w:val="000000"/>
          <w:sz w:val="28"/>
          <w:szCs w:val="28"/>
          <w:lang w:val="en-US" w:eastAsia="zh-CN"/>
        </w:rPr>
        <w:t>担保。</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textAlignment w:val="auto"/>
        <w:rPr>
          <w:rFonts w:ascii="宋体" w:hAnsi="宋体"/>
          <w:b/>
          <w:color w:val="000000"/>
          <w:sz w:val="28"/>
          <w:szCs w:val="28"/>
        </w:rPr>
      </w:pPr>
      <w:r>
        <w:rPr>
          <w:rFonts w:hint="eastAsia" w:ascii="宋体" w:hAnsi="宋体"/>
          <w:b/>
          <w:color w:val="000000"/>
          <w:sz w:val="28"/>
          <w:szCs w:val="28"/>
        </w:rPr>
        <w:t>为被担保人担保情况：</w:t>
      </w:r>
    </w:p>
    <w:p>
      <w:pPr>
        <w:keepNext w:val="0"/>
        <w:keepLines w:val="0"/>
        <w:pageBreakBefore w:val="0"/>
        <w:widowControl w:val="0"/>
        <w:kinsoku/>
        <w:wordWrap/>
        <w:overflowPunct/>
        <w:topLinePunct w:val="0"/>
        <w:autoSpaceDE/>
        <w:autoSpaceDN/>
        <w:bidi w:val="0"/>
        <w:adjustRightInd w:val="0"/>
        <w:snapToGrid w:val="0"/>
        <w:spacing w:line="520" w:lineRule="exact"/>
        <w:ind w:left="960"/>
        <w:textAlignment w:val="auto"/>
        <w:rPr>
          <w:rFonts w:ascii="宋体" w:hAnsi="宋体"/>
          <w:b/>
          <w:color w:val="000000"/>
          <w:sz w:val="28"/>
          <w:szCs w:val="28"/>
        </w:rPr>
      </w:pPr>
      <w:r>
        <w:rPr>
          <w:rFonts w:hint="eastAsia" w:ascii="宋体" w:hAnsi="宋体"/>
          <w:color w:val="000000"/>
          <w:sz w:val="28"/>
          <w:szCs w:val="28"/>
        </w:rPr>
        <w:t>截至2022年12月31日，公司累计对外担保余额为人民币</w:t>
      </w:r>
      <w:r>
        <w:rPr>
          <w:rFonts w:hint="eastAsia" w:ascii="宋体" w:hAnsi="宋体"/>
          <w:color w:val="000000"/>
          <w:sz w:val="28"/>
          <w:szCs w:val="28"/>
          <w:lang w:val="en-US" w:eastAsia="zh-CN"/>
        </w:rPr>
        <w:t>208.19</w:t>
      </w:r>
      <w:r>
        <w:rPr>
          <w:rFonts w:hint="eastAsia" w:ascii="宋体" w:hAnsi="宋体"/>
          <w:color w:val="000000"/>
          <w:sz w:val="28"/>
          <w:szCs w:val="28"/>
        </w:rPr>
        <w:t>亿元。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567" w:firstLine="0"/>
        <w:textAlignment w:val="auto"/>
        <w:rPr>
          <w:rFonts w:ascii="宋体" w:hAnsi="宋体"/>
          <w:b/>
          <w:color w:val="000000"/>
          <w:sz w:val="28"/>
          <w:szCs w:val="28"/>
        </w:rPr>
      </w:pPr>
      <w:r>
        <w:rPr>
          <w:rFonts w:hint="eastAsia" w:ascii="宋体" w:hAnsi="宋体"/>
          <w:b/>
          <w:color w:val="000000"/>
          <w:sz w:val="28"/>
          <w:szCs w:val="28"/>
        </w:rPr>
        <w:t>公司无逾期对外担保</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567" w:firstLine="0"/>
        <w:textAlignment w:val="auto"/>
        <w:rPr>
          <w:rFonts w:ascii="宋体" w:hAnsi="宋体"/>
          <w:b/>
          <w:color w:val="000000"/>
          <w:sz w:val="28"/>
          <w:szCs w:val="28"/>
        </w:rPr>
      </w:pPr>
      <w:r>
        <w:rPr>
          <w:rFonts w:hint="eastAsia" w:ascii="宋体" w:hAnsi="宋体"/>
          <w:b/>
          <w:color w:val="000000"/>
          <w:sz w:val="28"/>
          <w:szCs w:val="28"/>
        </w:rPr>
        <w:t>本次授权事项需提交股东大会审议批准</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一、本次授权担保情况概述</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（一）本次授权担保的基本情况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1.为降低子公司融资成本，保障其日常经营资金需要，提请股东大会授权兖矿能源及其控股公司</w:t>
      </w:r>
      <w:r>
        <w:rPr>
          <w:rFonts w:hint="eastAsia" w:ascii="宋体" w:hAnsi="宋体"/>
          <w:color w:val="000000"/>
          <w:sz w:val="28"/>
          <w:szCs w:val="28"/>
          <w:lang w:eastAsia="zh-CN"/>
        </w:rPr>
        <w:t>，</w:t>
      </w:r>
      <w:r>
        <w:rPr>
          <w:rFonts w:hint="eastAsia" w:ascii="宋体" w:hAnsi="宋体"/>
          <w:color w:val="000000"/>
          <w:sz w:val="28"/>
          <w:szCs w:val="28"/>
        </w:rPr>
        <w:t>向子公司提供总额不超过等值</w:t>
      </w:r>
      <w:r>
        <w:rPr>
          <w:rFonts w:ascii="宋体" w:hAnsi="宋体"/>
          <w:color w:val="000000"/>
          <w:sz w:val="28"/>
          <w:szCs w:val="28"/>
        </w:rPr>
        <w:t>5</w:t>
      </w:r>
      <w:r>
        <w:rPr>
          <w:rFonts w:hint="eastAsia" w:ascii="宋体" w:hAnsi="宋体"/>
          <w:color w:val="000000"/>
          <w:sz w:val="28"/>
          <w:szCs w:val="28"/>
        </w:rPr>
        <w:t>0亿美元的融资担保</w:t>
      </w:r>
      <w:r>
        <w:rPr>
          <w:rFonts w:hint="eastAsia" w:ascii="宋体" w:hAnsi="宋体"/>
          <w:color w:val="000000"/>
          <w:sz w:val="28"/>
          <w:szCs w:val="28"/>
          <w:lang w:eastAsia="zh-CN"/>
        </w:rPr>
        <w:t>（</w:t>
      </w:r>
      <w:r>
        <w:rPr>
          <w:rFonts w:hint="eastAsia" w:ascii="宋体" w:hAnsi="宋体"/>
          <w:color w:val="000000"/>
          <w:sz w:val="28"/>
          <w:szCs w:val="28"/>
        </w:rPr>
        <w:t>公司向</w:t>
      </w:r>
      <w:r>
        <w:rPr>
          <w:rFonts w:hint="eastAsia" w:ascii="宋体" w:hAnsi="宋体"/>
          <w:color w:val="000000"/>
          <w:sz w:val="28"/>
          <w:szCs w:val="28"/>
          <w:lang w:val="en-US" w:eastAsia="zh-CN"/>
        </w:rPr>
        <w:t>子</w:t>
      </w:r>
      <w:r>
        <w:rPr>
          <w:rFonts w:hint="eastAsia" w:ascii="宋体" w:hAnsi="宋体"/>
          <w:color w:val="000000"/>
          <w:sz w:val="28"/>
          <w:szCs w:val="28"/>
        </w:rPr>
        <w:t>公司提供担保应符合国资监管规定</w:t>
      </w:r>
      <w:r>
        <w:rPr>
          <w:rFonts w:hint="eastAsia" w:ascii="宋体" w:hAnsi="宋体"/>
          <w:color w:val="000000"/>
          <w:sz w:val="28"/>
          <w:szCs w:val="28"/>
          <w:lang w:eastAsia="zh-CN"/>
        </w:rPr>
        <w:t>）</w:t>
      </w:r>
      <w:r>
        <w:rPr>
          <w:rFonts w:hint="eastAsia" w:ascii="宋体" w:hAnsi="宋体"/>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2.为满足兖矿能源澳洲附属公司正常运营所需，兖煤澳洲及其控股公司需要对兖矿能源澳洲附属公司日常经营事项提供总额不超过1</w:t>
      </w:r>
      <w:r>
        <w:rPr>
          <w:rFonts w:hint="eastAsia" w:ascii="宋体" w:hAnsi="宋体"/>
          <w:color w:val="000000"/>
          <w:sz w:val="28"/>
          <w:szCs w:val="28"/>
          <w:lang w:val="en-US" w:eastAsia="zh-CN"/>
        </w:rPr>
        <w:t>5</w:t>
      </w:r>
      <w:r>
        <w:rPr>
          <w:rFonts w:hint="eastAsia" w:ascii="宋体" w:hAnsi="宋体"/>
          <w:color w:val="000000"/>
          <w:sz w:val="28"/>
          <w:szCs w:val="28"/>
        </w:rPr>
        <w:t>亿澳元的担保。根据澳大利亚经营性企业日常业务的通行惯例，在发生经营业务时，通常需要相关方对附属公司提供担保</w:t>
      </w:r>
      <w:r>
        <w:rPr>
          <w:rFonts w:hint="eastAsia" w:ascii="宋体" w:hAnsi="宋体"/>
          <w:color w:val="000000"/>
          <w:sz w:val="28"/>
          <w:szCs w:val="28"/>
          <w:lang w:eastAsia="zh-CN"/>
        </w:rPr>
        <w:t>，</w:t>
      </w:r>
      <w:r>
        <w:rPr>
          <w:rFonts w:hint="eastAsia" w:ascii="宋体" w:hAnsi="宋体"/>
          <w:color w:val="000000"/>
          <w:sz w:val="28"/>
          <w:szCs w:val="28"/>
        </w:rPr>
        <w:t>相关经营性担保</w:t>
      </w:r>
      <w:r>
        <w:rPr>
          <w:rFonts w:hint="eastAsia" w:ascii="宋体" w:hAnsi="宋体"/>
          <w:color w:val="000000"/>
          <w:sz w:val="28"/>
          <w:szCs w:val="28"/>
          <w:lang w:val="en-US" w:eastAsia="zh-CN"/>
        </w:rPr>
        <w:t>为</w:t>
      </w:r>
      <w:r>
        <w:rPr>
          <w:rFonts w:hint="eastAsia" w:ascii="宋体" w:hAnsi="宋体"/>
          <w:color w:val="000000"/>
          <w:sz w:val="28"/>
          <w:szCs w:val="28"/>
        </w:rPr>
        <w:t>兖煤澳洲及其子公司向</w:t>
      </w:r>
      <w:r>
        <w:rPr>
          <w:rFonts w:hint="eastAsia" w:ascii="宋体" w:hAnsi="宋体"/>
          <w:color w:val="000000"/>
          <w:sz w:val="28"/>
          <w:szCs w:val="28"/>
          <w:lang w:val="en-US" w:eastAsia="zh-CN"/>
        </w:rPr>
        <w:t>兖矿能源</w:t>
      </w:r>
      <w:r>
        <w:rPr>
          <w:rFonts w:hint="eastAsia" w:ascii="宋体" w:hAnsi="宋体"/>
          <w:color w:val="000000"/>
          <w:sz w:val="28"/>
          <w:szCs w:val="28"/>
        </w:rPr>
        <w:t>澳洲附属公司提供不超过1</w:t>
      </w:r>
      <w:r>
        <w:rPr>
          <w:rFonts w:hint="eastAsia" w:ascii="宋体" w:hAnsi="宋体"/>
          <w:color w:val="000000"/>
          <w:sz w:val="28"/>
          <w:szCs w:val="28"/>
          <w:lang w:val="en-US" w:eastAsia="zh-CN"/>
        </w:rPr>
        <w:t>5</w:t>
      </w:r>
      <w:r>
        <w:rPr>
          <w:rFonts w:hint="eastAsia" w:ascii="宋体" w:hAnsi="宋体"/>
          <w:color w:val="000000"/>
          <w:sz w:val="28"/>
          <w:szCs w:val="28"/>
        </w:rPr>
        <w:t>亿澳元的日常经营担保提供的担保行为,该等担保主要采用银行保函方式。</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（二）本次授权担保的具体事项</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1.批准</w:t>
      </w:r>
      <w:r>
        <w:rPr>
          <w:rFonts w:hint="eastAsia" w:ascii="宋体" w:hAnsi="宋体"/>
          <w:color w:val="000000"/>
          <w:sz w:val="28"/>
          <w:szCs w:val="28"/>
          <w:lang w:val="en-US" w:eastAsia="zh-CN"/>
        </w:rPr>
        <w:t>兖矿能源</w:t>
      </w:r>
      <w:r>
        <w:rPr>
          <w:rFonts w:hint="eastAsia" w:ascii="宋体" w:hAnsi="宋体"/>
          <w:color w:val="000000"/>
          <w:sz w:val="28"/>
          <w:szCs w:val="28"/>
        </w:rPr>
        <w:t>及</w:t>
      </w:r>
      <w:r>
        <w:rPr>
          <w:rFonts w:hint="eastAsia" w:ascii="宋体" w:hAnsi="宋体"/>
          <w:color w:val="000000"/>
          <w:sz w:val="28"/>
          <w:szCs w:val="28"/>
          <w:lang w:val="en-US" w:eastAsia="zh-CN"/>
        </w:rPr>
        <w:t>其</w:t>
      </w:r>
      <w:r>
        <w:rPr>
          <w:rFonts w:hint="eastAsia" w:ascii="宋体" w:hAnsi="宋体"/>
          <w:color w:val="000000"/>
          <w:sz w:val="28"/>
          <w:szCs w:val="28"/>
        </w:rPr>
        <w:t>控股公司向子公司提供不超过等值50亿美元的融资担保。</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2.批准兖煤澳洲及其控股公司向</w:t>
      </w:r>
      <w:r>
        <w:rPr>
          <w:rFonts w:hint="eastAsia" w:ascii="宋体" w:hAnsi="宋体"/>
          <w:color w:val="000000"/>
          <w:sz w:val="28"/>
          <w:szCs w:val="28"/>
          <w:lang w:val="en-US" w:eastAsia="zh-CN"/>
        </w:rPr>
        <w:t>兖矿能源</w:t>
      </w:r>
      <w:r>
        <w:rPr>
          <w:rFonts w:hint="eastAsia" w:ascii="宋体" w:hAnsi="宋体"/>
          <w:color w:val="000000"/>
          <w:sz w:val="28"/>
          <w:szCs w:val="28"/>
        </w:rPr>
        <w:t>澳洲附属公司提供不超过15亿澳元的日常经营担保。</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3.批准授权公司</w:t>
      </w:r>
      <w:r>
        <w:rPr>
          <w:rFonts w:hint="eastAsia" w:ascii="宋体" w:hAnsi="宋体"/>
          <w:color w:val="000000"/>
          <w:sz w:val="28"/>
          <w:szCs w:val="28"/>
          <w:lang w:val="en-US" w:eastAsia="zh-CN"/>
        </w:rPr>
        <w:t>任一名董事</w:t>
      </w:r>
      <w:r>
        <w:rPr>
          <w:rFonts w:hint="eastAsia" w:ascii="宋体" w:hAnsi="宋体"/>
          <w:color w:val="000000"/>
          <w:sz w:val="28"/>
          <w:szCs w:val="28"/>
        </w:rPr>
        <w:t>根据有关法律法规规定，全权处理与上述融资担保业务有关的事项，包括但不限于：</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（1）根据融资业务需要，合理确定被担保的子公司；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（2）确定具体担保合同条款，包括但不限于担保额度、担保期限、担保范围、担保方式等，签署所涉及的合同及相关法律文件；</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（3）办理与本次担保相关的材料申报及其他事宜。</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4.本次授权期限自2022年度股东周年大会结束之日起至下一年度股东周年大会结束之日止。但上述授权人士可于授权期限内作出或授予与融资担保业务有关的任何要约、协议或决议，而可能需要在授权期限结束后行使有关权力者除外。</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（三）本次授权担保履行的内部决策程序</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rPr>
        <w:t>3年3月24日召开的公司第八届董事会第二十七次会议，审议通过了《关于向子公司提供融资担保和授权兖煤澳洲及其子公司向兖矿能源澳洲附属公司提供日常经营担保的议案》，并提交2022年度股东周年大会审议批准。</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二、被担保人基本情况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有关被担保人基本情况请见附件一《拟被担保兖矿能源子公司基本情况表》、附件二《拟被担保兖煤澳洲附属公司基本情况表》、附件三《拟被担保兖煤国际附属公司基本情况表》。</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三、担保协议内容及担保对象情况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于本公告日，公司尚未签署担保协议。公司将根据融资业务安排以及公司实际情况，在授权期限内严格按照股东大会授权履行担保事项。</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四、董事会及独立董事意见</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公司董事会及独立董事认为：</w:t>
      </w:r>
      <w:r>
        <w:rPr>
          <w:rFonts w:hint="eastAsia" w:ascii="宋体" w:hAnsi="宋体"/>
          <w:color w:val="000000"/>
          <w:sz w:val="28"/>
          <w:szCs w:val="28"/>
          <w:lang w:val="en-US" w:eastAsia="zh-CN"/>
        </w:rPr>
        <w:t>兖矿能源</w:t>
      </w:r>
      <w:r>
        <w:rPr>
          <w:rFonts w:hint="eastAsia" w:ascii="宋体" w:hAnsi="宋体"/>
          <w:color w:val="000000"/>
          <w:sz w:val="28"/>
          <w:szCs w:val="28"/>
        </w:rPr>
        <w:t>及</w:t>
      </w:r>
      <w:r>
        <w:rPr>
          <w:rFonts w:hint="eastAsia" w:ascii="宋体" w:hAnsi="宋体"/>
          <w:color w:val="000000"/>
          <w:sz w:val="28"/>
          <w:szCs w:val="28"/>
          <w:lang w:val="en-US" w:eastAsia="zh-CN"/>
        </w:rPr>
        <w:t>其</w:t>
      </w:r>
      <w:r>
        <w:rPr>
          <w:rFonts w:hint="eastAsia" w:ascii="宋体" w:hAnsi="宋体"/>
          <w:color w:val="000000"/>
          <w:sz w:val="28"/>
          <w:szCs w:val="28"/>
        </w:rPr>
        <w:t>控股公司向子公司提供融资担保和授权兖煤澳洲及其控股公司向兖矿能源澳洲附属公司提供日常经营担保事项，符合公司及子公司经营发展需要；兖煤澳洲及其控股公司向兖矿能源澳洲附属公司提供担保是日常经营所需，符合澳大利亚法律法规及当地经营惯例。上述担保对象均为</w:t>
      </w:r>
      <w:r>
        <w:rPr>
          <w:rFonts w:hint="eastAsia" w:ascii="宋体" w:hAnsi="宋体"/>
          <w:color w:val="000000"/>
          <w:sz w:val="28"/>
          <w:szCs w:val="28"/>
          <w:lang w:val="en-US" w:eastAsia="zh-CN"/>
        </w:rPr>
        <w:t>兖矿能源</w:t>
      </w:r>
      <w:r>
        <w:rPr>
          <w:rFonts w:hint="eastAsia" w:ascii="宋体" w:hAnsi="宋体"/>
          <w:color w:val="000000"/>
          <w:sz w:val="28"/>
          <w:szCs w:val="28"/>
        </w:rPr>
        <w:t>子公司，可有效控制和防范担保风险，不会损害公司及全体股东的利益。</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五、累计对外担保数量及逾期担保的数量</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hint="eastAsia" w:ascii="宋体" w:hAnsi="宋体" w:eastAsia="宋体"/>
          <w:color w:val="000000"/>
          <w:sz w:val="28"/>
          <w:szCs w:val="28"/>
        </w:rPr>
      </w:pPr>
      <w:r>
        <w:rPr>
          <w:rFonts w:hint="eastAsia" w:ascii="宋体" w:hAnsi="宋体" w:eastAsia="宋体"/>
          <w:color w:val="000000"/>
          <w:sz w:val="28"/>
          <w:szCs w:val="28"/>
        </w:rPr>
        <w:t>截至202</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年12月31日，公司及控股公司累计对外担保总额为</w:t>
      </w:r>
      <w:r>
        <w:rPr>
          <w:rFonts w:hint="eastAsia" w:ascii="宋体" w:hAnsi="宋体"/>
          <w:color w:val="000000"/>
          <w:sz w:val="28"/>
          <w:szCs w:val="28"/>
        </w:rPr>
        <w:t>人民币</w:t>
      </w:r>
      <w:r>
        <w:rPr>
          <w:rFonts w:hint="eastAsia" w:ascii="宋体" w:hAnsi="宋体" w:eastAsia="宋体"/>
          <w:color w:val="000000"/>
          <w:sz w:val="28"/>
          <w:szCs w:val="28"/>
          <w:lang w:val="en-US" w:eastAsia="zh-CN"/>
        </w:rPr>
        <w:t>208.19</w:t>
      </w:r>
      <w:r>
        <w:rPr>
          <w:rFonts w:hint="eastAsia" w:ascii="宋体" w:hAnsi="宋体" w:eastAsia="宋体"/>
          <w:color w:val="000000"/>
          <w:sz w:val="28"/>
          <w:szCs w:val="28"/>
        </w:rPr>
        <w:t>亿元，占公司202</w:t>
      </w:r>
      <w:r>
        <w:rPr>
          <w:rFonts w:hint="eastAsia" w:ascii="宋体" w:hAnsi="宋体" w:eastAsia="宋体"/>
          <w:color w:val="000000"/>
          <w:sz w:val="28"/>
          <w:szCs w:val="28"/>
          <w:lang w:val="en-US" w:eastAsia="zh-CN"/>
        </w:rPr>
        <w:t>2</w:t>
      </w:r>
      <w:r>
        <w:rPr>
          <w:rFonts w:hint="eastAsia" w:ascii="宋体" w:hAnsi="宋体" w:eastAsia="宋体"/>
          <w:color w:val="000000"/>
          <w:sz w:val="28"/>
          <w:szCs w:val="28"/>
        </w:rPr>
        <w:t>年经审计归属于母公司净资产</w:t>
      </w:r>
      <w:r>
        <w:rPr>
          <w:rFonts w:hint="eastAsia" w:ascii="宋体" w:hAnsi="宋体"/>
          <w:color w:val="000000"/>
          <w:sz w:val="28"/>
          <w:szCs w:val="28"/>
        </w:rPr>
        <w:t>人民币</w:t>
      </w:r>
      <w:r>
        <w:rPr>
          <w:rFonts w:hint="eastAsia" w:ascii="宋体" w:hAnsi="宋体" w:eastAsia="宋体"/>
          <w:color w:val="000000"/>
          <w:sz w:val="28"/>
          <w:szCs w:val="28"/>
          <w:lang w:val="en-US" w:eastAsia="zh-CN"/>
        </w:rPr>
        <w:t>947.35</w:t>
      </w:r>
      <w:r>
        <w:rPr>
          <w:rFonts w:hint="eastAsia" w:ascii="宋体" w:hAnsi="宋体" w:eastAsia="宋体"/>
          <w:color w:val="000000"/>
          <w:sz w:val="28"/>
          <w:szCs w:val="28"/>
        </w:rPr>
        <w:t>亿元的</w:t>
      </w:r>
      <w:r>
        <w:rPr>
          <w:rFonts w:hint="eastAsia" w:ascii="宋体" w:hAnsi="宋体" w:eastAsia="宋体"/>
          <w:color w:val="000000"/>
          <w:sz w:val="28"/>
          <w:szCs w:val="28"/>
          <w:lang w:val="en-US" w:eastAsia="zh-CN"/>
        </w:rPr>
        <w:t>21.98</w:t>
      </w:r>
      <w:r>
        <w:rPr>
          <w:rFonts w:hint="eastAsia" w:ascii="宋体" w:hAnsi="宋体" w:eastAsia="宋体"/>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lang w:val="en-US" w:eastAsia="zh-CN"/>
        </w:rPr>
        <w:t>被担保人及</w:t>
      </w:r>
      <w:r>
        <w:rPr>
          <w:rFonts w:hint="eastAsia" w:ascii="宋体" w:hAnsi="宋体"/>
          <w:color w:val="000000"/>
          <w:sz w:val="28"/>
          <w:szCs w:val="28"/>
        </w:rPr>
        <w:t>担保情况如下：</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（一）兖矿</w:t>
      </w:r>
      <w:r>
        <w:rPr>
          <w:rFonts w:hint="eastAsia" w:ascii="楷体_GB2312" w:hAnsi="楷体_GB2312" w:eastAsia="楷体_GB2312" w:cs="楷体_GB2312"/>
          <w:b/>
          <w:bCs w:val="0"/>
          <w:color w:val="000000"/>
          <w:sz w:val="28"/>
          <w:szCs w:val="28"/>
        </w:rPr>
        <w:t>融资租赁有限公司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rPr>
      </w:pPr>
      <w:r>
        <w:rPr>
          <w:rFonts w:hint="eastAsia" w:ascii="宋体" w:hAnsi="宋体"/>
          <w:b w:val="0"/>
          <w:bCs/>
          <w:color w:val="000000"/>
          <w:sz w:val="28"/>
          <w:szCs w:val="28"/>
          <w:lang w:val="en-US" w:eastAsia="zh-CN"/>
        </w:rPr>
        <w:t>经2019年度股东周年大会审议批准，公司为</w:t>
      </w:r>
      <w:r>
        <w:rPr>
          <w:rFonts w:hint="eastAsia" w:ascii="宋体" w:hAnsi="宋体"/>
          <w:b w:val="0"/>
          <w:bCs/>
          <w:color w:val="000000"/>
          <w:sz w:val="28"/>
          <w:szCs w:val="28"/>
        </w:rPr>
        <w:t>全资子公司</w:t>
      </w:r>
      <w:r>
        <w:rPr>
          <w:rFonts w:hint="eastAsia" w:ascii="宋体" w:hAnsi="宋体"/>
          <w:b w:val="0"/>
          <w:bCs/>
          <w:color w:val="000000"/>
          <w:sz w:val="28"/>
          <w:szCs w:val="28"/>
          <w:lang w:val="en-US" w:eastAsia="zh-CN"/>
        </w:rPr>
        <w:t>兖矿</w:t>
      </w:r>
      <w:r>
        <w:rPr>
          <w:rFonts w:hint="eastAsia" w:ascii="宋体" w:hAnsi="宋体"/>
          <w:b w:val="0"/>
          <w:bCs/>
          <w:color w:val="000000"/>
          <w:sz w:val="28"/>
          <w:szCs w:val="28"/>
        </w:rPr>
        <w:t>融资租赁有限公司</w:t>
      </w:r>
      <w:r>
        <w:rPr>
          <w:rFonts w:hint="eastAsia" w:ascii="宋体" w:hAnsi="宋体"/>
          <w:b w:val="0"/>
          <w:bCs/>
          <w:color w:val="000000"/>
          <w:sz w:val="28"/>
          <w:szCs w:val="28"/>
          <w:lang w:val="en-US" w:eastAsia="zh-CN"/>
        </w:rPr>
        <w:t>提供人民币19.99亿元担保。截至2022年12月31日，上述担保余额为人民币5.66亿元。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（二）</w:t>
      </w:r>
      <w:r>
        <w:rPr>
          <w:rFonts w:hint="eastAsia" w:ascii="楷体_GB2312" w:hAnsi="楷体_GB2312" w:eastAsia="楷体_GB2312" w:cs="楷体_GB2312"/>
          <w:b/>
          <w:bCs w:val="0"/>
          <w:color w:val="000000"/>
          <w:sz w:val="28"/>
          <w:szCs w:val="28"/>
        </w:rPr>
        <w:t>兖煤国际资源开发有限公司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经2019年度股东周年大会审议批准，公司为</w:t>
      </w:r>
      <w:r>
        <w:rPr>
          <w:rFonts w:hint="eastAsia" w:ascii="宋体" w:hAnsi="宋体"/>
          <w:b w:val="0"/>
          <w:bCs/>
          <w:color w:val="000000"/>
          <w:sz w:val="28"/>
          <w:szCs w:val="28"/>
        </w:rPr>
        <w:t>全资</w:t>
      </w:r>
      <w:r>
        <w:rPr>
          <w:rFonts w:hint="eastAsia" w:ascii="宋体" w:hAnsi="宋体"/>
          <w:b w:val="0"/>
          <w:bCs/>
          <w:color w:val="000000"/>
          <w:sz w:val="28"/>
          <w:szCs w:val="28"/>
          <w:lang w:val="en-US" w:eastAsia="zh-CN"/>
        </w:rPr>
        <w:t>子</w:t>
      </w:r>
      <w:r>
        <w:rPr>
          <w:rFonts w:hint="eastAsia" w:ascii="宋体" w:hAnsi="宋体"/>
          <w:b w:val="0"/>
          <w:bCs/>
          <w:color w:val="000000"/>
          <w:sz w:val="28"/>
          <w:szCs w:val="28"/>
        </w:rPr>
        <w:t>公司兖煤国际资源开发有限公司</w:t>
      </w:r>
      <w:r>
        <w:rPr>
          <w:rFonts w:hint="eastAsia" w:ascii="宋体" w:hAnsi="宋体"/>
          <w:b w:val="0"/>
          <w:bCs/>
          <w:color w:val="000000"/>
          <w:sz w:val="28"/>
          <w:szCs w:val="28"/>
          <w:lang w:val="en-US" w:eastAsia="zh-CN"/>
        </w:rPr>
        <w:t>发行5亿美元境外公司债券提供担保。截至2022年12月31日，上述担保余额为5亿美元。</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经2020年度股东周年大会审议批准，公司为</w:t>
      </w:r>
      <w:r>
        <w:rPr>
          <w:rFonts w:hint="eastAsia" w:ascii="宋体" w:hAnsi="宋体"/>
          <w:b w:val="0"/>
          <w:bCs/>
          <w:color w:val="000000"/>
          <w:sz w:val="28"/>
          <w:szCs w:val="28"/>
        </w:rPr>
        <w:t>兖煤国际资源开发有限公司</w:t>
      </w:r>
      <w:r>
        <w:rPr>
          <w:rFonts w:hint="eastAsia" w:ascii="宋体" w:hAnsi="宋体"/>
          <w:b w:val="0"/>
          <w:bCs/>
          <w:color w:val="000000"/>
          <w:sz w:val="28"/>
          <w:szCs w:val="28"/>
          <w:lang w:val="en-US" w:eastAsia="zh-CN"/>
        </w:rPr>
        <w:t>发行3亿美元境外公司债券提供担保。截至2022年12月31日，上述担保余额为3亿美元。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（三）</w:t>
      </w:r>
      <w:r>
        <w:rPr>
          <w:rFonts w:hint="eastAsia" w:ascii="楷体_GB2312" w:hAnsi="楷体_GB2312" w:eastAsia="楷体_GB2312" w:cs="楷体_GB2312"/>
          <w:b/>
          <w:bCs w:val="0"/>
          <w:color w:val="000000"/>
          <w:sz w:val="28"/>
          <w:szCs w:val="28"/>
        </w:rPr>
        <w:t>内蒙古荣信化工有限公司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rPr>
      </w:pPr>
      <w:r>
        <w:rPr>
          <w:rFonts w:hint="eastAsia" w:ascii="宋体" w:hAnsi="宋体"/>
          <w:b w:val="0"/>
          <w:bCs/>
          <w:color w:val="000000"/>
          <w:sz w:val="28"/>
          <w:szCs w:val="28"/>
          <w:lang w:val="en-US" w:eastAsia="zh-CN"/>
        </w:rPr>
        <w:t>经2019年度股东周年大会审议批准，公司为</w:t>
      </w:r>
      <w:r>
        <w:rPr>
          <w:rFonts w:hint="eastAsia" w:ascii="宋体" w:hAnsi="宋体"/>
          <w:b w:val="0"/>
          <w:bCs/>
          <w:color w:val="000000"/>
          <w:sz w:val="28"/>
          <w:szCs w:val="28"/>
        </w:rPr>
        <w:t>全资</w:t>
      </w:r>
      <w:r>
        <w:rPr>
          <w:rFonts w:hint="eastAsia" w:ascii="宋体" w:hAnsi="宋体"/>
          <w:b w:val="0"/>
          <w:bCs/>
          <w:color w:val="000000"/>
          <w:sz w:val="28"/>
          <w:szCs w:val="28"/>
          <w:lang w:val="en-US" w:eastAsia="zh-CN"/>
        </w:rPr>
        <w:t>子</w:t>
      </w:r>
      <w:r>
        <w:rPr>
          <w:rFonts w:hint="eastAsia" w:ascii="宋体" w:hAnsi="宋体"/>
          <w:b w:val="0"/>
          <w:bCs/>
          <w:color w:val="000000"/>
          <w:sz w:val="28"/>
          <w:szCs w:val="28"/>
        </w:rPr>
        <w:t>公司内蒙古荣信化工有限公司</w:t>
      </w:r>
      <w:r>
        <w:rPr>
          <w:rFonts w:hint="eastAsia" w:ascii="宋体" w:hAnsi="宋体"/>
          <w:b w:val="0"/>
          <w:bCs/>
          <w:color w:val="000000"/>
          <w:sz w:val="28"/>
          <w:szCs w:val="28"/>
          <w:lang w:val="en-US" w:eastAsia="zh-CN"/>
        </w:rPr>
        <w:t>提供人民币13.8亿元担保。截至2022年12月31日，上述担保余额为人民币10.83亿元。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rPr>
      </w:pPr>
      <w:r>
        <w:rPr>
          <w:rFonts w:hint="eastAsia" w:ascii="楷体_GB2312" w:hAnsi="楷体_GB2312" w:eastAsia="楷体_GB2312" w:cs="楷体_GB2312"/>
          <w:b/>
          <w:bCs w:val="0"/>
          <w:color w:val="000000"/>
          <w:sz w:val="28"/>
          <w:szCs w:val="28"/>
          <w:lang w:val="en-US" w:eastAsia="zh-CN"/>
        </w:rPr>
        <w:t>（四）</w:t>
      </w:r>
      <w:r>
        <w:rPr>
          <w:rFonts w:hint="eastAsia" w:ascii="楷体_GB2312" w:hAnsi="楷体_GB2312" w:eastAsia="楷体_GB2312" w:cs="楷体_GB2312"/>
          <w:b/>
          <w:bCs w:val="0"/>
          <w:color w:val="000000"/>
          <w:sz w:val="28"/>
          <w:szCs w:val="28"/>
        </w:rPr>
        <w:t>兖州煤业榆林能化有限公司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rPr>
      </w:pPr>
      <w:r>
        <w:rPr>
          <w:rFonts w:hint="eastAsia" w:ascii="宋体" w:hAnsi="宋体"/>
          <w:b w:val="0"/>
          <w:bCs/>
          <w:color w:val="000000"/>
          <w:sz w:val="28"/>
          <w:szCs w:val="28"/>
          <w:lang w:val="en-US" w:eastAsia="zh-CN"/>
        </w:rPr>
        <w:t>经2019年度股东周年大会审议批准，公司为</w:t>
      </w:r>
      <w:r>
        <w:rPr>
          <w:rFonts w:hint="eastAsia" w:ascii="宋体" w:hAnsi="宋体"/>
          <w:b w:val="0"/>
          <w:bCs/>
          <w:color w:val="000000"/>
          <w:sz w:val="28"/>
          <w:szCs w:val="28"/>
        </w:rPr>
        <w:t>全资子公司兖州煤业榆林能化有限公司</w:t>
      </w:r>
      <w:r>
        <w:rPr>
          <w:rFonts w:hint="eastAsia" w:ascii="宋体" w:hAnsi="宋体"/>
          <w:b w:val="0"/>
          <w:bCs/>
          <w:color w:val="000000"/>
          <w:sz w:val="28"/>
          <w:szCs w:val="28"/>
          <w:lang w:val="en-US" w:eastAsia="zh-CN"/>
        </w:rPr>
        <w:t>提供人民币13亿元担保。截至2022年12月31日，上述担保余额为人民币10.20亿元。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（五）</w:t>
      </w:r>
      <w:r>
        <w:rPr>
          <w:rFonts w:hint="eastAsia" w:ascii="楷体_GB2312" w:hAnsi="楷体_GB2312" w:eastAsia="楷体_GB2312" w:cs="楷体_GB2312"/>
          <w:b/>
          <w:bCs w:val="0"/>
          <w:color w:val="000000"/>
          <w:sz w:val="28"/>
          <w:szCs w:val="28"/>
        </w:rPr>
        <w:t>兖矿鲁南化工有限公司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rPr>
      </w:pPr>
      <w:r>
        <w:rPr>
          <w:rFonts w:hint="eastAsia" w:ascii="宋体" w:hAnsi="宋体"/>
          <w:b w:val="0"/>
          <w:bCs/>
          <w:color w:val="000000"/>
          <w:sz w:val="28"/>
          <w:szCs w:val="28"/>
          <w:lang w:val="en-US" w:eastAsia="zh-CN"/>
        </w:rPr>
        <w:t>经2019年度股东周年大会审议批准，公司为</w:t>
      </w:r>
      <w:r>
        <w:rPr>
          <w:rFonts w:hint="eastAsia" w:ascii="宋体" w:hAnsi="宋体"/>
          <w:b w:val="0"/>
          <w:bCs/>
          <w:color w:val="000000"/>
          <w:sz w:val="28"/>
          <w:szCs w:val="28"/>
        </w:rPr>
        <w:t>全资子公司兖矿鲁南化工有限公司</w:t>
      </w:r>
      <w:r>
        <w:rPr>
          <w:rFonts w:hint="eastAsia" w:ascii="宋体" w:hAnsi="宋体"/>
          <w:b w:val="0"/>
          <w:bCs/>
          <w:color w:val="000000"/>
          <w:sz w:val="28"/>
          <w:szCs w:val="28"/>
          <w:lang w:val="en-US" w:eastAsia="zh-CN"/>
        </w:rPr>
        <w:t>提供人民币10亿元担保。截至2022年12月31日，上述担保余额为人民币9.7亿元。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（六）青岛中垠瑞丰国际贸易有限公司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经2020年度股东周年大会审议批准，公司为控股子公司青岛中垠瑞丰国际贸易有限公司提供人民币7.56亿元担保。截至2022年12月31日，上述担保余额为人民币7.56亿元。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经2021年度股东周年大会审议批准，公司为青岛中垠瑞丰国际贸易有限公司提供人民币9亿元担保。截至2022年12月31日，上述担保余额为人民币9亿元。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（七）青岛中兖贸易有限公司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经2020年度股东周年大会审议批准，公司为全资子公司青岛中兖贸易有限公司提供人民币10亿元担保。截至2022年12月31日，上述担保余额为人民币10亿元。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经2020年度股东周年大会审议批准，公司为青岛中兖贸易有限公司提供人民币2亿元担保。截至2022年12月31日，上述担保余额为人民币2亿元。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经2021年度股东周年大会审议批准，公司为青岛中兖贸易有限公司提供人民币4.4亿元担保。截至2022年12月31日，上述担保余额为人民币4.4亿元。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default"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（八）内蒙古矿业（集团）有限责任公司及其子公司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控股子公司内蒙古矿业（集团）有限责任公司为其全资子公司乌兰察布市宏大实业有限公司提供人民币12.05亿元担保；为其全资子公司鄂尔多斯市锋威光电有限公司提供人民币5.56亿元担保；鄂尔多斯市锋威光电有限公司为内蒙古矿业（集团）有限责任公司提供人民币4.89亿元担保。</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经2021年度第一次临时股东大会审议批准，内蒙古矿业（集团）有限责任公司为其参股公司内蒙古锦联铝材有限公司提供人民币1.35亿元担保。</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default"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（九）陕西靖神铁路有限责任公司/陕西未来清洁化学品有限公司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宋体" w:hAnsi="宋体"/>
          <w:b w:val="0"/>
          <w:bCs/>
          <w:color w:val="000000"/>
          <w:sz w:val="28"/>
          <w:szCs w:val="28"/>
          <w:lang w:val="en-US" w:eastAsia="zh-CN"/>
        </w:rPr>
        <w:t>经2021年度第一次临时股东大会审议批准，公司控股子公司陕西未来能源化工有限公司为其参股公司陕西靖神铁路有限责任公司提供人民币3.34亿元担保；为其控股子公司陕西未来清洁化学品有限公司提供人民币0.12亿元担保。</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bookmarkStart w:id="0" w:name="_Hlk34849129"/>
      <w:r>
        <w:rPr>
          <w:rFonts w:hint="eastAsia" w:ascii="楷体_GB2312" w:hAnsi="楷体_GB2312" w:eastAsia="楷体_GB2312" w:cs="楷体_GB2312"/>
          <w:b/>
          <w:bCs w:val="0"/>
          <w:color w:val="000000"/>
          <w:sz w:val="28"/>
          <w:szCs w:val="28"/>
          <w:lang w:val="en-US" w:eastAsia="zh-CN"/>
        </w:rPr>
        <w:t>（十）兖煤国际（控股）有限公司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经2020年度股东周年大会审议批准，公司为全资子公司兖煤国际（控股）有限公司提供1亿美元担保。截至2022年12月31日，上述担保余额为1亿美元。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eastAsia"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（十一）山东中垠国际贸易有限公司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b w:val="0"/>
          <w:bCs/>
          <w:color w:val="000000"/>
          <w:sz w:val="28"/>
          <w:szCs w:val="28"/>
          <w:lang w:val="en-US" w:eastAsia="zh-CN"/>
        </w:rPr>
      </w:pPr>
      <w:r>
        <w:rPr>
          <w:rFonts w:hint="eastAsia" w:ascii="宋体" w:hAnsi="宋体"/>
          <w:b w:val="0"/>
          <w:bCs/>
          <w:color w:val="000000"/>
          <w:sz w:val="28"/>
          <w:szCs w:val="28"/>
          <w:lang w:val="en-US" w:eastAsia="zh-CN"/>
        </w:rPr>
        <w:t>经2020年度股东周年大会审议批准，公司为全资子公司山东中垠国际贸易有限公司提供人民币4.5亿元担保。截至2022年12月31日，上述担保余额为人民币4.5亿元。</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left"/>
        <w:textAlignment w:val="auto"/>
        <w:rPr>
          <w:rFonts w:hint="default" w:ascii="楷体_GB2312" w:hAnsi="楷体_GB2312" w:eastAsia="楷体_GB2312" w:cs="楷体_GB2312"/>
          <w:b/>
          <w:bCs w:val="0"/>
          <w:color w:val="000000"/>
          <w:sz w:val="28"/>
          <w:szCs w:val="28"/>
          <w:lang w:val="en-US" w:eastAsia="zh-CN"/>
        </w:rPr>
      </w:pPr>
      <w:r>
        <w:rPr>
          <w:rFonts w:hint="eastAsia" w:ascii="楷体_GB2312" w:hAnsi="楷体_GB2312" w:eastAsia="楷体_GB2312" w:cs="楷体_GB2312"/>
          <w:b/>
          <w:bCs w:val="0"/>
          <w:color w:val="000000"/>
          <w:sz w:val="28"/>
          <w:szCs w:val="28"/>
          <w:lang w:val="en-US" w:eastAsia="zh-CN"/>
        </w:rPr>
        <w:t>（十二）兖煤澳洲及其子公司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color w:val="000000"/>
          <w:sz w:val="28"/>
          <w:szCs w:val="28"/>
        </w:rPr>
      </w:pPr>
      <w:r>
        <w:rPr>
          <w:rFonts w:hint="eastAsia" w:ascii="宋体" w:hAnsi="宋体"/>
          <w:b w:val="0"/>
          <w:bCs/>
          <w:color w:val="000000"/>
          <w:sz w:val="28"/>
          <w:szCs w:val="28"/>
          <w:lang w:val="en-US" w:eastAsia="zh-CN"/>
        </w:rPr>
        <w:t>截至2022年12月31日，兖煤澳洲及其子公司因经营必需共有履约押金和保函9.47亿澳元。</w:t>
      </w:r>
      <w:bookmarkEnd w:id="0"/>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sz w:val="28"/>
          <w:szCs w:val="28"/>
        </w:rPr>
      </w:pPr>
      <w:r>
        <w:rPr>
          <w:rFonts w:hint="eastAsia" w:ascii="宋体" w:hAnsi="宋体"/>
          <w:sz w:val="28"/>
          <w:szCs w:val="28"/>
        </w:rPr>
        <w:t>公司无逾期担保事项。</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六、备查文件</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公司第八届董事会第二十七次会议决议。</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600"/>
        <w:textAlignment w:val="auto"/>
        <w:rPr>
          <w:rFonts w:ascii="宋体" w:hAnsi="宋体"/>
          <w:color w:val="000000"/>
          <w:sz w:val="28"/>
          <w:szCs w:val="28"/>
        </w:rPr>
      </w:pPr>
      <w:r>
        <w:rPr>
          <w:rFonts w:hint="eastAsia" w:ascii="宋体" w:hAnsi="宋体"/>
          <w:color w:val="000000"/>
          <w:sz w:val="28"/>
          <w:szCs w:val="28"/>
        </w:rPr>
        <w:t>兖矿能源集团股份有限公司董事会</w:t>
      </w:r>
    </w:p>
    <w:p>
      <w:pPr>
        <w:keepNext w:val="0"/>
        <w:keepLines w:val="0"/>
        <w:pageBreakBefore w:val="0"/>
        <w:widowControl w:val="0"/>
        <w:kinsoku/>
        <w:wordWrap/>
        <w:overflowPunct/>
        <w:topLinePunct w:val="0"/>
        <w:autoSpaceDE/>
        <w:autoSpaceDN/>
        <w:bidi w:val="0"/>
        <w:adjustRightInd w:val="0"/>
        <w:snapToGrid w:val="0"/>
        <w:spacing w:line="520" w:lineRule="exact"/>
        <w:ind w:firstLine="5600" w:firstLineChars="2000"/>
        <w:textAlignment w:val="auto"/>
        <w:rPr>
          <w:rFonts w:hint="eastAsia" w:ascii="宋体" w:hAnsi="宋体" w:eastAsia="宋体"/>
          <w:color w:val="000000"/>
          <w:sz w:val="28"/>
          <w:szCs w:val="28"/>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rPr>
        <w:t>3年3月24</w:t>
      </w:r>
      <w:r>
        <w:rPr>
          <w:rFonts w:hint="eastAsia" w:ascii="宋体" w:hAnsi="宋体"/>
          <w:color w:val="000000"/>
          <w:sz w:val="28"/>
          <w:szCs w:val="28"/>
          <w:lang w:val="en-US" w:eastAsia="zh-CN"/>
        </w:rPr>
        <w:t>日</w:t>
      </w:r>
    </w:p>
    <w:p>
      <w:pPr>
        <w:widowControl/>
        <w:jc w:val="left"/>
        <w:rPr>
          <w:rFonts w:ascii="宋体" w:hAnsi="宋体" w:cs="宋体"/>
          <w:b/>
          <w:bCs/>
          <w:color w:val="000000"/>
          <w:kern w:val="0"/>
          <w:sz w:val="28"/>
          <w:szCs w:val="28"/>
        </w:rPr>
      </w:pPr>
    </w:p>
    <w:tbl>
      <w:tblPr>
        <w:tblStyle w:val="14"/>
        <w:tblpPr w:leftFromText="180" w:rightFromText="180" w:tblpX="-265" w:tblpY="-1095"/>
        <w:tblW w:w="14862" w:type="dxa"/>
        <w:tblInd w:w="0" w:type="dxa"/>
        <w:tblLayout w:type="fixed"/>
        <w:tblCellMar>
          <w:top w:w="0" w:type="dxa"/>
          <w:left w:w="108" w:type="dxa"/>
          <w:bottom w:w="0" w:type="dxa"/>
          <w:right w:w="108" w:type="dxa"/>
        </w:tblCellMar>
      </w:tblPr>
      <w:tblGrid>
        <w:gridCol w:w="552"/>
        <w:gridCol w:w="1213"/>
        <w:gridCol w:w="814"/>
        <w:gridCol w:w="1166"/>
        <w:gridCol w:w="1105"/>
        <w:gridCol w:w="2169"/>
        <w:gridCol w:w="1063"/>
        <w:gridCol w:w="1054"/>
        <w:gridCol w:w="994"/>
        <w:gridCol w:w="943"/>
        <w:gridCol w:w="204"/>
        <w:gridCol w:w="748"/>
        <w:gridCol w:w="960"/>
        <w:gridCol w:w="994"/>
        <w:gridCol w:w="883"/>
      </w:tblGrid>
      <w:tr>
        <w:tblPrEx>
          <w:tblCellMar>
            <w:top w:w="0" w:type="dxa"/>
            <w:left w:w="108" w:type="dxa"/>
            <w:bottom w:w="0" w:type="dxa"/>
            <w:right w:w="108" w:type="dxa"/>
          </w:tblCellMar>
        </w:tblPrEx>
        <w:trPr>
          <w:trHeight w:val="90" w:hRule="atLeast"/>
        </w:trPr>
        <w:tc>
          <w:tcPr>
            <w:tcW w:w="14862" w:type="dxa"/>
            <w:gridSpan w:val="15"/>
            <w:tcBorders>
              <w:top w:val="nil"/>
              <w:left w:val="nil"/>
              <w:bottom w:val="nil"/>
              <w:right w:val="nil"/>
            </w:tcBorders>
            <w:vAlign w:val="bottom"/>
          </w:tcPr>
          <w:p>
            <w:pPr>
              <w:widowControl/>
              <w:jc w:val="left"/>
              <w:rPr>
                <w:rFonts w:hint="default" w:ascii="黑体" w:hAnsi="黑体" w:eastAsia="黑体" w:cs="宋体"/>
                <w:b/>
                <w:bCs/>
                <w:color w:val="000000"/>
                <w:kern w:val="0"/>
                <w:sz w:val="32"/>
                <w:szCs w:val="32"/>
                <w:lang w:val="en-US" w:eastAsia="zh-CN"/>
              </w:rPr>
            </w:pPr>
            <w:r>
              <w:rPr>
                <w:rFonts w:hint="eastAsia" w:ascii="黑体" w:hAnsi="黑体" w:eastAsia="黑体" w:cs="楷体"/>
                <w:sz w:val="32"/>
                <w:szCs w:val="32"/>
                <w:lang w:val="en-US" w:eastAsia="zh-CN"/>
              </w:rPr>
              <w:t>附表1</w:t>
            </w:r>
          </w:p>
          <w:p>
            <w:pPr>
              <w:widowControl/>
              <w:jc w:val="center"/>
              <w:rPr>
                <w:rFonts w:ascii="宋体" w:hAnsi="Times New Roman"/>
                <w:b/>
                <w:bCs/>
                <w:color w:val="000000"/>
                <w:kern w:val="0"/>
                <w:sz w:val="32"/>
                <w:szCs w:val="32"/>
              </w:rPr>
            </w:pPr>
            <w:r>
              <w:rPr>
                <w:rFonts w:hint="eastAsia" w:ascii="宋体" w:hAnsi="宋体" w:cs="宋体"/>
                <w:b/>
                <w:bCs/>
                <w:color w:val="000000"/>
                <w:kern w:val="0"/>
                <w:sz w:val="36"/>
                <w:szCs w:val="36"/>
              </w:rPr>
              <w:t>拟被担保</w:t>
            </w:r>
            <w:r>
              <w:rPr>
                <w:rFonts w:hint="eastAsia" w:ascii="宋体" w:hAnsi="宋体" w:cs="宋体"/>
                <w:b/>
                <w:bCs/>
                <w:color w:val="000000"/>
                <w:kern w:val="0"/>
                <w:sz w:val="36"/>
                <w:szCs w:val="36"/>
                <w:lang w:val="en-US" w:eastAsia="zh-CN"/>
              </w:rPr>
              <w:t>兖矿能源</w:t>
            </w:r>
            <w:r>
              <w:rPr>
                <w:rFonts w:hint="eastAsia" w:ascii="宋体" w:hAnsi="宋体" w:cs="宋体"/>
                <w:b/>
                <w:bCs/>
                <w:color w:val="000000"/>
                <w:kern w:val="0"/>
                <w:sz w:val="36"/>
                <w:szCs w:val="36"/>
              </w:rPr>
              <w:t>子公司基本情况表</w:t>
            </w:r>
          </w:p>
        </w:tc>
      </w:tr>
      <w:tr>
        <w:tblPrEx>
          <w:tblCellMar>
            <w:top w:w="0" w:type="dxa"/>
            <w:left w:w="108" w:type="dxa"/>
            <w:bottom w:w="0" w:type="dxa"/>
            <w:right w:w="108" w:type="dxa"/>
          </w:tblCellMar>
        </w:tblPrEx>
        <w:trPr>
          <w:trHeight w:val="68" w:hRule="atLeast"/>
        </w:trPr>
        <w:tc>
          <w:tcPr>
            <w:tcW w:w="552"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1213"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814"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1166"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1105"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2169"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3111" w:type="dxa"/>
            <w:gridSpan w:val="3"/>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1147" w:type="dxa"/>
            <w:gridSpan w:val="2"/>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748" w:type="dxa"/>
            <w:tcBorders>
              <w:top w:val="nil"/>
              <w:left w:val="nil"/>
              <w:bottom w:val="single" w:color="auto" w:sz="4" w:space="0"/>
              <w:right w:val="nil"/>
            </w:tcBorders>
            <w:vAlign w:val="center"/>
          </w:tcPr>
          <w:p>
            <w:pPr>
              <w:widowControl/>
              <w:jc w:val="center"/>
              <w:rPr>
                <w:rFonts w:ascii="宋体" w:hAnsi="Times New Roman"/>
                <w:b/>
                <w:bCs/>
                <w:color w:val="000000"/>
                <w:kern w:val="0"/>
                <w:szCs w:val="20"/>
              </w:rPr>
            </w:pPr>
          </w:p>
        </w:tc>
        <w:tc>
          <w:tcPr>
            <w:tcW w:w="2837" w:type="dxa"/>
            <w:gridSpan w:val="3"/>
            <w:tcBorders>
              <w:top w:val="nil"/>
              <w:left w:val="nil"/>
              <w:bottom w:val="single" w:color="auto" w:sz="4" w:space="0"/>
              <w:right w:val="nil"/>
            </w:tcBorders>
          </w:tcPr>
          <w:p>
            <w:pPr>
              <w:widowControl/>
              <w:jc w:val="right"/>
              <w:rPr>
                <w:rFonts w:ascii="宋体" w:hAnsi="Times New Roman"/>
                <w:color w:val="000000"/>
                <w:kern w:val="0"/>
                <w:szCs w:val="20"/>
              </w:rPr>
            </w:pPr>
            <w:r>
              <w:rPr>
                <w:rFonts w:hint="eastAsia" w:ascii="宋体" w:hAnsi="宋体" w:cs="宋体"/>
                <w:color w:val="000000"/>
                <w:kern w:val="0"/>
                <w:sz w:val="22"/>
                <w:szCs w:val="22"/>
                <w:lang w:val="en-US" w:eastAsia="zh-CN"/>
              </w:rPr>
              <w:t>币种：</w:t>
            </w:r>
            <w:r>
              <w:rPr>
                <w:rFonts w:hint="eastAsia" w:ascii="宋体" w:hAnsi="宋体" w:cs="宋体"/>
                <w:color w:val="000000"/>
                <w:kern w:val="0"/>
                <w:sz w:val="22"/>
                <w:szCs w:val="22"/>
              </w:rPr>
              <w:t>人民币</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单位：亿元</w:t>
            </w:r>
          </w:p>
        </w:tc>
      </w:tr>
      <w:tr>
        <w:tblPrEx>
          <w:tblCellMar>
            <w:top w:w="0" w:type="dxa"/>
            <w:left w:w="108" w:type="dxa"/>
            <w:bottom w:w="0" w:type="dxa"/>
            <w:right w:w="108" w:type="dxa"/>
          </w:tblCellMar>
        </w:tblPrEx>
        <w:trPr>
          <w:trHeight w:val="347" w:hRule="atLeast"/>
        </w:trPr>
        <w:tc>
          <w:tcPr>
            <w:tcW w:w="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宋体"/>
                <w:color w:val="000000"/>
                <w:kern w:val="0"/>
                <w:sz w:val="22"/>
                <w:szCs w:val="22"/>
              </w:rPr>
              <w:t>序号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宋体"/>
                <w:color w:val="000000"/>
                <w:kern w:val="0"/>
                <w:sz w:val="22"/>
                <w:szCs w:val="22"/>
              </w:rPr>
              <w:t>公司名称</w:t>
            </w:r>
          </w:p>
        </w:tc>
        <w:tc>
          <w:tcPr>
            <w:tcW w:w="8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宋体"/>
                <w:color w:val="000000"/>
                <w:kern w:val="0"/>
                <w:sz w:val="22"/>
                <w:szCs w:val="22"/>
              </w:rPr>
              <w:t>注册地</w:t>
            </w:r>
          </w:p>
        </w:tc>
        <w:tc>
          <w:tcPr>
            <w:tcW w:w="11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宋体"/>
                <w:color w:val="000000"/>
                <w:kern w:val="0"/>
                <w:sz w:val="22"/>
                <w:szCs w:val="22"/>
              </w:rPr>
              <w:t>注册资本</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宋体"/>
                <w:color w:val="000000"/>
                <w:kern w:val="0"/>
                <w:sz w:val="22"/>
                <w:szCs w:val="22"/>
              </w:rPr>
              <w:t>持股比例</w:t>
            </w:r>
          </w:p>
        </w:tc>
        <w:tc>
          <w:tcPr>
            <w:tcW w:w="21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宋体"/>
                <w:color w:val="000000"/>
                <w:kern w:val="0"/>
                <w:sz w:val="22"/>
                <w:szCs w:val="22"/>
              </w:rPr>
              <w:t>经营范围</w:t>
            </w:r>
          </w:p>
        </w:tc>
        <w:tc>
          <w:tcPr>
            <w:tcW w:w="596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0"/>
              </w:rPr>
            </w:pPr>
            <w:r>
              <w:rPr>
                <w:rFonts w:ascii="宋体" w:hAnsi="宋体" w:cs="宋体"/>
                <w:color w:val="000000"/>
                <w:kern w:val="0"/>
                <w:sz w:val="22"/>
                <w:szCs w:val="22"/>
              </w:rPr>
              <w:t>202</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年</w:t>
            </w:r>
            <w:r>
              <w:rPr>
                <w:rFonts w:ascii="宋体" w:hAnsi="宋体" w:cs="宋体"/>
                <w:color w:val="000000"/>
                <w:kern w:val="0"/>
                <w:sz w:val="22"/>
                <w:szCs w:val="22"/>
              </w:rPr>
              <w:t>12</w:t>
            </w:r>
            <w:r>
              <w:rPr>
                <w:rFonts w:hint="eastAsia" w:ascii="宋体" w:hAnsi="宋体" w:cs="宋体"/>
                <w:color w:val="000000"/>
                <w:kern w:val="0"/>
                <w:sz w:val="22"/>
                <w:szCs w:val="22"/>
              </w:rPr>
              <w:t>月</w:t>
            </w:r>
            <w:r>
              <w:rPr>
                <w:rFonts w:ascii="宋体" w:hAnsi="宋体" w:cs="宋体"/>
                <w:color w:val="000000"/>
                <w:kern w:val="0"/>
                <w:sz w:val="22"/>
                <w:szCs w:val="22"/>
              </w:rPr>
              <w:t>31</w:t>
            </w:r>
            <w:r>
              <w:rPr>
                <w:rFonts w:hint="eastAsia" w:ascii="宋体" w:hAnsi="宋体" w:cs="宋体"/>
                <w:color w:val="000000"/>
                <w:kern w:val="0"/>
                <w:sz w:val="22"/>
                <w:szCs w:val="22"/>
              </w:rPr>
              <w:t>日</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ascii="宋体" w:hAnsi="宋体" w:cs="宋体"/>
                <w:color w:val="000000"/>
                <w:kern w:val="0"/>
                <w:sz w:val="22"/>
                <w:szCs w:val="22"/>
              </w:rPr>
              <w:t>202</w:t>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年度</w:t>
            </w:r>
          </w:p>
        </w:tc>
      </w:tr>
      <w:tr>
        <w:tblPrEx>
          <w:tblCellMar>
            <w:top w:w="0" w:type="dxa"/>
            <w:left w:w="108" w:type="dxa"/>
            <w:bottom w:w="0" w:type="dxa"/>
            <w:right w:w="108" w:type="dxa"/>
          </w:tblCellMar>
        </w:tblPrEx>
        <w:trPr>
          <w:trHeight w:val="463"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ascii="Times New Roman" w:hAnsi="Times New Roman" w:cs="Arial"/>
                <w:color w:val="000000"/>
                <w:kern w:val="0"/>
                <w:sz w:val="22"/>
                <w:szCs w:val="22"/>
              </w:rPr>
              <w:t>资产总额</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ascii="Times New Roman" w:hAnsi="Times New Roman" w:cs="Arial"/>
                <w:color w:val="000000"/>
                <w:kern w:val="0"/>
                <w:sz w:val="22"/>
                <w:szCs w:val="22"/>
              </w:rPr>
              <w:t>负债总额</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ascii="Times New Roman" w:hAnsi="Times New Roman" w:cs="Arial"/>
                <w:color w:val="000000"/>
                <w:kern w:val="0"/>
                <w:sz w:val="22"/>
                <w:szCs w:val="22"/>
              </w:rPr>
              <w:t>净资产</w:t>
            </w:r>
          </w:p>
        </w:tc>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Arial"/>
                <w:color w:val="000000"/>
                <w:kern w:val="0"/>
                <w:sz w:val="22"/>
                <w:szCs w:val="22"/>
              </w:rPr>
              <w:t>资产负债率</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0"/>
              </w:rPr>
            </w:pPr>
            <w:r>
              <w:rPr>
                <w:rFonts w:hint="eastAsia" w:ascii="宋体" w:hAnsi="宋体" w:cs="宋体"/>
                <w:color w:val="000000"/>
                <w:kern w:val="0"/>
                <w:sz w:val="22"/>
                <w:szCs w:val="22"/>
              </w:rPr>
              <w:t>流动负债</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0"/>
              </w:rPr>
            </w:pPr>
            <w:r>
              <w:rPr>
                <w:rFonts w:hint="eastAsia" w:ascii="宋体" w:hAnsi="宋体" w:cs="宋体"/>
                <w:color w:val="000000"/>
                <w:kern w:val="0"/>
                <w:sz w:val="22"/>
                <w:szCs w:val="22"/>
              </w:rPr>
              <w:t>银行借款</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hint="eastAsia" w:ascii="宋体" w:hAnsi="宋体" w:cs="Arial"/>
                <w:color w:val="000000"/>
                <w:kern w:val="0"/>
                <w:sz w:val="22"/>
                <w:szCs w:val="22"/>
              </w:rPr>
              <w:t>营业收入</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olor w:val="000000"/>
                <w:kern w:val="0"/>
                <w:szCs w:val="20"/>
              </w:rPr>
            </w:pPr>
            <w:r>
              <w:rPr>
                <w:rFonts w:ascii="Times New Roman" w:hAnsi="Times New Roman" w:cs="Arial"/>
                <w:color w:val="000000"/>
                <w:kern w:val="0"/>
                <w:sz w:val="22"/>
                <w:szCs w:val="22"/>
              </w:rPr>
              <w:t>净利润</w:t>
            </w:r>
          </w:p>
        </w:tc>
      </w:tr>
      <w:tr>
        <w:tblPrEx>
          <w:tblCellMar>
            <w:top w:w="0" w:type="dxa"/>
            <w:left w:w="108" w:type="dxa"/>
            <w:bottom w:w="0" w:type="dxa"/>
            <w:right w:w="108" w:type="dxa"/>
          </w:tblCellMar>
        </w:tblPrEx>
        <w:trPr>
          <w:trHeight w:val="549"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1</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兖煤澳大利亚有限公司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澳大利亚</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60.27亿澳元</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62.26%</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煤矿开采、煤炭销售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600.16</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221.57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378.59</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36.92%</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119.47</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23.05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498.21</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167.39</w:t>
            </w:r>
          </w:p>
        </w:tc>
      </w:tr>
      <w:tr>
        <w:tblPrEx>
          <w:tblCellMar>
            <w:top w:w="0" w:type="dxa"/>
            <w:left w:w="108" w:type="dxa"/>
            <w:bottom w:w="0" w:type="dxa"/>
            <w:right w:w="108" w:type="dxa"/>
          </w:tblCellMar>
        </w:tblPrEx>
        <w:trPr>
          <w:trHeight w:val="701"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Cs w:val="22"/>
              </w:rPr>
            </w:pPr>
            <w:r>
              <w:rPr>
                <w:rFonts w:hint="eastAsia" w:ascii="宋体" w:hAnsi="宋体" w:cs="宋体"/>
                <w:color w:val="000000"/>
                <w:kern w:val="0"/>
                <w:sz w:val="22"/>
                <w:szCs w:val="22"/>
              </w:rPr>
              <w:t>2</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olor w:val="000000"/>
                <w:kern w:val="0"/>
                <w:szCs w:val="22"/>
              </w:rPr>
            </w:pPr>
            <w:r>
              <w:rPr>
                <w:rFonts w:hint="eastAsia" w:ascii="宋体" w:hAnsi="宋体" w:eastAsia="宋体" w:cs="宋体"/>
                <w:i w:val="0"/>
                <w:iCs w:val="0"/>
                <w:color w:val="000000"/>
                <w:kern w:val="0"/>
                <w:sz w:val="22"/>
                <w:szCs w:val="22"/>
                <w:u w:val="none"/>
                <w:lang w:val="en-US" w:eastAsia="zh-CN" w:bidi="ar"/>
              </w:rPr>
              <w:t>兖煤国际（控股）有限公司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香港</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6.89亿美元</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对外投资、矿山技术开发、转让与咨询服务、进出口贸易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199.04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151.35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47.69</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76.04%</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103.85</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8.44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56.42</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17.82</w:t>
            </w:r>
          </w:p>
        </w:tc>
      </w:tr>
      <w:tr>
        <w:tblPrEx>
          <w:tblCellMar>
            <w:top w:w="0" w:type="dxa"/>
            <w:left w:w="108" w:type="dxa"/>
            <w:bottom w:w="0" w:type="dxa"/>
            <w:right w:w="108" w:type="dxa"/>
          </w:tblCellMar>
        </w:tblPrEx>
        <w:trPr>
          <w:trHeight w:val="619"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Cs w:val="22"/>
              </w:rPr>
            </w:pPr>
            <w:r>
              <w:rPr>
                <w:rFonts w:hint="eastAsia" w:ascii="宋体" w:hAnsi="宋体" w:cs="宋体"/>
                <w:color w:val="000000"/>
                <w:kern w:val="0"/>
                <w:sz w:val="22"/>
                <w:szCs w:val="22"/>
              </w:rPr>
              <w:t>3</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olor w:val="000000"/>
                <w:kern w:val="0"/>
                <w:szCs w:val="22"/>
              </w:rPr>
            </w:pPr>
            <w:r>
              <w:rPr>
                <w:rFonts w:hint="eastAsia" w:ascii="宋体" w:hAnsi="宋体" w:eastAsia="宋体" w:cs="宋体"/>
                <w:i w:val="0"/>
                <w:iCs w:val="0"/>
                <w:color w:val="000000"/>
                <w:kern w:val="0"/>
                <w:sz w:val="22"/>
                <w:szCs w:val="22"/>
                <w:u w:val="none"/>
                <w:lang w:val="en-US" w:eastAsia="zh-CN" w:bidi="ar"/>
              </w:rPr>
              <w:t>兖煤国际资源开发有限公司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香港</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60万美元</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矿产资源勘探开发</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48.84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56.49</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-7.65</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115.66%</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0.53</w:t>
            </w:r>
          </w:p>
        </w:tc>
      </w:tr>
      <w:tr>
        <w:tblPrEx>
          <w:tblCellMar>
            <w:top w:w="0" w:type="dxa"/>
            <w:left w:w="108" w:type="dxa"/>
            <w:bottom w:w="0" w:type="dxa"/>
            <w:right w:w="108" w:type="dxa"/>
          </w:tblCellMar>
        </w:tblPrEx>
        <w:trPr>
          <w:trHeight w:val="572"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Cs w:val="22"/>
              </w:rPr>
            </w:pPr>
            <w:r>
              <w:rPr>
                <w:rFonts w:hint="eastAsia" w:ascii="宋体" w:hAnsi="宋体" w:cs="宋体"/>
                <w:color w:val="000000"/>
                <w:kern w:val="0"/>
                <w:sz w:val="22"/>
                <w:szCs w:val="22"/>
              </w:rPr>
              <w:t>4</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olor w:val="000000"/>
                <w:kern w:val="0"/>
                <w:szCs w:val="22"/>
              </w:rPr>
            </w:pPr>
            <w:r>
              <w:rPr>
                <w:rFonts w:hint="eastAsia" w:ascii="宋体" w:hAnsi="宋体" w:eastAsia="宋体" w:cs="宋体"/>
                <w:i w:val="0"/>
                <w:iCs w:val="0"/>
                <w:color w:val="000000"/>
                <w:kern w:val="0"/>
                <w:sz w:val="22"/>
                <w:szCs w:val="22"/>
                <w:u w:val="none"/>
                <w:lang w:val="en-US" w:eastAsia="zh-CN" w:bidi="ar"/>
              </w:rPr>
              <w:t>兖煤国际技术开发有限公司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香港</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100万美元</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矿山开采技术的开发、转让与咨询服务</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8.13</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5.55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2.58</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68.27%</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5.55</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5</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兖矿融资租赁有限公司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上海</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70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融资租赁业务；租赁业务；向国内外购买租赁财产</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178.94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85.33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93.61</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47.69%</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57.59</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27.7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8.21</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4.66</w:t>
            </w:r>
          </w:p>
        </w:tc>
      </w:tr>
      <w:tr>
        <w:tblPrEx>
          <w:tblCellMar>
            <w:top w:w="0" w:type="dxa"/>
            <w:left w:w="108" w:type="dxa"/>
            <w:bottom w:w="0" w:type="dxa"/>
            <w:right w:w="108" w:type="dxa"/>
          </w:tblCellMar>
        </w:tblPrEx>
        <w:trPr>
          <w:trHeight w:val="866"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6</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中垠（泰安）融资租赁有限公司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山东泰安</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15.93</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70%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融资租赁业务；租赁业务</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18.58</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18.15</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2.31%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0.63</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0.41</w:t>
            </w:r>
          </w:p>
        </w:tc>
      </w:tr>
      <w:tr>
        <w:tblPrEx>
          <w:tblCellMar>
            <w:top w:w="0" w:type="dxa"/>
            <w:left w:w="108" w:type="dxa"/>
            <w:bottom w:w="0" w:type="dxa"/>
            <w:right w:w="108" w:type="dxa"/>
          </w:tblCellMar>
        </w:tblPrEx>
        <w:trPr>
          <w:trHeight w:val="702"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7</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青岛中垠瑞丰国际贸易有限公司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山东青岛</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2</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51%</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国际贸易、转口贸易、自营各类商品的进出口贸易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78.71</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75.03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3.68</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95.32%</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75.03</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4.21</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349.2</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0.23</w:t>
            </w:r>
          </w:p>
        </w:tc>
      </w:tr>
      <w:tr>
        <w:tblPrEx>
          <w:tblCellMar>
            <w:top w:w="0" w:type="dxa"/>
            <w:left w:w="108" w:type="dxa"/>
            <w:bottom w:w="0" w:type="dxa"/>
            <w:right w:w="108" w:type="dxa"/>
          </w:tblCellMar>
        </w:tblPrEx>
        <w:trPr>
          <w:trHeight w:val="476"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8</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山东中垠国际贸易有限公司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山东济南</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3</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货物及技术进出口业务；煤炭、煤矿机械设备及配件等的销售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28.63</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17.45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11.18</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60.95%</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17.45</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198.24</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0.75</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9</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青岛中兖贸易有限公司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山东青岛</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0.5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国内大宗商品贸易、国际贸易、转口贸易、代理自营各类商品的进出口贸易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13.29</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13.59</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-0.3</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102.26%</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13.59</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9.64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65.39</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-0.18</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10</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端信（深圳）投资控股有限公司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广东深圳</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11</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股权投资；受托资产管理；投资管理</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9.54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1.83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7.71</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19.18%</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1.83</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15.42</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-1.11</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2"/>
              </w:rPr>
            </w:pPr>
            <w:r>
              <w:rPr>
                <w:rFonts w:hint="eastAsia" w:ascii="宋体" w:hAnsi="宋体" w:cs="宋体"/>
                <w:color w:val="000000"/>
                <w:kern w:val="0"/>
                <w:sz w:val="22"/>
                <w:szCs w:val="22"/>
              </w:rPr>
              <w:t>11</w:t>
            </w:r>
          </w:p>
        </w:tc>
        <w:tc>
          <w:tcPr>
            <w:tcW w:w="1213"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top"/>
              <w:rPr>
                <w:rFonts w:ascii="宋体" w:hAnsi="宋体" w:cs="宋体"/>
                <w:color w:val="000000"/>
                <w:kern w:val="0"/>
                <w:szCs w:val="22"/>
              </w:rPr>
            </w:pPr>
            <w:r>
              <w:rPr>
                <w:rFonts w:hint="eastAsia" w:ascii="宋体" w:hAnsi="宋体" w:eastAsia="宋体" w:cs="宋体"/>
                <w:i w:val="0"/>
                <w:iCs w:val="0"/>
                <w:color w:val="000000"/>
                <w:kern w:val="0"/>
                <w:sz w:val="22"/>
                <w:szCs w:val="22"/>
                <w:u w:val="none"/>
                <w:lang w:val="en-US" w:eastAsia="zh-CN" w:bidi="ar"/>
              </w:rPr>
              <w:t>兖煤蓝天清洁能源有限公司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山东济宁</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3.1</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Cs w:val="22"/>
              </w:rPr>
            </w:pPr>
            <w:r>
              <w:rPr>
                <w:rStyle w:val="32"/>
                <w:lang w:val="en-US" w:eastAsia="zh-CN" w:bidi="ar"/>
              </w:rPr>
              <w:t>环保炉具的生产及销售；清洁供暖；环保工程</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2.75</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31.25%</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1.34</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0.01</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陕西未来能源化工有限公司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陕西省榆林市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73.97%</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309.74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86.81</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222.93</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28.03%</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44.46</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178.16</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68.58</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陕西未来清洁油品与化学品销售有限公司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陕西省榆林市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（未来能源持股100%）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石油制品、化工产品销售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0.96</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0.03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0.93</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3.13%</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0.03</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0.81</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0.06</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14</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陕西未来清洁化学品有限公司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陕西省榆林市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0.3</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（未来能源持股51%）</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费托合成产品的研发；液体石蜡、费托合成蜡、氧化蜡、乳化蜡产品的生产、储存、销售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1.37</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0.17</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87.59%</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0.12</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8.13</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0.25</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兖矿榆林精细化工有限公司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陕西省榆林市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0.462</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化工产品生产及销售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2.89</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2.19</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24.22%</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0.7</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2.33</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0.27</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6</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兖矿鲁南化工有限公司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山东省滕州市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50.41</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化工产品生产及销售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138.5</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36.57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101.93</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26.40%</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23.57</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9.27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128.73</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10.31</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17</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兖矿济宁化工装备有限公司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山东省济宁市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化工设备与配件的制造和维修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1.45</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0.83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0.62</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57.24%</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0.81</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0.84</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0.04</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18</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兖矿煤化供销有限公司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山东省济宁市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化工产品批发销售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8.73</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6.34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2.39</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72.62%</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6.34</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126.45</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1.25</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9</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山东兖矿济三电力有限公司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山东省济宁市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99%</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火力发电、供热经营</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6.97</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0.34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6.63</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4.88%</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0.34</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5.86</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0.44</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0</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陕西靖神铁路有限责任公司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陕西省榆林市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62</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（未来能源持股4%）</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铁路建设、运输</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142.09</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93.71</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48.38</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65.95%</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10.21</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83.5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19.65</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0.67</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21</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鄂尔多斯市转龙湾煤炭有限公司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内蒙古鄂尔多斯市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50.5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143.73</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32.78</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110.95</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22.81%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8.62</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66.71</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31.29</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2</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鄂尔多斯市营盘壕煤炭有限公司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内蒙古鄂尔多斯市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120.36</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77.65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42.71</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64.51%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28.35</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4.43</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3</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内蒙古昊盛煤业有限公司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内蒙古鄂尔多斯市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11.85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59.38%</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153.7</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100.43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53.27</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65.34%</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75.58</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lang w:val="en-US"/>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32.55</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3.64</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4</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内蒙古荣信化工有限公司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内蒙古鄂尔多斯市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15.33</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89.14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66.38</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22.76</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74.47%</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16.22</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57.15</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5.64</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5</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兖州煤业榆林能化有限公司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陕西省榆林市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46.92</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34.3</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12.62</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73.10%</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10.06</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28.36</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-4.06</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6</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内蒙古矿业（集团）有限责任公司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内蒙古呼和浩特市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69.97</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矿产资源投资与管理，矿产品销售及进出口贸易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385.98</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266.76</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119.22</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69.11%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160.12</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7.18</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38.91</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0.25</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7</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乌兰察布市宏大实业有限公司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内蒙古乌兰察布市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（内蒙古矿业持股100%）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电力、热力生产供应</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19.14</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15.85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3.29</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82.81%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4.69</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12.69</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0.35</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8</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鄂尔多斯市锋威光电有限公司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内蒙古鄂尔多斯市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（内蒙古矿业持股100%）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太阳能、风能发电项目建设及生产运营</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14.45</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11.84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2.61</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81.94%</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0.3</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1.22</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0.29</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r>
              <w:rPr>
                <w:rFonts w:ascii="宋体" w:hAnsi="宋体" w:cs="宋体"/>
                <w:color w:val="000000"/>
                <w:kern w:val="0"/>
                <w:sz w:val="22"/>
                <w:szCs w:val="22"/>
              </w:rPr>
              <w:t>9</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内蒙古矿业资源投资控股有限公司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内蒙古呼和浩特市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4亿</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（内蒙古矿业持股100%）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投资与资产管理、矿业权经营</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highlight w:val="yellow"/>
              </w:rPr>
            </w:pPr>
            <w:r>
              <w:rPr>
                <w:rFonts w:hint="eastAsia" w:ascii="宋体" w:hAnsi="宋体" w:eastAsia="宋体" w:cs="宋体"/>
                <w:i w:val="0"/>
                <w:iCs w:val="0"/>
                <w:color w:val="000000"/>
                <w:kern w:val="0"/>
                <w:sz w:val="22"/>
                <w:szCs w:val="22"/>
                <w:u w:val="none"/>
                <w:lang w:val="en-US" w:eastAsia="zh-CN" w:bidi="ar"/>
              </w:rPr>
              <w:t>23.33</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highlight w:val="yellow"/>
              </w:rPr>
            </w:pPr>
            <w:r>
              <w:rPr>
                <w:rFonts w:hint="eastAsia" w:ascii="宋体" w:hAnsi="宋体" w:eastAsia="宋体" w:cs="宋体"/>
                <w:i w:val="0"/>
                <w:iCs w:val="0"/>
                <w:color w:val="000000"/>
                <w:kern w:val="0"/>
                <w:sz w:val="22"/>
                <w:szCs w:val="22"/>
                <w:u w:val="none"/>
                <w:lang w:val="en-US" w:eastAsia="zh-CN" w:bidi="ar"/>
              </w:rPr>
              <w:t>0.94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highlight w:val="yellow"/>
                <w:lang w:val="en-US"/>
              </w:rPr>
            </w:pPr>
            <w:r>
              <w:rPr>
                <w:rFonts w:hint="eastAsia" w:ascii="宋体" w:hAnsi="宋体" w:eastAsia="宋体" w:cs="宋体"/>
                <w:i w:val="0"/>
                <w:iCs w:val="0"/>
                <w:color w:val="000000"/>
                <w:kern w:val="0"/>
                <w:sz w:val="22"/>
                <w:szCs w:val="22"/>
                <w:u w:val="none"/>
                <w:lang w:val="en-US" w:eastAsia="zh-CN" w:bidi="ar"/>
              </w:rPr>
              <w:t>22.39</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cs="Arial"/>
                <w:kern w:val="0"/>
                <w:sz w:val="22"/>
                <w:szCs w:val="22"/>
              </w:rPr>
            </w:pPr>
            <w:r>
              <w:rPr>
                <w:rFonts w:hint="eastAsia" w:ascii="宋体" w:hAnsi="宋体" w:eastAsia="宋体" w:cs="宋体"/>
                <w:i w:val="0"/>
                <w:iCs w:val="0"/>
                <w:color w:val="000000"/>
                <w:kern w:val="0"/>
                <w:sz w:val="22"/>
                <w:szCs w:val="22"/>
                <w:u w:val="none"/>
                <w:lang w:val="en-US" w:eastAsia="zh-CN" w:bidi="ar"/>
              </w:rPr>
              <w:t>4.03%</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highlight w:val="yellow"/>
              </w:rPr>
            </w:pPr>
            <w:r>
              <w:rPr>
                <w:rFonts w:hint="eastAsia" w:ascii="宋体" w:hAnsi="宋体" w:eastAsia="宋体" w:cs="宋体"/>
                <w:i w:val="0"/>
                <w:iCs w:val="0"/>
                <w:color w:val="000000"/>
                <w:kern w:val="0"/>
                <w:sz w:val="22"/>
                <w:szCs w:val="22"/>
                <w:u w:val="none"/>
                <w:lang w:val="en-US" w:eastAsia="zh-CN" w:bidi="ar"/>
              </w:rPr>
              <w:t>0.4</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kern w:val="0"/>
                <w:sz w:val="22"/>
                <w:szCs w:val="22"/>
                <w:highlight w:val="yellow"/>
                <w:lang w:val="en-US"/>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highlight w:val="yellow"/>
              </w:rPr>
            </w:pPr>
            <w:r>
              <w:rPr>
                <w:rFonts w:hint="eastAsia" w:ascii="宋体" w:hAnsi="宋体" w:eastAsia="宋体" w:cs="宋体"/>
                <w:i w:val="0"/>
                <w:iCs w:val="0"/>
                <w:color w:val="000000"/>
                <w:kern w:val="0"/>
                <w:sz w:val="22"/>
                <w:szCs w:val="22"/>
                <w:u w:val="none"/>
                <w:lang w:val="en-US" w:eastAsia="zh-CN" w:bidi="ar"/>
              </w:rPr>
              <w:t>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highlight w:val="yellow"/>
              </w:rPr>
            </w:pPr>
            <w:r>
              <w:rPr>
                <w:rFonts w:hint="eastAsia" w:ascii="宋体" w:hAnsi="宋体" w:eastAsia="宋体" w:cs="宋体"/>
                <w:i w:val="0"/>
                <w:iCs w:val="0"/>
                <w:color w:val="000000"/>
                <w:kern w:val="0"/>
                <w:sz w:val="22"/>
                <w:szCs w:val="22"/>
                <w:u w:val="none"/>
                <w:lang w:val="en-US" w:eastAsia="zh-CN" w:bidi="ar"/>
              </w:rPr>
              <w:t>0.08</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0</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内蒙古金控融资租赁有限公司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内蒙古呼伦贝尔市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12亿</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（内蒙古矿业持股55%）</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提供融资租赁以及国内商业保理业务</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7.05</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7.01</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2"/>
                <w:szCs w:val="22"/>
                <w:u w:val="none"/>
                <w:lang w:val="en-US" w:eastAsia="zh-CN" w:bidi="ar"/>
              </w:rPr>
              <w:t>0.57%</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0.12</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0.05</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1</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内蒙古伊泰嘎鲁图矿业有限公司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内蒙古鄂尔多斯市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Style w:val="33"/>
                <w:lang w:val="en-US" w:eastAsia="zh-CN" w:bidi="ar"/>
              </w:rPr>
              <w:t>（内蒙古矿业持股</w:t>
            </w:r>
            <w:r>
              <w:rPr>
                <w:rFonts w:hint="eastAsia" w:ascii="宋体" w:hAnsi="宋体" w:eastAsia="宋体" w:cs="宋体"/>
                <w:i w:val="0"/>
                <w:iCs w:val="0"/>
                <w:color w:val="000000"/>
                <w:kern w:val="0"/>
                <w:sz w:val="22"/>
                <w:szCs w:val="22"/>
                <w:u w:val="none"/>
                <w:lang w:val="en-US" w:eastAsia="zh-CN" w:bidi="ar"/>
              </w:rPr>
              <w:t>52.77%</w:t>
            </w:r>
            <w:r>
              <w:rPr>
                <w:rStyle w:val="33"/>
                <w:lang w:val="en-US" w:eastAsia="zh-CN" w:bidi="ar"/>
              </w:rPr>
              <w:t>）</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原煤生产、运输、洗选、焦化、销售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46.57</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8.9</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37.67</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2"/>
                <w:szCs w:val="22"/>
                <w:u w:val="none"/>
                <w:lang w:val="en-US" w:eastAsia="zh-CN" w:bidi="ar"/>
              </w:rPr>
              <w:t>19.11%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 w:val="22"/>
                <w:szCs w:val="22"/>
                <w:lang w:val="en-US"/>
              </w:rPr>
            </w:pPr>
            <w:r>
              <w:rPr>
                <w:rFonts w:hint="eastAsia"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2</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内蒙古锦联铝材有限公司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内蒙古霍林郭勒市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（内蒙古矿业持股44.21%）</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铝后加工，铝锭、铝制品及衍生产品的生成销售，货物及技术的进出口业务、售电，仓储</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155.78</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64.7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91.08</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2"/>
                <w:szCs w:val="22"/>
                <w:u w:val="none"/>
                <w:lang w:val="en-US" w:eastAsia="zh-CN" w:bidi="ar"/>
              </w:rPr>
              <w:t>41.53%</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48.62</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14.75</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181.03</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7.1</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3</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山东新宝龙工业科技有限公司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山东省济宁市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49.17%</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工业自动控制系统装置制造；橡胶制品制造等</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1.76</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1.27</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2"/>
                <w:szCs w:val="22"/>
                <w:u w:val="none"/>
                <w:lang w:val="en-US" w:eastAsia="zh-CN" w:bidi="ar"/>
              </w:rPr>
              <w:t>58.09%</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1.74</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0.12</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4</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兖矿东平陆港有限公司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山东省泰安市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20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46.31%</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港口基础设施建设、运营及管理；道路货物运输；铁路货物运输等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24.59</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15.31</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 w:val="22"/>
                <w:szCs w:val="22"/>
                <w:lang w:val="en-US"/>
              </w:rPr>
            </w:pPr>
            <w:r>
              <w:rPr>
                <w:rFonts w:hint="eastAsia" w:ascii="宋体" w:hAnsi="宋体" w:eastAsia="宋体" w:cs="宋体"/>
                <w:i w:val="0"/>
                <w:iCs w:val="0"/>
                <w:color w:val="000000"/>
                <w:kern w:val="0"/>
                <w:sz w:val="22"/>
                <w:szCs w:val="22"/>
                <w:u w:val="none"/>
                <w:lang w:val="en-US" w:eastAsia="zh-CN" w:bidi="ar"/>
              </w:rPr>
              <w:t>9.28</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2"/>
                <w:szCs w:val="22"/>
                <w:u w:val="none"/>
                <w:lang w:val="en-US" w:eastAsia="zh-CN" w:bidi="ar"/>
              </w:rPr>
              <w:t>62.26%</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2.61</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sz w:val="22"/>
                <w:szCs w:val="22"/>
                <w:lang w:eastAsia="zh-CN"/>
              </w:rPr>
            </w:pPr>
            <w:r>
              <w:rPr>
                <w:rFonts w:hint="eastAsia" w:ascii="宋体" w:hAnsi="宋体" w:eastAsia="宋体" w:cs="宋体"/>
                <w:i w:val="0"/>
                <w:iCs w:val="0"/>
                <w:color w:val="000000"/>
                <w:kern w:val="0"/>
                <w:sz w:val="22"/>
                <w:szCs w:val="22"/>
                <w:u w:val="none"/>
                <w:lang w:val="en-US" w:eastAsia="zh-CN" w:bidi="ar"/>
              </w:rPr>
              <w:t>0.14</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0.3</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5</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烟台金正环保科技有限公司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山东省烟台市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（兖煤国际间接持股45%）</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建设工程施工；气体、液体分离及纯净设备销售；新型膜材料制造及销售；新材料技术研发等</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17.78</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16.48</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1.3</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2"/>
                <w:szCs w:val="22"/>
                <w:u w:val="none"/>
                <w:lang w:val="en-US" w:eastAsia="zh-CN" w:bidi="ar"/>
              </w:rPr>
              <w:t>92.69%</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13.02</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3.58</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2.41</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 w:val="22"/>
                <w:szCs w:val="22"/>
                <w:lang w:val="en-US"/>
              </w:rPr>
            </w:pPr>
            <w:r>
              <w:rPr>
                <w:rFonts w:hint="eastAsia" w:ascii="宋体" w:hAnsi="宋体" w:eastAsia="宋体" w:cs="宋体"/>
                <w:i w:val="0"/>
                <w:iCs w:val="0"/>
                <w:color w:val="000000"/>
                <w:kern w:val="0"/>
                <w:sz w:val="22"/>
                <w:szCs w:val="22"/>
                <w:u w:val="none"/>
                <w:lang w:val="en-US" w:eastAsia="zh-CN" w:bidi="ar"/>
              </w:rPr>
              <w:t>-1.7</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6</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兖矿东华重工有限公司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山东省济宁市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22.78</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矿用设备、机电设备、液压支架、带式输送机等产品的设计、制造、安装、维修、销售</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45.66</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 w:val="22"/>
                <w:szCs w:val="22"/>
                <w:lang w:val="en-US"/>
              </w:rPr>
            </w:pPr>
            <w:r>
              <w:rPr>
                <w:rFonts w:hint="eastAsia" w:ascii="宋体" w:hAnsi="宋体" w:eastAsia="宋体" w:cs="宋体"/>
                <w:i w:val="0"/>
                <w:iCs w:val="0"/>
                <w:color w:val="000000"/>
                <w:kern w:val="0"/>
                <w:sz w:val="22"/>
                <w:szCs w:val="22"/>
                <w:u w:val="none"/>
                <w:lang w:val="en-US" w:eastAsia="zh-CN" w:bidi="ar"/>
              </w:rPr>
              <w:t>27.74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17.92</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等线" w:hAnsi="等线" w:eastAsia="等线"/>
                <w:sz w:val="22"/>
                <w:szCs w:val="22"/>
                <w:highlight w:val="yellow"/>
              </w:rPr>
            </w:pPr>
            <w:r>
              <w:rPr>
                <w:rFonts w:hint="eastAsia" w:ascii="宋体" w:hAnsi="宋体" w:eastAsia="宋体" w:cs="宋体"/>
                <w:i w:val="0"/>
                <w:iCs w:val="0"/>
                <w:color w:val="000000"/>
                <w:kern w:val="0"/>
                <w:sz w:val="22"/>
                <w:szCs w:val="22"/>
                <w:u w:val="none"/>
                <w:lang w:val="en-US" w:eastAsia="zh-CN" w:bidi="ar"/>
              </w:rPr>
              <w:t>60.75%</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14.34</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4</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37.76</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0.31</w:t>
            </w:r>
          </w:p>
        </w:tc>
      </w:tr>
      <w:tr>
        <w:tblPrEx>
          <w:tblCellMar>
            <w:top w:w="0" w:type="dxa"/>
            <w:left w:w="108" w:type="dxa"/>
            <w:bottom w:w="0" w:type="dxa"/>
            <w:right w:w="108" w:type="dxa"/>
          </w:tblCellMar>
        </w:tblPrEx>
        <w:trPr>
          <w:trHeight w:val="477" w:hRule="atLeast"/>
        </w:trPr>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7</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bCs/>
                <w:kern w:val="0"/>
                <w:sz w:val="22"/>
                <w:szCs w:val="22"/>
              </w:rPr>
            </w:pPr>
            <w:r>
              <w:rPr>
                <w:rFonts w:hint="eastAsia" w:ascii="宋体" w:hAnsi="宋体" w:eastAsia="宋体" w:cs="宋体"/>
                <w:i w:val="0"/>
                <w:iCs w:val="0"/>
                <w:color w:val="000000"/>
                <w:kern w:val="0"/>
                <w:sz w:val="22"/>
                <w:szCs w:val="22"/>
                <w:u w:val="none"/>
                <w:lang w:val="en-US" w:eastAsia="zh-CN" w:bidi="ar"/>
              </w:rPr>
              <w:t>兖矿铁路物流有限公司</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山东省济宁市</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1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iCs w:val="0"/>
                <w:color w:val="000000"/>
                <w:kern w:val="0"/>
                <w:sz w:val="22"/>
                <w:szCs w:val="22"/>
                <w:u w:val="none"/>
                <w:lang w:val="en-US" w:eastAsia="zh-CN" w:bidi="ar"/>
              </w:rPr>
              <w:t>公共铁路运输；铁路机车车辆维修等</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27.92</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25.85</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7.41%</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1.28</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w:t>
            </w:r>
          </w:p>
        </w:tc>
        <w:tc>
          <w:tcPr>
            <w:tcW w:w="9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2.89</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z w:val="22"/>
                <w:szCs w:val="22"/>
              </w:rPr>
            </w:pPr>
            <w:r>
              <w:rPr>
                <w:rFonts w:hint="eastAsia" w:ascii="宋体" w:hAnsi="宋体" w:eastAsia="宋体" w:cs="宋体"/>
                <w:i w:val="0"/>
                <w:iCs w:val="0"/>
                <w:color w:val="000000"/>
                <w:kern w:val="0"/>
                <w:sz w:val="22"/>
                <w:szCs w:val="22"/>
                <w:u w:val="none"/>
                <w:lang w:val="en-US" w:eastAsia="zh-CN" w:bidi="ar"/>
              </w:rPr>
              <w:t>-0.02</w:t>
            </w:r>
          </w:p>
        </w:tc>
      </w:tr>
    </w:tbl>
    <w:p>
      <w:r>
        <w:rPr>
          <w:rFonts w:hint="eastAsia"/>
        </w:rPr>
        <w:t>注：拟被担保子公司包括但不限于上述主体。</w:t>
      </w:r>
    </w:p>
    <w:p>
      <w:pPr>
        <w:rPr>
          <w:rFonts w:hint="eastAsia" w:ascii="宋体" w:hAnsi="宋体" w:cs="宋体"/>
          <w:b/>
          <w:bCs/>
          <w:color w:val="000000"/>
          <w:kern w:val="0"/>
          <w:sz w:val="32"/>
          <w:szCs w:val="32"/>
        </w:rPr>
      </w:pPr>
      <w:r>
        <w:rPr>
          <w:rFonts w:hint="eastAsia" w:ascii="宋体" w:hAnsi="宋体" w:cs="宋体"/>
          <w:b/>
          <w:bCs/>
          <w:color w:val="000000"/>
          <w:kern w:val="0"/>
          <w:sz w:val="32"/>
          <w:szCs w:val="32"/>
        </w:rPr>
        <w:br w:type="page"/>
      </w:r>
    </w:p>
    <w:p>
      <w:pPr>
        <w:widowControl/>
        <w:jc w:val="left"/>
        <w:rPr>
          <w:rFonts w:ascii="宋体" w:hAnsi="宋体" w:cs="宋体"/>
          <w:b/>
          <w:bCs/>
          <w:color w:val="000000"/>
          <w:kern w:val="0"/>
          <w:sz w:val="32"/>
          <w:szCs w:val="32"/>
        </w:rPr>
      </w:pPr>
      <w:r>
        <w:rPr>
          <w:rFonts w:hint="eastAsia" w:ascii="宋体" w:hAnsi="宋体" w:cs="宋体"/>
          <w:b/>
          <w:bCs/>
          <w:color w:val="000000"/>
          <w:kern w:val="0"/>
          <w:sz w:val="32"/>
          <w:szCs w:val="32"/>
        </w:rPr>
        <w:t>附表2</w:t>
      </w:r>
    </w:p>
    <w:p>
      <w:pPr>
        <w:widowControl/>
        <w:jc w:val="center"/>
        <w:rPr>
          <w:rFonts w:ascii="宋体" w:hAnsi="宋体" w:cs="宋体"/>
          <w:b/>
          <w:bCs/>
          <w:color w:val="000000"/>
          <w:kern w:val="0"/>
          <w:sz w:val="32"/>
          <w:szCs w:val="32"/>
        </w:rPr>
      </w:pP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拟被担保兖煤澳洲附属公司基本情况表</w:t>
      </w:r>
    </w:p>
    <w:tbl>
      <w:tblPr>
        <w:tblStyle w:val="14"/>
        <w:tblW w:w="13776" w:type="dxa"/>
        <w:jc w:val="center"/>
        <w:tblLayout w:type="fixed"/>
        <w:tblCellMar>
          <w:top w:w="0" w:type="dxa"/>
          <w:left w:w="108" w:type="dxa"/>
          <w:bottom w:w="0" w:type="dxa"/>
          <w:right w:w="108" w:type="dxa"/>
        </w:tblCellMar>
      </w:tblPr>
      <w:tblGrid>
        <w:gridCol w:w="1025"/>
        <w:gridCol w:w="1054"/>
        <w:gridCol w:w="1252"/>
        <w:gridCol w:w="1157"/>
        <w:gridCol w:w="1328"/>
        <w:gridCol w:w="1080"/>
        <w:gridCol w:w="1055"/>
        <w:gridCol w:w="955"/>
        <w:gridCol w:w="993"/>
        <w:gridCol w:w="1015"/>
        <w:gridCol w:w="706"/>
        <w:gridCol w:w="1129"/>
        <w:gridCol w:w="1027"/>
      </w:tblGrid>
      <w:tr>
        <w:tblPrEx>
          <w:tblCellMar>
            <w:top w:w="0" w:type="dxa"/>
            <w:left w:w="108" w:type="dxa"/>
            <w:bottom w:w="0" w:type="dxa"/>
            <w:right w:w="108" w:type="dxa"/>
          </w:tblCellMar>
        </w:tblPrEx>
        <w:trPr>
          <w:trHeight w:val="585" w:hRule="atLeast"/>
          <w:jc w:val="center"/>
        </w:trPr>
        <w:tc>
          <w:tcPr>
            <w:tcW w:w="1025"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Cs w:val="20"/>
              </w:rPr>
            </w:pPr>
          </w:p>
        </w:tc>
        <w:tc>
          <w:tcPr>
            <w:tcW w:w="1054" w:type="dxa"/>
            <w:tcBorders>
              <w:top w:val="nil"/>
              <w:left w:val="nil"/>
              <w:bottom w:val="single" w:color="auto" w:sz="4" w:space="0"/>
              <w:right w:val="nil"/>
            </w:tcBorders>
            <w:shd w:val="clear" w:color="auto" w:fill="auto"/>
            <w:noWrap/>
            <w:vAlign w:val="bottom"/>
          </w:tcPr>
          <w:p>
            <w:pPr>
              <w:widowControl/>
              <w:jc w:val="left"/>
              <w:rPr>
                <w:rFonts w:hint="eastAsia" w:ascii="宋体" w:hAnsi="宋体" w:eastAsia="宋体" w:cs="宋体"/>
                <w:kern w:val="0"/>
                <w:sz w:val="20"/>
                <w:szCs w:val="20"/>
              </w:rPr>
            </w:pPr>
          </w:p>
        </w:tc>
        <w:tc>
          <w:tcPr>
            <w:tcW w:w="1252"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Cs w:val="20"/>
              </w:rPr>
            </w:pPr>
          </w:p>
        </w:tc>
        <w:tc>
          <w:tcPr>
            <w:tcW w:w="1157"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328"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Cs w:val="20"/>
              </w:rPr>
            </w:pPr>
          </w:p>
        </w:tc>
        <w:tc>
          <w:tcPr>
            <w:tcW w:w="1080"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055"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955" w:type="dxa"/>
            <w:tcBorders>
              <w:top w:val="nil"/>
              <w:left w:val="nil"/>
              <w:bottom w:val="single" w:color="auto" w:sz="4" w:space="0"/>
              <w:right w:val="nil"/>
            </w:tcBorders>
            <w:shd w:val="clear" w:color="auto" w:fill="auto"/>
            <w:vAlign w:val="bottom"/>
          </w:tcPr>
          <w:p>
            <w:pPr>
              <w:widowControl/>
              <w:rPr>
                <w:rFonts w:hint="eastAsia" w:ascii="宋体" w:hAnsi="宋体" w:eastAsia="宋体" w:cs="宋体"/>
                <w:color w:val="000000"/>
                <w:kern w:val="0"/>
                <w:szCs w:val="20"/>
              </w:rPr>
            </w:pPr>
          </w:p>
        </w:tc>
        <w:tc>
          <w:tcPr>
            <w:tcW w:w="993"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015" w:type="dxa"/>
            <w:tcBorders>
              <w:top w:val="nil"/>
              <w:left w:val="nil"/>
              <w:bottom w:val="single" w:color="auto" w:sz="4" w:space="0"/>
              <w:right w:val="nil"/>
            </w:tcBorders>
          </w:tcPr>
          <w:p>
            <w:pPr>
              <w:widowControl/>
              <w:ind w:right="840"/>
              <w:rPr>
                <w:rFonts w:hint="eastAsia" w:ascii="宋体" w:hAnsi="宋体" w:eastAsia="宋体" w:cs="宋体"/>
                <w:color w:val="000000"/>
                <w:kern w:val="0"/>
                <w:szCs w:val="20"/>
              </w:rPr>
            </w:pPr>
          </w:p>
        </w:tc>
        <w:tc>
          <w:tcPr>
            <w:tcW w:w="706" w:type="dxa"/>
            <w:tcBorders>
              <w:top w:val="nil"/>
              <w:left w:val="nil"/>
              <w:bottom w:val="single" w:color="auto" w:sz="4" w:space="0"/>
              <w:right w:val="nil"/>
            </w:tcBorders>
          </w:tcPr>
          <w:p>
            <w:pPr>
              <w:widowControl/>
              <w:jc w:val="right"/>
              <w:rPr>
                <w:rFonts w:hint="eastAsia" w:ascii="宋体" w:hAnsi="宋体" w:eastAsia="宋体" w:cs="宋体"/>
                <w:color w:val="000000"/>
                <w:kern w:val="0"/>
                <w:szCs w:val="20"/>
              </w:rPr>
            </w:pPr>
          </w:p>
        </w:tc>
        <w:tc>
          <w:tcPr>
            <w:tcW w:w="2156" w:type="dxa"/>
            <w:gridSpan w:val="2"/>
            <w:tcBorders>
              <w:top w:val="nil"/>
              <w:left w:val="nil"/>
              <w:bottom w:val="single" w:color="auto" w:sz="4" w:space="0"/>
              <w:right w:val="nil"/>
            </w:tcBorders>
            <w:shd w:val="clear" w:color="auto" w:fill="auto"/>
            <w:vAlign w:val="bottom"/>
          </w:tcPr>
          <w:p>
            <w:pPr>
              <w:widowControl/>
              <w:ind w:right="660"/>
              <w:jc w:val="right"/>
              <w:rPr>
                <w:rFonts w:hint="eastAsia" w:ascii="宋体" w:hAnsi="宋体" w:eastAsia="宋体" w:cs="宋体"/>
                <w:color w:val="000000"/>
                <w:kern w:val="0"/>
                <w:szCs w:val="20"/>
              </w:rPr>
            </w:pPr>
            <w:r>
              <w:rPr>
                <w:rFonts w:hint="eastAsia" w:ascii="宋体" w:hAnsi="宋体" w:eastAsia="宋体" w:cs="宋体"/>
                <w:color w:val="000000"/>
                <w:kern w:val="0"/>
                <w:sz w:val="22"/>
                <w:szCs w:val="22"/>
              </w:rPr>
              <w:t>单位：亿澳元</w:t>
            </w:r>
          </w:p>
        </w:tc>
      </w:tr>
      <w:tr>
        <w:tblPrEx>
          <w:tblCellMar>
            <w:top w:w="0" w:type="dxa"/>
            <w:left w:w="108" w:type="dxa"/>
            <w:bottom w:w="0" w:type="dxa"/>
            <w:right w:w="108" w:type="dxa"/>
          </w:tblCellMar>
        </w:tblPrEx>
        <w:trPr>
          <w:trHeight w:val="300" w:hRule="atLeast"/>
          <w:jc w:val="center"/>
        </w:trPr>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公司名称</w:t>
            </w:r>
          </w:p>
        </w:tc>
        <w:tc>
          <w:tcPr>
            <w:tcW w:w="10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注册地</w:t>
            </w:r>
          </w:p>
        </w:tc>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注册资本</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持股比例</w:t>
            </w:r>
          </w:p>
        </w:tc>
        <w:tc>
          <w:tcPr>
            <w:tcW w:w="13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经营范围</w:t>
            </w:r>
          </w:p>
        </w:tc>
        <w:tc>
          <w:tcPr>
            <w:tcW w:w="5804"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年12月31日</w:t>
            </w:r>
          </w:p>
        </w:tc>
        <w:tc>
          <w:tcPr>
            <w:tcW w:w="215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年度</w:t>
            </w:r>
          </w:p>
        </w:tc>
      </w:tr>
      <w:tr>
        <w:tblPrEx>
          <w:tblCellMar>
            <w:top w:w="0" w:type="dxa"/>
            <w:left w:w="108" w:type="dxa"/>
            <w:bottom w:w="0" w:type="dxa"/>
            <w:right w:w="108" w:type="dxa"/>
          </w:tblCellMar>
        </w:tblPrEx>
        <w:trPr>
          <w:trHeight w:val="526" w:hRule="atLeast"/>
          <w:jc w:val="center"/>
        </w:trPr>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资产总额</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负债总额</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净资产</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资产负债率</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流动负债</w:t>
            </w:r>
          </w:p>
        </w:tc>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银行借款</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营业收入</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净利润</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lang w:eastAsia="zh-CN"/>
              </w:rPr>
            </w:pPr>
            <w:r>
              <w:rPr>
                <w:rFonts w:hint="eastAsia" w:ascii="宋体" w:hAnsi="宋体" w:eastAsia="宋体" w:cs="宋体"/>
                <w:bCs/>
                <w:kern w:val="0"/>
                <w:sz w:val="22"/>
                <w:szCs w:val="22"/>
              </w:rPr>
              <w:t>艾诗顿</w:t>
            </w:r>
            <w:r>
              <w:rPr>
                <w:rFonts w:hint="eastAsia" w:ascii="宋体" w:hAnsi="宋体" w:eastAsia="宋体" w:cs="宋体"/>
                <w:bCs/>
                <w:kern w:val="0"/>
                <w:sz w:val="22"/>
                <w:szCs w:val="22"/>
                <w:lang w:val="en-US" w:eastAsia="zh-CN"/>
              </w:rPr>
              <w:t>矿区</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lang w:eastAsia="zh-CN"/>
              </w:rPr>
            </w:pPr>
            <w:r>
              <w:rPr>
                <w:rFonts w:hint="eastAsia" w:ascii="宋体" w:hAnsi="宋体" w:eastAsia="宋体" w:cs="宋体"/>
                <w:kern w:val="0"/>
                <w:sz w:val="22"/>
                <w:szCs w:val="22"/>
                <w:lang w:val="en-US" w:eastAsia="zh-CN"/>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不适用</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4.75</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2.45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48.41%</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1.57</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2.61</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1.3</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澳思达煤矿有限公司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维多利亚州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64,000,000澳元</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2.19</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5.27</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-3.08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240.87%</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0.32</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0.07</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0.04</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唐纳森煤矿有限公司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3,636,115.53澳元</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2.14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6.21</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-4.06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289.55%</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0.09</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-1.47</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杜拉里煤矿有限公司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2澳元</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1.54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5.09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-3.56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331.71%</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-0.25</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斯特拉特福煤矿有限公司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西澳大利亚洲</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10澳元</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9.46</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16.18</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-6.71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170.94%</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0.35</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1.44</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-0.23</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莫拉本合营公司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非法人合资企业</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不适用</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95%</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66.84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28.08</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38.75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42.02%</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44.1</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20.8</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兖煤资源有限公司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444,712,130澳元</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煤炭开采、勘探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16.44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16.13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98.15%</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11.83</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4.92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0.07</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-0.41</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2"/>
              </w:rPr>
            </w:pPr>
            <w:r>
              <w:rPr>
                <w:rFonts w:hint="eastAsia" w:ascii="宋体" w:hAnsi="宋体" w:eastAsia="宋体" w:cs="宋体"/>
                <w:bCs/>
                <w:kern w:val="0"/>
                <w:sz w:val="22"/>
                <w:szCs w:val="22"/>
              </w:rPr>
              <w:t>雅若碧煤炭有限公司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昆士兰州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92,080澳元</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11.94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7.12</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4.82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59.64%</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1.43</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8.56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2.47</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sz w:val="22"/>
                <w:szCs w:val="22"/>
              </w:rPr>
              <w:t>猎人谷</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sz w:val="22"/>
                <w:szCs w:val="22"/>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不适用</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sz w:val="22"/>
                <w:szCs w:val="22"/>
              </w:rPr>
              <w:t>51%</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2"/>
              </w:rPr>
            </w:pPr>
            <w:r>
              <w:rPr>
                <w:rFonts w:hint="eastAsia" w:ascii="宋体" w:hAnsi="宋体" w:eastAsia="宋体" w:cs="宋体"/>
                <w:color w:val="00000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34.56</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10.86</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23.7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31.42%</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1.67</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24.03</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11.45</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color w:val="000000"/>
                <w:sz w:val="22"/>
                <w:szCs w:val="22"/>
              </w:rPr>
              <w:t>沃克山联营公司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color w:val="000000"/>
                <w:sz w:val="22"/>
                <w:szCs w:val="22"/>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不适用</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84.47%</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color w:val="00000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39.84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19.45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48.81%</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0.98</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22.03</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12.13</w:t>
            </w:r>
          </w:p>
        </w:tc>
      </w:tr>
      <w:tr>
        <w:tblPrEx>
          <w:tblCellMar>
            <w:top w:w="0" w:type="dxa"/>
            <w:left w:w="108" w:type="dxa"/>
            <w:bottom w:w="0" w:type="dxa"/>
            <w:right w:w="108" w:type="dxa"/>
          </w:tblCellMar>
        </w:tblPrEx>
        <w:trPr>
          <w:trHeight w:val="48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color w:val="000000"/>
                <w:sz w:val="22"/>
                <w:szCs w:val="22"/>
              </w:rPr>
              <w:t>索利山联营公司</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color w:val="000000"/>
                <w:sz w:val="22"/>
                <w:szCs w:val="22"/>
              </w:rPr>
              <w:t>新南威尔士州</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不适用</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80.00%</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2"/>
              </w:rPr>
            </w:pPr>
            <w:r>
              <w:rPr>
                <w:rFonts w:hint="eastAsia" w:ascii="宋体" w:hAnsi="宋体" w:eastAsia="宋体" w:cs="宋体"/>
                <w:color w:val="000000"/>
                <w:sz w:val="22"/>
                <w:szCs w:val="22"/>
              </w:rPr>
              <w:t>煤炭开采、洗选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17.43</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9.93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7.5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56.96%</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0.37</w:t>
            </w: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4.49</w:t>
            </w:r>
          </w:p>
        </w:tc>
      </w:tr>
    </w:tbl>
    <w:p>
      <w:pPr>
        <w:widowControl/>
        <w:jc w:val="left"/>
        <w:rPr>
          <w:rFonts w:ascii="黑体" w:hAnsi="黑体" w:eastAsia="黑体" w:cs="黑体"/>
          <w:bCs/>
          <w:sz w:val="28"/>
          <w:szCs w:val="28"/>
        </w:rPr>
      </w:pPr>
    </w:p>
    <w:p>
      <w:pPr>
        <w:widowControl/>
        <w:jc w:val="left"/>
        <w:rPr>
          <w:rFonts w:ascii="宋体" w:hAnsi="宋体" w:cs="宋体"/>
          <w:b/>
          <w:bCs/>
          <w:color w:val="000000"/>
          <w:kern w:val="0"/>
          <w:sz w:val="32"/>
          <w:szCs w:val="32"/>
        </w:rPr>
      </w:pPr>
      <w:bookmarkStart w:id="1" w:name="_Hlk64963739"/>
      <w:r>
        <w:rPr>
          <w:rFonts w:ascii="宋体" w:hAnsi="宋体" w:cs="宋体"/>
          <w:b/>
          <w:bCs/>
          <w:color w:val="000000"/>
          <w:kern w:val="0"/>
          <w:sz w:val="32"/>
          <w:szCs w:val="32"/>
        </w:rPr>
        <w:br w:type="page"/>
      </w:r>
      <w:r>
        <w:rPr>
          <w:rFonts w:hint="eastAsia" w:ascii="宋体" w:hAnsi="宋体" w:cs="宋体"/>
          <w:b/>
          <w:bCs/>
          <w:color w:val="000000"/>
          <w:kern w:val="0"/>
          <w:sz w:val="32"/>
          <w:szCs w:val="32"/>
        </w:rPr>
        <w:t>附表3</w:t>
      </w: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拟被担保兖煤国际附属公司基本情况表</w:t>
      </w:r>
    </w:p>
    <w:tbl>
      <w:tblPr>
        <w:tblStyle w:val="14"/>
        <w:tblW w:w="14404" w:type="dxa"/>
        <w:tblInd w:w="204" w:type="dxa"/>
        <w:tblLayout w:type="fixed"/>
        <w:tblCellMar>
          <w:top w:w="0" w:type="dxa"/>
          <w:left w:w="108" w:type="dxa"/>
          <w:bottom w:w="0" w:type="dxa"/>
          <w:right w:w="108" w:type="dxa"/>
        </w:tblCellMar>
      </w:tblPr>
      <w:tblGrid>
        <w:gridCol w:w="1098"/>
        <w:gridCol w:w="236"/>
        <w:gridCol w:w="921"/>
        <w:gridCol w:w="1234"/>
        <w:gridCol w:w="535"/>
        <w:gridCol w:w="588"/>
        <w:gridCol w:w="49"/>
        <w:gridCol w:w="1365"/>
        <w:gridCol w:w="372"/>
        <w:gridCol w:w="614"/>
        <w:gridCol w:w="372"/>
        <w:gridCol w:w="600"/>
        <w:gridCol w:w="372"/>
        <w:gridCol w:w="576"/>
        <w:gridCol w:w="306"/>
        <w:gridCol w:w="585"/>
        <w:gridCol w:w="372"/>
        <w:gridCol w:w="640"/>
        <w:gridCol w:w="1233"/>
        <w:gridCol w:w="132"/>
        <w:gridCol w:w="240"/>
        <w:gridCol w:w="435"/>
        <w:gridCol w:w="1157"/>
        <w:gridCol w:w="372"/>
      </w:tblGrid>
      <w:tr>
        <w:tblPrEx>
          <w:tblCellMar>
            <w:top w:w="0" w:type="dxa"/>
            <w:left w:w="108" w:type="dxa"/>
            <w:bottom w:w="0" w:type="dxa"/>
            <w:right w:w="108" w:type="dxa"/>
          </w:tblCellMar>
        </w:tblPrEx>
        <w:trPr>
          <w:trHeight w:val="460" w:hRule="atLeast"/>
        </w:trPr>
        <w:tc>
          <w:tcPr>
            <w:tcW w:w="109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20"/>
                <w:szCs w:val="20"/>
              </w:rPr>
            </w:pPr>
          </w:p>
        </w:tc>
        <w:tc>
          <w:tcPr>
            <w:tcW w:w="2690"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637"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737"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Cs w:val="20"/>
              </w:rPr>
            </w:pPr>
          </w:p>
        </w:tc>
        <w:tc>
          <w:tcPr>
            <w:tcW w:w="986"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97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88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957" w:type="dxa"/>
            <w:gridSpan w:val="2"/>
            <w:tcBorders>
              <w:top w:val="nil"/>
              <w:left w:val="nil"/>
              <w:bottom w:val="nil"/>
              <w:right w:val="nil"/>
            </w:tcBorders>
          </w:tcPr>
          <w:p>
            <w:pPr>
              <w:widowControl/>
              <w:jc w:val="center"/>
              <w:rPr>
                <w:rFonts w:hint="eastAsia" w:ascii="宋体" w:hAnsi="宋体" w:eastAsia="宋体" w:cs="宋体"/>
                <w:color w:val="000000"/>
                <w:kern w:val="0"/>
                <w:szCs w:val="20"/>
              </w:rPr>
            </w:pPr>
          </w:p>
        </w:tc>
        <w:tc>
          <w:tcPr>
            <w:tcW w:w="2005" w:type="dxa"/>
            <w:gridSpan w:val="3"/>
            <w:tcBorders>
              <w:top w:val="nil"/>
              <w:left w:val="nil"/>
              <w:bottom w:val="nil"/>
              <w:right w:val="nil"/>
            </w:tcBorders>
          </w:tcPr>
          <w:p>
            <w:pPr>
              <w:widowControl/>
              <w:jc w:val="center"/>
              <w:rPr>
                <w:rFonts w:hint="eastAsia" w:ascii="宋体" w:hAnsi="宋体" w:eastAsia="宋体" w:cs="宋体"/>
                <w:color w:val="000000"/>
                <w:kern w:val="0"/>
                <w:szCs w:val="20"/>
              </w:rPr>
            </w:pPr>
          </w:p>
        </w:tc>
        <w:tc>
          <w:tcPr>
            <w:tcW w:w="240" w:type="dxa"/>
            <w:tcBorders>
              <w:top w:val="nil"/>
              <w:left w:val="nil"/>
              <w:right w:val="nil"/>
            </w:tcBorders>
            <w:shd w:val="clear" w:color="auto" w:fill="auto"/>
            <w:vAlign w:val="bottom"/>
          </w:tcPr>
          <w:p>
            <w:pPr>
              <w:widowControl/>
              <w:jc w:val="center"/>
              <w:rPr>
                <w:rFonts w:hint="eastAsia" w:ascii="宋体" w:hAnsi="宋体" w:eastAsia="宋体" w:cs="宋体"/>
                <w:color w:val="000000"/>
                <w:kern w:val="0"/>
                <w:szCs w:val="20"/>
              </w:rPr>
            </w:pPr>
          </w:p>
        </w:tc>
        <w:tc>
          <w:tcPr>
            <w:tcW w:w="1964" w:type="dxa"/>
            <w:gridSpan w:val="3"/>
            <w:tcBorders>
              <w:top w:val="nil"/>
              <w:left w:val="nil"/>
              <w:right w:val="nil"/>
            </w:tcBorders>
            <w:shd w:val="clear" w:color="auto" w:fill="auto"/>
            <w:vAlign w:val="bottom"/>
          </w:tcPr>
          <w:p>
            <w:pPr>
              <w:widowControl/>
              <w:tabs>
                <w:tab w:val="left" w:pos="2279"/>
              </w:tabs>
              <w:ind w:right="195"/>
              <w:jc w:val="right"/>
              <w:rPr>
                <w:rFonts w:hint="eastAsia" w:ascii="宋体" w:hAnsi="宋体" w:eastAsia="宋体" w:cs="宋体"/>
                <w:color w:val="000000"/>
                <w:kern w:val="0"/>
                <w:szCs w:val="20"/>
              </w:rPr>
            </w:pPr>
            <w:r>
              <w:rPr>
                <w:rFonts w:hint="eastAsia" w:ascii="宋体" w:hAnsi="宋体" w:eastAsia="宋体" w:cs="宋体"/>
                <w:color w:val="000000"/>
                <w:kern w:val="0"/>
                <w:sz w:val="22"/>
                <w:szCs w:val="20"/>
              </w:rPr>
              <w:t>单位：亿澳元</w:t>
            </w:r>
          </w:p>
        </w:tc>
      </w:tr>
      <w:tr>
        <w:tblPrEx>
          <w:tblCellMar>
            <w:top w:w="0" w:type="dxa"/>
            <w:left w:w="108" w:type="dxa"/>
            <w:bottom w:w="0" w:type="dxa"/>
            <w:right w:w="108" w:type="dxa"/>
          </w:tblCellMar>
        </w:tblPrEx>
        <w:trPr>
          <w:gridAfter w:val="1"/>
          <w:wAfter w:w="372" w:type="dxa"/>
          <w:trHeight w:val="382" w:hRule="atLeast"/>
        </w:trPr>
        <w:tc>
          <w:tcPr>
            <w:tcW w:w="10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被担保公司</w:t>
            </w:r>
          </w:p>
        </w:tc>
        <w:tc>
          <w:tcPr>
            <w:tcW w:w="115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注册地</w:t>
            </w:r>
          </w:p>
        </w:tc>
        <w:tc>
          <w:tcPr>
            <w:tcW w:w="12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注册资本</w:t>
            </w:r>
          </w:p>
        </w:tc>
        <w:tc>
          <w:tcPr>
            <w:tcW w:w="112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本公司持股比例</w:t>
            </w:r>
          </w:p>
        </w:tc>
        <w:tc>
          <w:tcPr>
            <w:tcW w:w="141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经营范围</w:t>
            </w:r>
          </w:p>
        </w:tc>
        <w:tc>
          <w:tcPr>
            <w:tcW w:w="6042"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w:t>
            </w:r>
            <w:r>
              <w:rPr>
                <w:rFonts w:hint="eastAsia" w:ascii="宋体" w:hAnsi="宋体" w:cs="宋体"/>
                <w:color w:val="000000"/>
                <w:kern w:val="0"/>
                <w:sz w:val="22"/>
                <w:szCs w:val="22"/>
                <w:lang w:val="en-US" w:eastAsia="zh-CN"/>
              </w:rPr>
              <w:t>2</w:t>
            </w:r>
            <w:r>
              <w:rPr>
                <w:rFonts w:hint="eastAsia" w:ascii="宋体" w:hAnsi="宋体" w:eastAsia="宋体" w:cs="宋体"/>
                <w:color w:val="000000"/>
                <w:kern w:val="0"/>
                <w:sz w:val="22"/>
                <w:szCs w:val="22"/>
              </w:rPr>
              <w:t>年12月31日</w:t>
            </w:r>
          </w:p>
        </w:tc>
        <w:tc>
          <w:tcPr>
            <w:tcW w:w="196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202</w:t>
            </w:r>
            <w:r>
              <w:rPr>
                <w:rFonts w:hint="eastAsia" w:ascii="宋体" w:hAnsi="宋体" w:cs="宋体"/>
                <w:color w:val="000000"/>
                <w:kern w:val="0"/>
                <w:sz w:val="22"/>
                <w:szCs w:val="22"/>
                <w:lang w:val="en-US" w:eastAsia="zh-CN"/>
              </w:rPr>
              <w:t>2</w:t>
            </w:r>
            <w:r>
              <w:rPr>
                <w:rFonts w:hint="eastAsia" w:ascii="宋体" w:hAnsi="宋体" w:eastAsia="宋体" w:cs="宋体"/>
                <w:color w:val="000000"/>
                <w:kern w:val="0"/>
                <w:sz w:val="22"/>
                <w:szCs w:val="22"/>
              </w:rPr>
              <w:t>年度</w:t>
            </w:r>
          </w:p>
        </w:tc>
      </w:tr>
      <w:tr>
        <w:tblPrEx>
          <w:tblCellMar>
            <w:top w:w="0" w:type="dxa"/>
            <w:left w:w="108" w:type="dxa"/>
            <w:bottom w:w="0" w:type="dxa"/>
            <w:right w:w="108" w:type="dxa"/>
          </w:tblCellMar>
        </w:tblPrEx>
        <w:trPr>
          <w:gridAfter w:val="1"/>
          <w:wAfter w:w="372" w:type="dxa"/>
          <w:trHeight w:val="779" w:hRule="atLeast"/>
        </w:trPr>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15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1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14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p>
        </w:tc>
        <w:tc>
          <w:tcPr>
            <w:tcW w:w="98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资产总额</w:t>
            </w:r>
          </w:p>
        </w:tc>
        <w:tc>
          <w:tcPr>
            <w:tcW w:w="97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负债总额</w:t>
            </w:r>
          </w:p>
        </w:tc>
        <w:tc>
          <w:tcPr>
            <w:tcW w:w="94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净资产</w:t>
            </w:r>
          </w:p>
        </w:tc>
        <w:tc>
          <w:tcPr>
            <w:tcW w:w="89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资产负债率</w:t>
            </w:r>
          </w:p>
        </w:tc>
        <w:tc>
          <w:tcPr>
            <w:tcW w:w="101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流动负债</w:t>
            </w:r>
          </w:p>
        </w:tc>
        <w:tc>
          <w:tcPr>
            <w:tcW w:w="123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银行借款</w:t>
            </w:r>
          </w:p>
        </w:tc>
        <w:tc>
          <w:tcPr>
            <w:tcW w:w="80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收入</w:t>
            </w: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2"/>
                <w:szCs w:val="22"/>
              </w:rPr>
              <w:t>净利润</w:t>
            </w:r>
          </w:p>
        </w:tc>
      </w:tr>
      <w:tr>
        <w:tblPrEx>
          <w:tblCellMar>
            <w:top w:w="0" w:type="dxa"/>
            <w:left w:w="108" w:type="dxa"/>
            <w:bottom w:w="0" w:type="dxa"/>
            <w:right w:w="108" w:type="dxa"/>
          </w:tblCellMar>
        </w:tblPrEx>
        <w:trPr>
          <w:gridAfter w:val="1"/>
          <w:wAfter w:w="372" w:type="dxa"/>
          <w:trHeight w:val="346"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亚森纳合营公司</w:t>
            </w:r>
          </w:p>
        </w:tc>
        <w:tc>
          <w:tcPr>
            <w:tcW w:w="11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非法人合资企业</w:t>
            </w:r>
          </w:p>
        </w:tc>
        <w:tc>
          <w:tcPr>
            <w:tcW w:w="12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不适用</w:t>
            </w:r>
          </w:p>
        </w:tc>
        <w:tc>
          <w:tcPr>
            <w:tcW w:w="112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51%</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0.03</w:t>
            </w:r>
          </w:p>
        </w:tc>
        <w:tc>
          <w:tcPr>
            <w:tcW w:w="972"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94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0.03</w:t>
            </w:r>
          </w:p>
        </w:tc>
        <w:tc>
          <w:tcPr>
            <w:tcW w:w="891"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0.56%</w:t>
            </w:r>
          </w:p>
        </w:tc>
        <w:tc>
          <w:tcPr>
            <w:tcW w:w="10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80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1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-0.18</w:t>
            </w:r>
          </w:p>
        </w:tc>
      </w:tr>
      <w:tr>
        <w:tblPrEx>
          <w:tblCellMar>
            <w:top w:w="0" w:type="dxa"/>
            <w:left w:w="108" w:type="dxa"/>
            <w:bottom w:w="0" w:type="dxa"/>
            <w:right w:w="108" w:type="dxa"/>
          </w:tblCellMar>
        </w:tblPrEx>
        <w:trPr>
          <w:gridAfter w:val="1"/>
          <w:wAfter w:w="372" w:type="dxa"/>
          <w:trHeight w:val="346"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普瑞马煤炭有限公司</w:t>
            </w:r>
          </w:p>
        </w:tc>
        <w:tc>
          <w:tcPr>
            <w:tcW w:w="11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西澳大利亚洲</w:t>
            </w:r>
          </w:p>
        </w:tc>
        <w:tc>
          <w:tcPr>
            <w:tcW w:w="12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3,885,679      澳元</w:t>
            </w:r>
          </w:p>
        </w:tc>
        <w:tc>
          <w:tcPr>
            <w:tcW w:w="112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2.15</w:t>
            </w:r>
          </w:p>
        </w:tc>
        <w:tc>
          <w:tcPr>
            <w:tcW w:w="972"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1.22</w:t>
            </w:r>
          </w:p>
        </w:tc>
        <w:tc>
          <w:tcPr>
            <w:tcW w:w="94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0.92</w:t>
            </w:r>
          </w:p>
        </w:tc>
        <w:tc>
          <w:tcPr>
            <w:tcW w:w="891"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56.90%</w:t>
            </w:r>
          </w:p>
        </w:tc>
        <w:tc>
          <w:tcPr>
            <w:tcW w:w="10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0.7</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80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1.93</w:t>
            </w:r>
          </w:p>
        </w:tc>
        <w:tc>
          <w:tcPr>
            <w:tcW w:w="11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-0.85</w:t>
            </w:r>
          </w:p>
        </w:tc>
      </w:tr>
      <w:tr>
        <w:tblPrEx>
          <w:tblCellMar>
            <w:top w:w="0" w:type="dxa"/>
            <w:left w:w="108" w:type="dxa"/>
            <w:bottom w:w="0" w:type="dxa"/>
            <w:right w:w="108" w:type="dxa"/>
          </w:tblCellMar>
        </w:tblPrEx>
        <w:trPr>
          <w:gridAfter w:val="1"/>
          <w:wAfter w:w="372" w:type="dxa"/>
          <w:trHeight w:val="346" w:hRule="atLeast"/>
        </w:trPr>
        <w:tc>
          <w:tcPr>
            <w:tcW w:w="1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新泰克资源有限公司</w:t>
            </w:r>
          </w:p>
        </w:tc>
        <w:tc>
          <w:tcPr>
            <w:tcW w:w="11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新南威尔士州</w:t>
            </w:r>
          </w:p>
        </w:tc>
        <w:tc>
          <w:tcPr>
            <w:tcW w:w="12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64,826.90         澳元</w:t>
            </w:r>
          </w:p>
        </w:tc>
        <w:tc>
          <w:tcPr>
            <w:tcW w:w="112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煤炭开采、洗选</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11.94</w:t>
            </w:r>
          </w:p>
        </w:tc>
        <w:tc>
          <w:tcPr>
            <w:tcW w:w="972"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7.87</w:t>
            </w:r>
          </w:p>
        </w:tc>
        <w:tc>
          <w:tcPr>
            <w:tcW w:w="94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4.07</w:t>
            </w:r>
          </w:p>
        </w:tc>
        <w:tc>
          <w:tcPr>
            <w:tcW w:w="891"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65.89%</w:t>
            </w:r>
          </w:p>
        </w:tc>
        <w:tc>
          <w:tcPr>
            <w:tcW w:w="10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4.77</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80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9.91</w:t>
            </w:r>
          </w:p>
        </w:tc>
        <w:tc>
          <w:tcPr>
            <w:tcW w:w="11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3.86</w:t>
            </w:r>
          </w:p>
        </w:tc>
      </w:tr>
      <w:tr>
        <w:tblPrEx>
          <w:tblCellMar>
            <w:top w:w="0" w:type="dxa"/>
            <w:left w:w="108" w:type="dxa"/>
            <w:bottom w:w="0" w:type="dxa"/>
            <w:right w:w="108" w:type="dxa"/>
          </w:tblCellMar>
        </w:tblPrEx>
        <w:trPr>
          <w:gridAfter w:val="1"/>
          <w:wAfter w:w="372" w:type="dxa"/>
          <w:trHeight w:val="689"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汤佛控股有限公司</w:t>
            </w:r>
          </w:p>
        </w:tc>
        <w:tc>
          <w:tcPr>
            <w:tcW w:w="11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维多利亚州</w:t>
            </w:r>
          </w:p>
        </w:tc>
        <w:tc>
          <w:tcPr>
            <w:tcW w:w="12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46,407,918        澳元</w:t>
            </w:r>
          </w:p>
        </w:tc>
        <w:tc>
          <w:tcPr>
            <w:tcW w:w="112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0.02</w:t>
            </w:r>
          </w:p>
        </w:tc>
        <w:tc>
          <w:tcPr>
            <w:tcW w:w="972"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0.1</w:t>
            </w:r>
          </w:p>
        </w:tc>
        <w:tc>
          <w:tcPr>
            <w:tcW w:w="94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-0.08</w:t>
            </w:r>
          </w:p>
        </w:tc>
        <w:tc>
          <w:tcPr>
            <w:tcW w:w="891"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439.53%</w:t>
            </w:r>
          </w:p>
        </w:tc>
        <w:tc>
          <w:tcPr>
            <w:tcW w:w="10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0.1</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80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1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-0.38</w:t>
            </w:r>
          </w:p>
        </w:tc>
      </w:tr>
      <w:tr>
        <w:tblPrEx>
          <w:tblCellMar>
            <w:top w:w="0" w:type="dxa"/>
            <w:left w:w="108" w:type="dxa"/>
            <w:bottom w:w="0" w:type="dxa"/>
            <w:right w:w="108" w:type="dxa"/>
          </w:tblCellMar>
        </w:tblPrEx>
        <w:trPr>
          <w:gridAfter w:val="1"/>
          <w:wAfter w:w="372" w:type="dxa"/>
          <w:trHeight w:val="346" w:hRule="atLeast"/>
        </w:trPr>
        <w:tc>
          <w:tcPr>
            <w:tcW w:w="10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威尔平那控股有限公司</w:t>
            </w:r>
          </w:p>
        </w:tc>
        <w:tc>
          <w:tcPr>
            <w:tcW w:w="11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维多利亚州</w:t>
            </w:r>
          </w:p>
        </w:tc>
        <w:tc>
          <w:tcPr>
            <w:tcW w:w="12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3,457,382        澳元</w:t>
            </w:r>
          </w:p>
        </w:tc>
        <w:tc>
          <w:tcPr>
            <w:tcW w:w="112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100%</w:t>
            </w:r>
          </w:p>
        </w:tc>
        <w:tc>
          <w:tcPr>
            <w:tcW w:w="141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2"/>
              </w:rPr>
            </w:pPr>
            <w:r>
              <w:rPr>
                <w:rFonts w:hint="eastAsia" w:ascii="宋体" w:hAnsi="宋体" w:eastAsia="宋体" w:cs="宋体"/>
                <w:kern w:val="0"/>
                <w:sz w:val="22"/>
                <w:szCs w:val="22"/>
              </w:rPr>
              <w:t>勘探</w:t>
            </w:r>
          </w:p>
        </w:tc>
        <w:tc>
          <w:tcPr>
            <w:tcW w:w="9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0.2</w:t>
            </w:r>
          </w:p>
        </w:tc>
        <w:tc>
          <w:tcPr>
            <w:tcW w:w="972"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0.17</w:t>
            </w:r>
          </w:p>
        </w:tc>
        <w:tc>
          <w:tcPr>
            <w:tcW w:w="948"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0.02</w:t>
            </w:r>
          </w:p>
        </w:tc>
        <w:tc>
          <w:tcPr>
            <w:tcW w:w="891"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89.14%</w:t>
            </w:r>
          </w:p>
        </w:tc>
        <w:tc>
          <w:tcPr>
            <w:tcW w:w="10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0.13</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80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1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2"/>
                <w:szCs w:val="22"/>
                <w:u w:val="none"/>
                <w:lang w:val="en-US" w:eastAsia="zh-CN" w:bidi="ar"/>
              </w:rPr>
              <w:t>0</w:t>
            </w:r>
          </w:p>
        </w:tc>
      </w:tr>
      <w:bookmarkEnd w:id="1"/>
    </w:tbl>
    <w:p>
      <w:pPr>
        <w:widowControl/>
        <w:tabs>
          <w:tab w:val="left" w:pos="630"/>
        </w:tabs>
        <w:jc w:val="left"/>
        <w:rPr>
          <w:rFonts w:ascii="宋体" w:hAnsi="宋体"/>
          <w:color w:val="000000"/>
          <w:sz w:val="28"/>
        </w:rPr>
      </w:pPr>
    </w:p>
    <w:sectPr>
      <w:headerReference r:id="rId5" w:type="default"/>
      <w:footerReference r:id="rId6" w:type="default"/>
      <w:pgSz w:w="16838" w:h="11906" w:orient="landscape"/>
      <w:pgMar w:top="1276" w:right="1440" w:bottom="1701"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71</w:t>
    </w:r>
    <w:r>
      <w:fldChar w:fldCharType="end"/>
    </w:r>
  </w:p>
  <w:p>
    <w:pPr>
      <w:pStyle w:val="9"/>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3B4DC"/>
    <w:multiLevelType w:val="singleLevel"/>
    <w:tmpl w:val="F163B4DC"/>
    <w:lvl w:ilvl="0" w:tentative="0">
      <w:start w:val="1"/>
      <w:numFmt w:val="decimal"/>
      <w:lvlText w:val="%1."/>
      <w:lvlJc w:val="left"/>
      <w:pPr>
        <w:tabs>
          <w:tab w:val="left" w:pos="312"/>
        </w:tabs>
      </w:pPr>
    </w:lvl>
  </w:abstractNum>
  <w:abstractNum w:abstractNumId="1">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NWJjM2FlMjVjNzYyMDU0Yzg2MzZkNWJlYTEzMTViODUifQ=="/>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6E40"/>
    <w:rsid w:val="00061BB9"/>
    <w:rsid w:val="0006259E"/>
    <w:rsid w:val="00062790"/>
    <w:rsid w:val="00062C38"/>
    <w:rsid w:val="00072E86"/>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1CB2"/>
    <w:rsid w:val="002A36EF"/>
    <w:rsid w:val="002A3841"/>
    <w:rsid w:val="002A3AA7"/>
    <w:rsid w:val="002A49BC"/>
    <w:rsid w:val="002A6867"/>
    <w:rsid w:val="002B0825"/>
    <w:rsid w:val="002B0BDE"/>
    <w:rsid w:val="002C2B5C"/>
    <w:rsid w:val="002C6AA6"/>
    <w:rsid w:val="002D0095"/>
    <w:rsid w:val="002D331B"/>
    <w:rsid w:val="002D413C"/>
    <w:rsid w:val="002D738C"/>
    <w:rsid w:val="002E450A"/>
    <w:rsid w:val="002F11CA"/>
    <w:rsid w:val="002F13A1"/>
    <w:rsid w:val="002F1D7A"/>
    <w:rsid w:val="002F45BA"/>
    <w:rsid w:val="002F5278"/>
    <w:rsid w:val="002F61B8"/>
    <w:rsid w:val="003002F6"/>
    <w:rsid w:val="00300970"/>
    <w:rsid w:val="00301DB6"/>
    <w:rsid w:val="00302BC8"/>
    <w:rsid w:val="0030466A"/>
    <w:rsid w:val="00304D9D"/>
    <w:rsid w:val="003053D8"/>
    <w:rsid w:val="00305F47"/>
    <w:rsid w:val="00306D0F"/>
    <w:rsid w:val="00307EC1"/>
    <w:rsid w:val="00312FF2"/>
    <w:rsid w:val="003141DD"/>
    <w:rsid w:val="00315E7D"/>
    <w:rsid w:val="00317B58"/>
    <w:rsid w:val="00324490"/>
    <w:rsid w:val="00325B7D"/>
    <w:rsid w:val="00341AE8"/>
    <w:rsid w:val="00342EC4"/>
    <w:rsid w:val="003468C1"/>
    <w:rsid w:val="003475E3"/>
    <w:rsid w:val="003504E3"/>
    <w:rsid w:val="003517CB"/>
    <w:rsid w:val="00353B50"/>
    <w:rsid w:val="00354828"/>
    <w:rsid w:val="00356C7A"/>
    <w:rsid w:val="0036105B"/>
    <w:rsid w:val="00361481"/>
    <w:rsid w:val="00362AB2"/>
    <w:rsid w:val="00362B84"/>
    <w:rsid w:val="00365905"/>
    <w:rsid w:val="00370C02"/>
    <w:rsid w:val="0037171C"/>
    <w:rsid w:val="003727D6"/>
    <w:rsid w:val="0037389C"/>
    <w:rsid w:val="00382979"/>
    <w:rsid w:val="003832E6"/>
    <w:rsid w:val="00383CEA"/>
    <w:rsid w:val="00386052"/>
    <w:rsid w:val="003866E8"/>
    <w:rsid w:val="00390DB7"/>
    <w:rsid w:val="0039344E"/>
    <w:rsid w:val="0039366A"/>
    <w:rsid w:val="00397E1A"/>
    <w:rsid w:val="003A2833"/>
    <w:rsid w:val="003B4E49"/>
    <w:rsid w:val="003B6E18"/>
    <w:rsid w:val="003C0976"/>
    <w:rsid w:val="003C5316"/>
    <w:rsid w:val="003D2F8D"/>
    <w:rsid w:val="003D41D0"/>
    <w:rsid w:val="003D4E1F"/>
    <w:rsid w:val="003E2E2D"/>
    <w:rsid w:val="003E3F1A"/>
    <w:rsid w:val="003E4680"/>
    <w:rsid w:val="003E5142"/>
    <w:rsid w:val="003E540E"/>
    <w:rsid w:val="003E5742"/>
    <w:rsid w:val="003E60F3"/>
    <w:rsid w:val="003E73D3"/>
    <w:rsid w:val="003E7428"/>
    <w:rsid w:val="003F5958"/>
    <w:rsid w:val="003F70DF"/>
    <w:rsid w:val="00400593"/>
    <w:rsid w:val="00400EF7"/>
    <w:rsid w:val="004046A1"/>
    <w:rsid w:val="00406881"/>
    <w:rsid w:val="00406A8B"/>
    <w:rsid w:val="00407613"/>
    <w:rsid w:val="00410104"/>
    <w:rsid w:val="00414278"/>
    <w:rsid w:val="00416620"/>
    <w:rsid w:val="00416E45"/>
    <w:rsid w:val="0042031E"/>
    <w:rsid w:val="00420EE7"/>
    <w:rsid w:val="00420EFC"/>
    <w:rsid w:val="00421A81"/>
    <w:rsid w:val="0042469F"/>
    <w:rsid w:val="00430734"/>
    <w:rsid w:val="00431198"/>
    <w:rsid w:val="00435781"/>
    <w:rsid w:val="0044668E"/>
    <w:rsid w:val="00450237"/>
    <w:rsid w:val="00450DA1"/>
    <w:rsid w:val="004547D2"/>
    <w:rsid w:val="00461A88"/>
    <w:rsid w:val="00464520"/>
    <w:rsid w:val="00470AE7"/>
    <w:rsid w:val="00470CA9"/>
    <w:rsid w:val="00471C27"/>
    <w:rsid w:val="00471FC9"/>
    <w:rsid w:val="00472A24"/>
    <w:rsid w:val="0047354B"/>
    <w:rsid w:val="00475C2A"/>
    <w:rsid w:val="004777C3"/>
    <w:rsid w:val="004803DD"/>
    <w:rsid w:val="00481DBE"/>
    <w:rsid w:val="00482903"/>
    <w:rsid w:val="00485459"/>
    <w:rsid w:val="00486F95"/>
    <w:rsid w:val="004935A1"/>
    <w:rsid w:val="004A343E"/>
    <w:rsid w:val="004A41D3"/>
    <w:rsid w:val="004A6538"/>
    <w:rsid w:val="004A6667"/>
    <w:rsid w:val="004B1950"/>
    <w:rsid w:val="004B69FD"/>
    <w:rsid w:val="004C0FC7"/>
    <w:rsid w:val="004C2F57"/>
    <w:rsid w:val="004C5846"/>
    <w:rsid w:val="004D00C4"/>
    <w:rsid w:val="004D01F4"/>
    <w:rsid w:val="004D0FF2"/>
    <w:rsid w:val="004D19DC"/>
    <w:rsid w:val="004D2C88"/>
    <w:rsid w:val="004D31B2"/>
    <w:rsid w:val="004D663B"/>
    <w:rsid w:val="004D739C"/>
    <w:rsid w:val="004E046C"/>
    <w:rsid w:val="004E0E6F"/>
    <w:rsid w:val="004E4202"/>
    <w:rsid w:val="004E66DB"/>
    <w:rsid w:val="004E70DE"/>
    <w:rsid w:val="004E7356"/>
    <w:rsid w:val="004F29D3"/>
    <w:rsid w:val="004F40DC"/>
    <w:rsid w:val="004F5FED"/>
    <w:rsid w:val="00502CFD"/>
    <w:rsid w:val="00506E57"/>
    <w:rsid w:val="0051345D"/>
    <w:rsid w:val="00514A04"/>
    <w:rsid w:val="00516ABB"/>
    <w:rsid w:val="00517019"/>
    <w:rsid w:val="00520220"/>
    <w:rsid w:val="00523F7D"/>
    <w:rsid w:val="00525D0D"/>
    <w:rsid w:val="00527D17"/>
    <w:rsid w:val="005321DA"/>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7366"/>
    <w:rsid w:val="0057774B"/>
    <w:rsid w:val="00577DF3"/>
    <w:rsid w:val="00582424"/>
    <w:rsid w:val="00582B21"/>
    <w:rsid w:val="0058649F"/>
    <w:rsid w:val="0059077E"/>
    <w:rsid w:val="00593418"/>
    <w:rsid w:val="00596403"/>
    <w:rsid w:val="00597142"/>
    <w:rsid w:val="005A0FE1"/>
    <w:rsid w:val="005A274A"/>
    <w:rsid w:val="005A4B7C"/>
    <w:rsid w:val="005B5482"/>
    <w:rsid w:val="005B7EC3"/>
    <w:rsid w:val="005C147B"/>
    <w:rsid w:val="005C2F10"/>
    <w:rsid w:val="005C4795"/>
    <w:rsid w:val="005C5A2A"/>
    <w:rsid w:val="005C6C6B"/>
    <w:rsid w:val="005D02E2"/>
    <w:rsid w:val="005D138E"/>
    <w:rsid w:val="005D17D8"/>
    <w:rsid w:val="005D26EE"/>
    <w:rsid w:val="005D48C5"/>
    <w:rsid w:val="005D4FF4"/>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182"/>
    <w:rsid w:val="00604899"/>
    <w:rsid w:val="006064F7"/>
    <w:rsid w:val="006069B7"/>
    <w:rsid w:val="00606D40"/>
    <w:rsid w:val="006111A8"/>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0396"/>
    <w:rsid w:val="00682F53"/>
    <w:rsid w:val="006835FC"/>
    <w:rsid w:val="00684AF6"/>
    <w:rsid w:val="0069159A"/>
    <w:rsid w:val="00696B88"/>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2D9D"/>
    <w:rsid w:val="007178C3"/>
    <w:rsid w:val="00723650"/>
    <w:rsid w:val="00723BA1"/>
    <w:rsid w:val="00723BE2"/>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750B"/>
    <w:rsid w:val="00793A51"/>
    <w:rsid w:val="007944F2"/>
    <w:rsid w:val="00794620"/>
    <w:rsid w:val="00794C77"/>
    <w:rsid w:val="00795BF6"/>
    <w:rsid w:val="007A1165"/>
    <w:rsid w:val="007A5ACB"/>
    <w:rsid w:val="007A5FC6"/>
    <w:rsid w:val="007A6B1B"/>
    <w:rsid w:val="007B06B3"/>
    <w:rsid w:val="007B10D1"/>
    <w:rsid w:val="007B1738"/>
    <w:rsid w:val="007B42A1"/>
    <w:rsid w:val="007B4552"/>
    <w:rsid w:val="007C2315"/>
    <w:rsid w:val="007C5C3B"/>
    <w:rsid w:val="007D12E9"/>
    <w:rsid w:val="007D4568"/>
    <w:rsid w:val="007D562B"/>
    <w:rsid w:val="007E0C66"/>
    <w:rsid w:val="007E261D"/>
    <w:rsid w:val="007E4596"/>
    <w:rsid w:val="007E5616"/>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5934"/>
    <w:rsid w:val="008C7396"/>
    <w:rsid w:val="008D1528"/>
    <w:rsid w:val="008D22C1"/>
    <w:rsid w:val="008D4A93"/>
    <w:rsid w:val="008D636C"/>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13BDF"/>
    <w:rsid w:val="009204E7"/>
    <w:rsid w:val="009210CF"/>
    <w:rsid w:val="00922772"/>
    <w:rsid w:val="00923ED4"/>
    <w:rsid w:val="00927C54"/>
    <w:rsid w:val="009307E8"/>
    <w:rsid w:val="00932C48"/>
    <w:rsid w:val="0093627E"/>
    <w:rsid w:val="009364EC"/>
    <w:rsid w:val="0093654C"/>
    <w:rsid w:val="00936793"/>
    <w:rsid w:val="009367E0"/>
    <w:rsid w:val="00937780"/>
    <w:rsid w:val="009500F9"/>
    <w:rsid w:val="00952E18"/>
    <w:rsid w:val="00954C54"/>
    <w:rsid w:val="00956618"/>
    <w:rsid w:val="00956820"/>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0E9"/>
    <w:rsid w:val="009C5C9F"/>
    <w:rsid w:val="009C6448"/>
    <w:rsid w:val="009C74B0"/>
    <w:rsid w:val="009D2963"/>
    <w:rsid w:val="009D2CCF"/>
    <w:rsid w:val="009D2EF6"/>
    <w:rsid w:val="009D73F1"/>
    <w:rsid w:val="009D7E9A"/>
    <w:rsid w:val="009D7EA2"/>
    <w:rsid w:val="009E42CB"/>
    <w:rsid w:val="009E4682"/>
    <w:rsid w:val="009E4D5A"/>
    <w:rsid w:val="009E5693"/>
    <w:rsid w:val="009E7113"/>
    <w:rsid w:val="009F161B"/>
    <w:rsid w:val="009F2CE8"/>
    <w:rsid w:val="009F553D"/>
    <w:rsid w:val="009F6E60"/>
    <w:rsid w:val="00A00729"/>
    <w:rsid w:val="00A0628B"/>
    <w:rsid w:val="00A06566"/>
    <w:rsid w:val="00A0668C"/>
    <w:rsid w:val="00A0738D"/>
    <w:rsid w:val="00A12EC8"/>
    <w:rsid w:val="00A15339"/>
    <w:rsid w:val="00A17BA9"/>
    <w:rsid w:val="00A20D54"/>
    <w:rsid w:val="00A21321"/>
    <w:rsid w:val="00A213F4"/>
    <w:rsid w:val="00A330AF"/>
    <w:rsid w:val="00A33830"/>
    <w:rsid w:val="00A35F0D"/>
    <w:rsid w:val="00A37682"/>
    <w:rsid w:val="00A41B1C"/>
    <w:rsid w:val="00A42181"/>
    <w:rsid w:val="00A523A6"/>
    <w:rsid w:val="00A54F7B"/>
    <w:rsid w:val="00A5723C"/>
    <w:rsid w:val="00A62602"/>
    <w:rsid w:val="00A63773"/>
    <w:rsid w:val="00A66231"/>
    <w:rsid w:val="00A75632"/>
    <w:rsid w:val="00A77E6D"/>
    <w:rsid w:val="00A86A82"/>
    <w:rsid w:val="00A8780A"/>
    <w:rsid w:val="00A94FEB"/>
    <w:rsid w:val="00A95D10"/>
    <w:rsid w:val="00A97630"/>
    <w:rsid w:val="00AA0A24"/>
    <w:rsid w:val="00AA24FC"/>
    <w:rsid w:val="00AA28EA"/>
    <w:rsid w:val="00AA45BB"/>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4A7A"/>
    <w:rsid w:val="00AE5EF6"/>
    <w:rsid w:val="00AF0D5C"/>
    <w:rsid w:val="00AF0FA9"/>
    <w:rsid w:val="00AF1450"/>
    <w:rsid w:val="00AF277A"/>
    <w:rsid w:val="00AF5A17"/>
    <w:rsid w:val="00AF7672"/>
    <w:rsid w:val="00AF7B47"/>
    <w:rsid w:val="00B00C3C"/>
    <w:rsid w:val="00B01D34"/>
    <w:rsid w:val="00B0341B"/>
    <w:rsid w:val="00B04CAA"/>
    <w:rsid w:val="00B053E5"/>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51371"/>
    <w:rsid w:val="00B60411"/>
    <w:rsid w:val="00B60906"/>
    <w:rsid w:val="00B63297"/>
    <w:rsid w:val="00B63472"/>
    <w:rsid w:val="00B7141E"/>
    <w:rsid w:val="00B720D9"/>
    <w:rsid w:val="00B75E3D"/>
    <w:rsid w:val="00B76FDB"/>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1562"/>
    <w:rsid w:val="00BD182C"/>
    <w:rsid w:val="00BD2533"/>
    <w:rsid w:val="00BD68EC"/>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27170"/>
    <w:rsid w:val="00C30320"/>
    <w:rsid w:val="00C346EF"/>
    <w:rsid w:val="00C42DAC"/>
    <w:rsid w:val="00C443DD"/>
    <w:rsid w:val="00C4532B"/>
    <w:rsid w:val="00C50C5F"/>
    <w:rsid w:val="00C5748E"/>
    <w:rsid w:val="00C629A4"/>
    <w:rsid w:val="00C629CB"/>
    <w:rsid w:val="00C641D3"/>
    <w:rsid w:val="00C6632D"/>
    <w:rsid w:val="00C718FE"/>
    <w:rsid w:val="00C73585"/>
    <w:rsid w:val="00C803E9"/>
    <w:rsid w:val="00C81C7C"/>
    <w:rsid w:val="00C83A92"/>
    <w:rsid w:val="00C83B27"/>
    <w:rsid w:val="00C8572E"/>
    <w:rsid w:val="00C86766"/>
    <w:rsid w:val="00C90E2C"/>
    <w:rsid w:val="00C9105F"/>
    <w:rsid w:val="00C91413"/>
    <w:rsid w:val="00C92529"/>
    <w:rsid w:val="00C93B56"/>
    <w:rsid w:val="00C942FE"/>
    <w:rsid w:val="00CA07A2"/>
    <w:rsid w:val="00CA0B17"/>
    <w:rsid w:val="00CA2ED3"/>
    <w:rsid w:val="00CA39F0"/>
    <w:rsid w:val="00CA4837"/>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DBE"/>
    <w:rsid w:val="00D14E7F"/>
    <w:rsid w:val="00D26880"/>
    <w:rsid w:val="00D27A0E"/>
    <w:rsid w:val="00D302AD"/>
    <w:rsid w:val="00D31D4B"/>
    <w:rsid w:val="00D33FC5"/>
    <w:rsid w:val="00D33FD4"/>
    <w:rsid w:val="00D34423"/>
    <w:rsid w:val="00D35780"/>
    <w:rsid w:val="00D358D2"/>
    <w:rsid w:val="00D363EE"/>
    <w:rsid w:val="00D4746D"/>
    <w:rsid w:val="00D47753"/>
    <w:rsid w:val="00D51B9E"/>
    <w:rsid w:val="00D53199"/>
    <w:rsid w:val="00D55D5C"/>
    <w:rsid w:val="00D567CA"/>
    <w:rsid w:val="00D57322"/>
    <w:rsid w:val="00D606AE"/>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6B12"/>
    <w:rsid w:val="00DD2F96"/>
    <w:rsid w:val="00DD38A2"/>
    <w:rsid w:val="00DD6018"/>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17A24"/>
    <w:rsid w:val="00E20E67"/>
    <w:rsid w:val="00E223A7"/>
    <w:rsid w:val="00E25109"/>
    <w:rsid w:val="00E265A3"/>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524B"/>
    <w:rsid w:val="00F259FF"/>
    <w:rsid w:val="00F260E9"/>
    <w:rsid w:val="00F2675B"/>
    <w:rsid w:val="00F3237F"/>
    <w:rsid w:val="00F32597"/>
    <w:rsid w:val="00F3646B"/>
    <w:rsid w:val="00F42221"/>
    <w:rsid w:val="00F43DDB"/>
    <w:rsid w:val="00F50752"/>
    <w:rsid w:val="00F56B99"/>
    <w:rsid w:val="00F573B7"/>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1E620DF"/>
    <w:rsid w:val="0CDC5CB4"/>
    <w:rsid w:val="0D0737F8"/>
    <w:rsid w:val="1130228A"/>
    <w:rsid w:val="12267AD6"/>
    <w:rsid w:val="176470DA"/>
    <w:rsid w:val="1D5C41FF"/>
    <w:rsid w:val="234A2E0A"/>
    <w:rsid w:val="39E926A8"/>
    <w:rsid w:val="3A776E91"/>
    <w:rsid w:val="45C3741E"/>
    <w:rsid w:val="48947988"/>
    <w:rsid w:val="4D781947"/>
    <w:rsid w:val="4F9A403F"/>
    <w:rsid w:val="55E269A0"/>
    <w:rsid w:val="56742E56"/>
    <w:rsid w:val="5D5D3774"/>
    <w:rsid w:val="5DE007BC"/>
    <w:rsid w:val="6B3400F0"/>
    <w:rsid w:val="6F344869"/>
    <w:rsid w:val="71156FF8"/>
    <w:rsid w:val="75CD7A22"/>
    <w:rsid w:val="76FF13B0"/>
    <w:rsid w:val="7AF83446"/>
    <w:rsid w:val="7B2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Colorful 2"/>
    <w:basedOn w:val="14"/>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Char"/>
    <w:link w:val="10"/>
    <w:qFormat/>
    <w:uiPriority w:val="0"/>
    <w:rPr>
      <w:kern w:val="2"/>
      <w:sz w:val="18"/>
      <w:szCs w:val="18"/>
    </w:rPr>
  </w:style>
  <w:style w:type="character" w:customStyle="1" w:styleId="28">
    <w:name w:val="批注文字 Char"/>
    <w:link w:val="3"/>
    <w:semiHidden/>
    <w:qFormat/>
    <w:uiPriority w:val="99"/>
    <w:rPr>
      <w:kern w:val="2"/>
      <w:sz w:val="21"/>
    </w:rPr>
  </w:style>
  <w:style w:type="character" w:customStyle="1" w:styleId="29">
    <w:name w:val="日期 Char"/>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character" w:customStyle="1" w:styleId="32">
    <w:name w:val="font51"/>
    <w:basedOn w:val="17"/>
    <w:qFormat/>
    <w:uiPriority w:val="0"/>
    <w:rPr>
      <w:rFonts w:hint="eastAsia" w:ascii="宋体" w:hAnsi="宋体" w:eastAsia="宋体" w:cs="宋体"/>
      <w:color w:val="000000"/>
      <w:sz w:val="21"/>
      <w:szCs w:val="21"/>
      <w:u w:val="none"/>
    </w:rPr>
  </w:style>
  <w:style w:type="character" w:customStyle="1" w:styleId="33">
    <w:name w:val="font6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15</Pages>
  <Words>5842</Words>
  <Characters>7820</Characters>
  <Lines>21</Lines>
  <Paragraphs>6</Paragraphs>
  <TotalTime>2</TotalTime>
  <ScaleCrop>false</ScaleCrop>
  <LinksUpToDate>false</LinksUpToDate>
  <CharactersWithSpaces>7879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金建德</cp:lastModifiedBy>
  <cp:lastPrinted>2023-03-21T09:54:00Z</cp:lastPrinted>
  <dcterms:modified xsi:type="dcterms:W3CDTF">2023-03-24T01:03:35Z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5B77E7CEEC58BC6AFAE8886BEB80DBEB">
    <vt:lpwstr>otCYQxs9Dbw2bUEn/Soxv9pYAoWsCRIsU8+gIbxzzmNcJN13+qHIPyWmbF9hFzPHyi2m8DLwi54E5OVVM5pJ0yGmgAiYTaR6oYUdYZxdjep6I9xviFUFZ9aTScfBW9OG7Bixpk9q1ovqFTevFSVZ0FOD36YLSWucV6R6fnKu8xOmFKBqkP0W85vqPrLABvCToUov5FN4d3vs+mk57vQa5KAplG1H+M4CWpFwVxL9IbOlfz1uNXMWjs3RXWfd+kJ9OsiULB1LM3XcK3q9ApeKW7XNQPQfD3hM21vrnoeVVXA5v+FiEuERI5W2ilInFsJKdlwGOBEvO2LzLRXM/fbn3tj2K0fPn9kAvZvw/QoBTafp6sagu6tCP1pZr/jPh6fw0K/K2hCXgXfEGAsNqCID6oDC9cpD4GicY6+ud8CDdjRORsAXfMxbq3GxDIhi3EBC0J2tnbo+Lsu+A1zyWTaOP/ACyLou2umeb7nYwx3NrUl6jYiKHr51Jd52Wb/UD0+fCiXouuYyxUpk9FT9rENeYrRyoXVTMKtxsaZ7SX7stAS58OOqU02wyCz880jLPHxuQoFyV5xxIjTFqt2/PCj3W8fdXvVsnwdOupLIX/YpGcKwgbSp3+t/L5MbuMDLSh8o</vt:lpwstr>
  </property>
  <property fmtid="{D5CDD505-2E9C-101B-9397-08002B2CF9AE}" pid="4" name="ICV">
    <vt:lpwstr>4AAD09F596904244BDD4D2831EA2E28E</vt:lpwstr>
  </property>
</Properties>
</file>