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编号：临2023-</w:t>
      </w:r>
      <w:r>
        <w:rPr>
          <w:rFonts w:hint="eastAsia" w:ascii="黑体" w:hAnsi="黑体" w:eastAsia="黑体"/>
          <w:color w:val="000000"/>
        </w:rPr>
        <w:t>0</w:t>
      </w:r>
      <w:r>
        <w:rPr>
          <w:rFonts w:hint="eastAsia" w:ascii="黑体" w:hAnsi="黑体" w:eastAsia="黑体" w:cs="黑体"/>
          <w:color w:val="000000"/>
          <w:lang w:val="en-US" w:eastAsia="zh-CN"/>
        </w:rPr>
        <w:t>15</w:t>
      </w:r>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bookmarkStart w:id="0" w:name="_GoBack"/>
      <w:bookmarkEnd w:id="0"/>
    </w:p>
    <w:p>
      <w:pPr>
        <w:spacing w:line="500" w:lineRule="exact"/>
        <w:jc w:val="center"/>
        <w:rPr>
          <w:rFonts w:ascii="黑体" w:eastAsia="黑体"/>
          <w:b/>
          <w:bCs/>
          <w:color w:val="FF0000"/>
          <w:sz w:val="36"/>
          <w:szCs w:val="36"/>
        </w:rPr>
      </w:pPr>
      <w:r>
        <w:rPr>
          <w:rFonts w:hint="eastAsia" w:ascii="黑体" w:eastAsia="黑体"/>
          <w:b/>
          <w:bCs/>
          <w:color w:val="FF0000"/>
          <w:sz w:val="36"/>
          <w:szCs w:val="36"/>
        </w:rPr>
        <w:t>2022年度利润分配方案公告</w:t>
      </w:r>
    </w:p>
    <w:p>
      <w:pPr>
        <w:spacing w:line="500" w:lineRule="exact"/>
        <w:jc w:val="center"/>
        <w:rPr>
          <w:rFonts w:ascii="黑体" w:eastAsia="黑体"/>
          <w:b/>
          <w:bCs/>
          <w:color w:val="FF0000"/>
          <w:sz w:val="36"/>
          <w:szCs w:val="36"/>
        </w:rPr>
      </w:pPr>
      <w:r>
        <w:rPr>
          <w:rFonts w:ascii="黑体" w:eastAsia="黑体"/>
          <w:b/>
          <w:bCs/>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10160" t="8255" r="8890" b="1143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line="520" w:lineRule="exact"/>
        <w:ind w:firstLine="540"/>
        <w:rPr>
          <w:rFonts w:ascii="宋体" w:hAnsi="宋体"/>
          <w:b/>
          <w:color w:val="000000"/>
          <w:sz w:val="28"/>
          <w:szCs w:val="28"/>
        </w:rPr>
      </w:pPr>
      <w:r>
        <w:rPr>
          <w:rFonts w:hint="eastAsia" w:ascii="宋体" w:hAnsi="宋体"/>
          <w:b/>
          <w:color w:val="000000"/>
          <w:sz w:val="28"/>
          <w:szCs w:val="28"/>
        </w:rPr>
        <w:t>重要内容提示：</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 每股分配比例：每股派发现金红利</w:t>
      </w:r>
      <w:r>
        <w:rPr>
          <w:rFonts w:hint="eastAsia" w:ascii="宋体" w:hAnsi="宋体"/>
          <w:color w:val="000000"/>
          <w:sz w:val="28"/>
          <w:szCs w:val="28"/>
          <w:lang w:val="en-US" w:eastAsia="zh-CN"/>
        </w:rPr>
        <w:t>4</w:t>
      </w:r>
      <w:r>
        <w:rPr>
          <w:rFonts w:hint="eastAsia" w:ascii="宋体" w:hAnsi="宋体"/>
          <w:color w:val="000000"/>
          <w:sz w:val="28"/>
          <w:szCs w:val="28"/>
        </w:rPr>
        <w:t>.</w:t>
      </w:r>
      <w:r>
        <w:rPr>
          <w:rFonts w:hint="eastAsia" w:ascii="宋体" w:hAnsi="宋体"/>
          <w:color w:val="000000"/>
          <w:sz w:val="28"/>
          <w:szCs w:val="28"/>
          <w:lang w:val="en-US" w:eastAsia="zh-CN"/>
        </w:rPr>
        <w:t>30</w:t>
      </w:r>
      <w:r>
        <w:rPr>
          <w:rFonts w:hint="eastAsia" w:ascii="宋体" w:hAnsi="宋体"/>
          <w:color w:val="000000"/>
          <w:sz w:val="28"/>
          <w:szCs w:val="28"/>
        </w:rPr>
        <w:t xml:space="preserve">元（含税），每股派送红股0.5股。 </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 公司董事会关于高送转议案的审议结果：公司第八届董事会第二十七次会议审议通过了2022年度利润分配</w:t>
      </w:r>
      <w:r>
        <w:rPr>
          <w:rFonts w:hint="eastAsia" w:ascii="宋体" w:hAnsi="宋体"/>
          <w:color w:val="000000"/>
          <w:sz w:val="28"/>
          <w:szCs w:val="28"/>
          <w:lang w:val="en-US" w:eastAsia="zh-CN"/>
        </w:rPr>
        <w:t>方案</w:t>
      </w:r>
      <w:r>
        <w:rPr>
          <w:rFonts w:hint="eastAsia" w:ascii="宋体" w:hAnsi="宋体"/>
          <w:color w:val="000000"/>
          <w:sz w:val="28"/>
          <w:szCs w:val="28"/>
        </w:rPr>
        <w:t>的议案。该议案尚需提交公司2022年度股东周年大会审议。</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 xml:space="preserve">● 本次利润分配以实施权益分派股权登记日登记的总股本为基数，具体日期将在权益分派实施公告中明确。 </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highlight w:val="none"/>
        </w:rPr>
        <w:t>在实施权益分派的股权登记日前公司总股本发生变动的，拟维持每股分配</w:t>
      </w:r>
      <w:r>
        <w:rPr>
          <w:rFonts w:hint="eastAsia" w:ascii="宋体" w:hAnsi="宋体"/>
          <w:color w:val="000000"/>
          <w:sz w:val="28"/>
          <w:szCs w:val="28"/>
          <w:highlight w:val="none"/>
          <w:lang w:val="en-US" w:eastAsia="zh-CN"/>
        </w:rPr>
        <w:t>金额和每股送红股股数</w:t>
      </w:r>
      <w:r>
        <w:rPr>
          <w:rFonts w:hint="eastAsia" w:ascii="宋体" w:hAnsi="宋体"/>
          <w:color w:val="000000"/>
          <w:sz w:val="28"/>
          <w:szCs w:val="28"/>
          <w:highlight w:val="none"/>
        </w:rPr>
        <w:t>不变，相应调整分配总额，并另行公告具体调整情况。</w:t>
      </w:r>
    </w:p>
    <w:p>
      <w:pPr>
        <w:adjustRightInd w:val="0"/>
        <w:snapToGrid w:val="0"/>
        <w:spacing w:line="520" w:lineRule="exact"/>
        <w:ind w:firstLine="539"/>
        <w:rPr>
          <w:rFonts w:ascii="宋体" w:hAnsi="宋体"/>
          <w:color w:val="000000"/>
          <w:sz w:val="28"/>
          <w:szCs w:val="28"/>
        </w:rPr>
      </w:pPr>
    </w:p>
    <w:p>
      <w:pPr>
        <w:adjustRightInd w:val="0"/>
        <w:snapToGrid w:val="0"/>
        <w:spacing w:line="520" w:lineRule="exact"/>
        <w:ind w:firstLine="539"/>
        <w:rPr>
          <w:rFonts w:ascii="宋体" w:hAnsi="宋体"/>
          <w:b/>
          <w:color w:val="000000"/>
          <w:sz w:val="28"/>
          <w:szCs w:val="28"/>
        </w:rPr>
      </w:pPr>
      <w:r>
        <w:rPr>
          <w:rFonts w:hint="eastAsia" w:ascii="宋体" w:hAnsi="宋体"/>
          <w:b/>
          <w:color w:val="000000"/>
          <w:sz w:val="28"/>
          <w:szCs w:val="28"/>
        </w:rPr>
        <w:t>一、利润分配方案内容</w:t>
      </w:r>
    </w:p>
    <w:p>
      <w:pPr>
        <w:adjustRightInd w:val="0"/>
        <w:snapToGrid w:val="0"/>
        <w:spacing w:line="520" w:lineRule="exact"/>
        <w:ind w:firstLine="539"/>
        <w:rPr>
          <w:rFonts w:ascii="宋体" w:hAnsi="宋体"/>
          <w:color w:val="000000"/>
          <w:sz w:val="28"/>
          <w:szCs w:val="28"/>
        </w:rPr>
      </w:pPr>
      <w:r>
        <w:rPr>
          <w:rFonts w:hint="eastAsia" w:ascii="宋体" w:hAnsi="宋体"/>
          <w:color w:val="000000"/>
          <w:sz w:val="28"/>
          <w:szCs w:val="28"/>
        </w:rPr>
        <w:t>根据《公司法》和《公司章程》规定，兖矿能源集团股份有限公司（“兖矿能源”“公司”）财务报表除应当按中国会计准则及法规编制外，还应当按国际或者境外上市地会计准则编制。公司在分配有关会计年度的税后利润时,以前述两种财务报表中税后利润数较少者为准。</w:t>
      </w:r>
    </w:p>
    <w:p>
      <w:pPr>
        <w:spacing w:line="540" w:lineRule="exact"/>
        <w:ind w:firstLine="630"/>
        <w:rPr>
          <w:rFonts w:ascii="宋体" w:hAnsi="宋体"/>
          <w:color w:val="000000"/>
          <w:sz w:val="28"/>
          <w:szCs w:val="28"/>
        </w:rPr>
      </w:pPr>
      <w:r>
        <w:rPr>
          <w:rFonts w:hint="eastAsia" w:ascii="宋体" w:hAnsi="宋体"/>
          <w:color w:val="000000"/>
          <w:sz w:val="28"/>
          <w:szCs w:val="28"/>
        </w:rPr>
        <w:t>经信永中和会计师事务所（特殊普通合伙）审计确认，2022年度公司按中国会计准则实现的归属于母公司股东的净利润（“净利润”）307.74亿元；经信永中和（香港）会计师事务所有限公司审计确认，2022年度公司按国际财务报告准则实现净利润30</w:t>
      </w:r>
      <w:r>
        <w:rPr>
          <w:rFonts w:hint="eastAsia" w:ascii="宋体" w:hAnsi="宋体"/>
          <w:color w:val="000000"/>
          <w:sz w:val="28"/>
          <w:szCs w:val="28"/>
          <w:lang w:val="en-US" w:eastAsia="zh-CN"/>
        </w:rPr>
        <w:t>4</w:t>
      </w:r>
      <w:r>
        <w:rPr>
          <w:rFonts w:hint="eastAsia" w:ascii="宋体" w:hAnsi="宋体"/>
          <w:color w:val="000000"/>
          <w:sz w:val="28"/>
          <w:szCs w:val="28"/>
        </w:rPr>
        <w:t>.</w:t>
      </w:r>
      <w:r>
        <w:rPr>
          <w:rFonts w:hint="eastAsia" w:ascii="宋体" w:hAnsi="宋体"/>
          <w:color w:val="000000"/>
          <w:sz w:val="28"/>
          <w:szCs w:val="28"/>
          <w:lang w:val="en-US" w:eastAsia="zh-CN"/>
        </w:rPr>
        <w:t>08</w:t>
      </w:r>
      <w:r>
        <w:rPr>
          <w:rFonts w:hint="eastAsia" w:ascii="宋体" w:hAnsi="宋体"/>
          <w:color w:val="000000"/>
          <w:sz w:val="28"/>
          <w:szCs w:val="28"/>
        </w:rPr>
        <w:t>亿元。</w:t>
      </w:r>
    </w:p>
    <w:p>
      <w:pPr>
        <w:spacing w:line="540" w:lineRule="exact"/>
        <w:ind w:firstLine="630"/>
        <w:rPr>
          <w:rFonts w:ascii="宋体" w:hAnsi="宋体"/>
          <w:color w:val="000000"/>
          <w:sz w:val="28"/>
          <w:szCs w:val="28"/>
        </w:rPr>
      </w:pPr>
      <w:r>
        <w:rPr>
          <w:rFonts w:hint="eastAsia" w:ascii="宋体" w:hAnsi="宋体"/>
          <w:color w:val="000000"/>
          <w:sz w:val="28"/>
          <w:szCs w:val="28"/>
        </w:rPr>
        <w:t>2022年度，公司按中国会计准则实现的净利润大于按国际财务报告准则实现的净利润</w:t>
      </w:r>
      <w:r>
        <w:rPr>
          <w:rFonts w:hint="eastAsia" w:ascii="宋体" w:hAnsi="宋体"/>
          <w:color w:val="000000"/>
          <w:sz w:val="28"/>
          <w:szCs w:val="28"/>
          <w:lang w:eastAsia="zh-CN"/>
        </w:rPr>
        <w:t>，以按国际财务报告准则实现的净利润为分配基础。由于公司法定</w:t>
      </w:r>
      <w:r>
        <w:rPr>
          <w:rFonts w:hint="eastAsia" w:ascii="宋体" w:hAnsi="宋体"/>
          <w:color w:val="000000"/>
          <w:sz w:val="28"/>
          <w:szCs w:val="28"/>
          <w:lang w:val="en-US" w:eastAsia="zh-CN"/>
        </w:rPr>
        <w:t>公积金已</w:t>
      </w:r>
      <w:r>
        <w:rPr>
          <w:rFonts w:hint="eastAsia" w:ascii="宋体" w:hAnsi="宋体"/>
          <w:color w:val="000000"/>
          <w:sz w:val="28"/>
          <w:szCs w:val="28"/>
          <w:lang w:eastAsia="zh-CN"/>
        </w:rPr>
        <w:t>累计达到注册资本的百分之五十以上，本次不再提取，</w:t>
      </w:r>
      <w:r>
        <w:rPr>
          <w:rFonts w:hint="eastAsia" w:ascii="宋体" w:hAnsi="宋体"/>
          <w:color w:val="000000"/>
          <w:sz w:val="28"/>
          <w:szCs w:val="28"/>
          <w:lang w:val="en-US" w:eastAsia="zh-CN"/>
        </w:rPr>
        <w:t>故</w:t>
      </w:r>
      <w:r>
        <w:rPr>
          <w:rFonts w:hint="eastAsia" w:ascii="宋体" w:hAnsi="宋体"/>
          <w:color w:val="000000"/>
          <w:sz w:val="28"/>
          <w:szCs w:val="28"/>
          <w:lang w:eastAsia="zh-CN"/>
        </w:rPr>
        <w:t>2022年度可供股东分配的利润为30</w:t>
      </w:r>
      <w:r>
        <w:rPr>
          <w:rFonts w:hint="eastAsia" w:ascii="宋体" w:hAnsi="宋体"/>
          <w:color w:val="000000"/>
          <w:sz w:val="28"/>
          <w:szCs w:val="28"/>
          <w:lang w:val="en-US" w:eastAsia="zh-CN"/>
        </w:rPr>
        <w:t>4</w:t>
      </w:r>
      <w:r>
        <w:rPr>
          <w:rFonts w:hint="eastAsia" w:ascii="宋体" w:hAnsi="宋体"/>
          <w:color w:val="000000"/>
          <w:sz w:val="28"/>
          <w:szCs w:val="28"/>
          <w:lang w:eastAsia="zh-CN"/>
        </w:rPr>
        <w:t>.</w:t>
      </w:r>
      <w:r>
        <w:rPr>
          <w:rFonts w:hint="eastAsia" w:ascii="宋体" w:hAnsi="宋体"/>
          <w:color w:val="000000"/>
          <w:sz w:val="28"/>
          <w:szCs w:val="28"/>
          <w:lang w:val="en-US" w:eastAsia="zh-CN"/>
        </w:rPr>
        <w:t>08</w:t>
      </w:r>
      <w:r>
        <w:rPr>
          <w:rFonts w:hint="eastAsia" w:ascii="宋体" w:hAnsi="宋体"/>
          <w:color w:val="000000"/>
          <w:sz w:val="28"/>
          <w:szCs w:val="28"/>
          <w:lang w:eastAsia="zh-CN"/>
        </w:rPr>
        <w:t>亿元。</w:t>
      </w:r>
    </w:p>
    <w:p>
      <w:pPr>
        <w:spacing w:line="540" w:lineRule="exact"/>
        <w:ind w:firstLine="630"/>
        <w:rPr>
          <w:rFonts w:ascii="宋体" w:hAnsi="宋体"/>
          <w:color w:val="000000"/>
          <w:sz w:val="28"/>
          <w:szCs w:val="28"/>
        </w:rPr>
      </w:pPr>
      <w:r>
        <w:rPr>
          <w:rFonts w:hint="eastAsia" w:ascii="宋体" w:hAnsi="宋体"/>
          <w:color w:val="000000"/>
          <w:sz w:val="28"/>
          <w:szCs w:val="28"/>
        </w:rPr>
        <w:t>为回报股东长期以来对公司的支持，公司董事会综合考虑对投资者的合理回报和公司的长远发展，拟定2022年度利润分配方案如下：</w:t>
      </w:r>
    </w:p>
    <w:p>
      <w:pPr>
        <w:spacing w:line="540" w:lineRule="exact"/>
        <w:ind w:firstLine="630"/>
        <w:rPr>
          <w:rFonts w:ascii="宋体" w:hAnsi="宋体"/>
          <w:color w:val="000000"/>
          <w:sz w:val="28"/>
          <w:szCs w:val="28"/>
        </w:rPr>
      </w:pPr>
      <w:r>
        <w:rPr>
          <w:rFonts w:hint="eastAsia" w:ascii="宋体" w:hAnsi="宋体"/>
          <w:color w:val="000000"/>
          <w:sz w:val="28"/>
          <w:szCs w:val="28"/>
        </w:rPr>
        <w:t>（一）公司拟向全体股东</w:t>
      </w:r>
      <w:r>
        <w:rPr>
          <w:rFonts w:hint="eastAsia" w:ascii="宋体" w:hAnsi="宋体"/>
          <w:color w:val="000000"/>
          <w:sz w:val="28"/>
          <w:szCs w:val="28"/>
          <w:lang w:val="en-US" w:eastAsia="zh-CN"/>
        </w:rPr>
        <w:t>派发</w:t>
      </w:r>
      <w:r>
        <w:rPr>
          <w:rFonts w:hint="eastAsia" w:ascii="宋体" w:hAnsi="宋体"/>
          <w:color w:val="000000"/>
          <w:sz w:val="28"/>
          <w:szCs w:val="28"/>
        </w:rPr>
        <w:t>2022年度现金股利</w:t>
      </w:r>
      <w:r>
        <w:rPr>
          <w:rFonts w:hint="eastAsia" w:ascii="宋体" w:hAnsi="宋体"/>
          <w:color w:val="000000"/>
          <w:sz w:val="28"/>
          <w:szCs w:val="28"/>
          <w:lang w:val="en-US" w:eastAsia="zh-CN"/>
        </w:rPr>
        <w:t>3.07</w:t>
      </w:r>
      <w:r>
        <w:rPr>
          <w:rFonts w:hint="eastAsia" w:ascii="宋体" w:hAnsi="宋体"/>
          <w:color w:val="000000"/>
          <w:sz w:val="28"/>
          <w:szCs w:val="28"/>
        </w:rPr>
        <w:t>元/股（含税），另派发特别现金</w:t>
      </w:r>
      <w:r>
        <w:rPr>
          <w:rFonts w:hint="eastAsia" w:ascii="宋体" w:hAnsi="宋体"/>
          <w:color w:val="000000"/>
          <w:sz w:val="28"/>
          <w:szCs w:val="28"/>
          <w:lang w:val="en-US" w:eastAsia="zh-CN"/>
        </w:rPr>
        <w:t>股利1.23</w:t>
      </w:r>
      <w:r>
        <w:rPr>
          <w:rFonts w:hint="eastAsia" w:ascii="宋体" w:hAnsi="宋体"/>
          <w:color w:val="000000"/>
          <w:sz w:val="28"/>
          <w:szCs w:val="28"/>
        </w:rPr>
        <w:t>元/股（含税）</w:t>
      </w:r>
      <w:r>
        <w:rPr>
          <w:rFonts w:hint="eastAsia" w:ascii="宋体" w:hAnsi="宋体"/>
          <w:color w:val="000000"/>
          <w:sz w:val="28"/>
          <w:szCs w:val="28"/>
          <w:lang w:eastAsia="zh-CN"/>
        </w:rPr>
        <w:t>，</w:t>
      </w:r>
      <w:r>
        <w:rPr>
          <w:rFonts w:hint="eastAsia" w:ascii="宋体" w:hAnsi="宋体"/>
          <w:color w:val="000000"/>
          <w:sz w:val="28"/>
          <w:szCs w:val="28"/>
          <w:lang w:val="en-US" w:eastAsia="zh-CN"/>
        </w:rPr>
        <w:t>合计派发现金股利4.30元</w:t>
      </w:r>
      <w:r>
        <w:rPr>
          <w:rFonts w:hint="eastAsia" w:ascii="宋体" w:hAnsi="宋体"/>
          <w:color w:val="000000"/>
          <w:sz w:val="28"/>
          <w:szCs w:val="28"/>
        </w:rPr>
        <w:t>/股（含税）。截至2022年12月31日，公司总股本为4,948,703,640股，以此计算合计拟派发现金红利</w:t>
      </w:r>
      <w:r>
        <w:rPr>
          <w:rFonts w:hint="eastAsia" w:ascii="宋体" w:hAnsi="宋体"/>
          <w:color w:val="000000"/>
          <w:sz w:val="28"/>
          <w:szCs w:val="28"/>
          <w:lang w:val="en-US" w:eastAsia="zh-CN"/>
        </w:rPr>
        <w:t>21,279,425,652</w:t>
      </w:r>
      <w:r>
        <w:rPr>
          <w:rFonts w:hint="eastAsia" w:ascii="宋体" w:hAnsi="宋体"/>
          <w:color w:val="000000"/>
          <w:sz w:val="28"/>
          <w:szCs w:val="28"/>
        </w:rPr>
        <w:t>元（含税），占公司当年实现净利润的比例为</w:t>
      </w:r>
      <w:r>
        <w:rPr>
          <w:rFonts w:hint="eastAsia" w:ascii="宋体" w:hAnsi="宋体"/>
          <w:color w:val="000000"/>
          <w:sz w:val="28"/>
          <w:szCs w:val="28"/>
          <w:lang w:val="en-US" w:eastAsia="zh-CN"/>
        </w:rPr>
        <w:t>69.98</w:t>
      </w:r>
      <w:r>
        <w:rPr>
          <w:rFonts w:hint="eastAsia" w:ascii="宋体" w:hAnsi="宋体"/>
          <w:color w:val="000000"/>
          <w:sz w:val="28"/>
          <w:szCs w:val="28"/>
        </w:rPr>
        <w:t>%。</w:t>
      </w:r>
    </w:p>
    <w:p>
      <w:pPr>
        <w:spacing w:line="540" w:lineRule="exact"/>
        <w:ind w:firstLine="630"/>
        <w:rPr>
          <w:rFonts w:ascii="宋体" w:hAnsi="宋体"/>
          <w:color w:val="000000"/>
          <w:sz w:val="28"/>
          <w:szCs w:val="28"/>
        </w:rPr>
      </w:pPr>
      <w:r>
        <w:rPr>
          <w:rFonts w:hint="eastAsia" w:ascii="宋体" w:hAnsi="宋体"/>
          <w:color w:val="000000"/>
          <w:sz w:val="28"/>
          <w:szCs w:val="28"/>
        </w:rPr>
        <w:t>（二）公司拟向全体股东每股送红股0.5股。截至2022年12月31日，公司总股本为4,948,703,640股，本次送红股后，公司的总股本为7,423,055,460股。</w:t>
      </w:r>
    </w:p>
    <w:p>
      <w:pPr>
        <w:spacing w:line="540" w:lineRule="exact"/>
        <w:ind w:firstLine="630"/>
        <w:rPr>
          <w:rFonts w:ascii="宋体" w:hAnsi="宋体"/>
          <w:color w:val="000000"/>
          <w:sz w:val="28"/>
          <w:szCs w:val="28"/>
        </w:rPr>
      </w:pPr>
      <w:r>
        <w:rPr>
          <w:rFonts w:hint="eastAsia" w:ascii="宋体" w:hAnsi="宋体"/>
          <w:color w:val="000000"/>
          <w:sz w:val="28"/>
          <w:szCs w:val="28"/>
        </w:rPr>
        <w:t>如在本公告披露之日起至实施权益分派股权登记日期间，公司总股本发生变动的，公司拟维持每股分配</w:t>
      </w:r>
      <w:r>
        <w:rPr>
          <w:rFonts w:hint="eastAsia" w:ascii="宋体" w:hAnsi="宋体"/>
          <w:color w:val="000000"/>
          <w:sz w:val="28"/>
          <w:szCs w:val="28"/>
          <w:lang w:val="en-US" w:eastAsia="zh-CN"/>
        </w:rPr>
        <w:t>金额及每股送红股股数</w:t>
      </w:r>
      <w:r>
        <w:rPr>
          <w:rFonts w:hint="eastAsia" w:ascii="宋体" w:hAnsi="宋体"/>
          <w:color w:val="000000"/>
          <w:sz w:val="28"/>
          <w:szCs w:val="28"/>
        </w:rPr>
        <w:t>不变，相应调整分配总额。如后续总股本发生变化，将另行公告具体调整情况。</w:t>
      </w:r>
    </w:p>
    <w:p>
      <w:pPr>
        <w:spacing w:line="540" w:lineRule="exact"/>
        <w:ind w:firstLine="630"/>
        <w:rPr>
          <w:rFonts w:ascii="宋体" w:hAnsi="宋体"/>
          <w:color w:val="000000"/>
          <w:sz w:val="28"/>
          <w:szCs w:val="28"/>
        </w:rPr>
      </w:pPr>
      <w:r>
        <w:rPr>
          <w:rFonts w:hint="eastAsia" w:ascii="宋体" w:hAnsi="宋体"/>
          <w:color w:val="000000"/>
          <w:sz w:val="28"/>
          <w:szCs w:val="28"/>
        </w:rPr>
        <w:t>本次利润分配方案尚需提交</w:t>
      </w:r>
      <w:r>
        <w:rPr>
          <w:rFonts w:hint="eastAsia" w:ascii="宋体" w:hAnsi="宋体"/>
          <w:color w:val="000000"/>
          <w:sz w:val="28"/>
          <w:szCs w:val="28"/>
          <w:lang w:val="en-US" w:eastAsia="zh-CN"/>
        </w:rPr>
        <w:t>公司</w:t>
      </w:r>
      <w:r>
        <w:rPr>
          <w:rFonts w:hint="eastAsia" w:ascii="宋体" w:hAnsi="宋体"/>
          <w:color w:val="000000"/>
          <w:sz w:val="28"/>
          <w:szCs w:val="28"/>
        </w:rPr>
        <w:t>股东</w:t>
      </w:r>
      <w:r>
        <w:rPr>
          <w:rFonts w:hint="eastAsia" w:ascii="宋体" w:hAnsi="宋体"/>
          <w:color w:val="000000"/>
          <w:sz w:val="28"/>
          <w:szCs w:val="28"/>
          <w:lang w:val="en-US" w:eastAsia="zh-CN"/>
        </w:rPr>
        <w:t>周年</w:t>
      </w:r>
      <w:r>
        <w:rPr>
          <w:rFonts w:hint="eastAsia" w:ascii="宋体" w:hAnsi="宋体"/>
          <w:color w:val="000000"/>
          <w:sz w:val="28"/>
          <w:szCs w:val="28"/>
        </w:rPr>
        <w:t>大会审议。</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二、公司履行的决策程序</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（一）董事会会议的召开、审议和表决情况</w:t>
      </w:r>
    </w:p>
    <w:p>
      <w:pPr>
        <w:spacing w:line="540" w:lineRule="exact"/>
        <w:ind w:firstLine="630"/>
        <w:rPr>
          <w:rFonts w:ascii="宋体" w:hAnsi="宋体"/>
          <w:color w:val="000000"/>
          <w:sz w:val="28"/>
          <w:szCs w:val="28"/>
        </w:rPr>
      </w:pPr>
      <w:r>
        <w:rPr>
          <w:rFonts w:hint="eastAsia" w:ascii="宋体" w:hAnsi="宋体"/>
          <w:color w:val="000000"/>
          <w:sz w:val="28"/>
          <w:szCs w:val="28"/>
        </w:rPr>
        <w:t>公司于2023年3月24日召开第八届董事会第二十七次会议，审议通过了公司2022年度利润分配</w:t>
      </w:r>
      <w:r>
        <w:rPr>
          <w:rFonts w:hint="eastAsia" w:ascii="宋体" w:hAnsi="宋体"/>
          <w:color w:val="000000"/>
          <w:sz w:val="28"/>
          <w:szCs w:val="28"/>
          <w:lang w:val="en-US" w:eastAsia="zh-CN"/>
        </w:rPr>
        <w:t>方案</w:t>
      </w:r>
      <w:r>
        <w:rPr>
          <w:rFonts w:hint="eastAsia" w:ascii="宋体" w:hAnsi="宋体"/>
          <w:color w:val="000000"/>
          <w:sz w:val="28"/>
          <w:szCs w:val="28"/>
        </w:rPr>
        <w:t>。董事会认为：公司2022年度利润分配</w:t>
      </w:r>
      <w:r>
        <w:rPr>
          <w:rFonts w:hint="eastAsia" w:ascii="宋体" w:hAnsi="宋体"/>
          <w:color w:val="000000"/>
          <w:sz w:val="28"/>
          <w:szCs w:val="28"/>
          <w:lang w:val="en-US" w:eastAsia="zh-CN"/>
        </w:rPr>
        <w:t>方案</w:t>
      </w:r>
      <w:r>
        <w:rPr>
          <w:rFonts w:hint="eastAsia" w:ascii="宋体" w:hAnsi="宋体"/>
          <w:color w:val="000000"/>
          <w:sz w:val="28"/>
          <w:szCs w:val="28"/>
        </w:rPr>
        <w:t>充分考虑了公司当前财务状况并兼顾股东长远利益，符合《公司章程》规定的利润分配政策和公司已披露的现金分红比例，同意将该议案提交公司股东周年大会审议。</w:t>
      </w:r>
    </w:p>
    <w:p>
      <w:pPr>
        <w:spacing w:line="540" w:lineRule="exact"/>
        <w:ind w:firstLine="630"/>
        <w:rPr>
          <w:rFonts w:ascii="宋体" w:hAnsi="宋体"/>
          <w:color w:val="000000"/>
          <w:sz w:val="28"/>
          <w:szCs w:val="28"/>
        </w:rPr>
      </w:pPr>
      <w:r>
        <w:rPr>
          <w:rFonts w:hint="eastAsia" w:ascii="宋体" w:hAnsi="宋体"/>
          <w:color w:val="000000"/>
          <w:sz w:val="28"/>
          <w:szCs w:val="28"/>
          <w:lang w:val="en-US" w:eastAsia="zh-CN"/>
        </w:rPr>
        <w:t>经</w:t>
      </w:r>
      <w:r>
        <w:rPr>
          <w:rFonts w:hint="eastAsia" w:ascii="宋体" w:hAnsi="宋体"/>
          <w:color w:val="000000"/>
          <w:sz w:val="28"/>
          <w:szCs w:val="28"/>
        </w:rPr>
        <w:t>公司2020年12月9日召开的2020年度第二次临时股东大会审议批准，公司2020-2024年度现金分红比例确定为：公司在各会计年度分配的现金股利总额，应占公司该年度扣除法定储备后净利润的约百分之五十，且每股现金股利不低于0.50元。</w:t>
      </w:r>
    </w:p>
    <w:p>
      <w:pPr>
        <w:spacing w:before="156" w:beforeLines="50" w:after="156" w:afterLines="50" w:line="520" w:lineRule="exact"/>
        <w:ind w:firstLine="560" w:firstLineChars="200"/>
        <w:rPr>
          <w:rFonts w:ascii="楷体_GB2312" w:hAnsi="楷体_GB2312" w:eastAsia="楷体_GB2312" w:cs="楷体_GB2312"/>
          <w:color w:val="000000"/>
          <w:sz w:val="28"/>
          <w:szCs w:val="28"/>
        </w:rPr>
      </w:pPr>
      <w:r>
        <w:rPr>
          <w:rFonts w:hint="eastAsia" w:ascii="楷体_GB2312" w:hAnsi="楷体_GB2312" w:eastAsia="楷体_GB2312" w:cs="楷体_GB2312"/>
          <w:sz w:val="28"/>
          <w:szCs w:val="28"/>
        </w:rPr>
        <w:t>有关详情请见公司日期为2020年10月23日的公司第八届董事会第六次会议决议公告、关于提高公司2020-2024年度现金分红比例的公告，日期为2020年12月9日的公司2020年度第二次临时股东大会决议公告。该等资料刊载于上海证券交易所网站、香港联合交易所有限公司网站、公司网站及/或中国境内《中国证券报》《上海证券报》《证券时报》。</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（二）本次高送转方案的合理性和可行性</w:t>
      </w:r>
    </w:p>
    <w:p>
      <w:pPr>
        <w:spacing w:line="540" w:lineRule="exact"/>
        <w:ind w:firstLine="630"/>
        <w:rPr>
          <w:rFonts w:ascii="宋体" w:hAnsi="宋体"/>
          <w:color w:val="000000"/>
          <w:sz w:val="28"/>
          <w:szCs w:val="28"/>
        </w:rPr>
      </w:pPr>
      <w:r>
        <w:rPr>
          <w:rFonts w:hint="eastAsia" w:ascii="宋体" w:hAnsi="宋体"/>
          <w:color w:val="000000"/>
          <w:sz w:val="28"/>
          <w:szCs w:val="28"/>
          <w:lang w:val="en-US" w:eastAsia="zh-CN"/>
        </w:rPr>
        <w:t>1.</w:t>
      </w:r>
      <w:r>
        <w:rPr>
          <w:rFonts w:hint="eastAsia" w:ascii="宋体" w:hAnsi="宋体"/>
          <w:color w:val="000000"/>
          <w:sz w:val="28"/>
          <w:szCs w:val="28"/>
        </w:rPr>
        <w:t>近年受境内外能源价格上涨影响，煤炭价格持续维持高位，公司业绩大幅增长。2020-2022年，</w:t>
      </w:r>
      <w:r>
        <w:rPr>
          <w:rFonts w:hint="eastAsia" w:ascii="宋体" w:hAnsi="宋体"/>
          <w:color w:val="000000"/>
          <w:sz w:val="28"/>
          <w:szCs w:val="28"/>
          <w:lang w:val="en-US" w:eastAsia="zh-CN"/>
        </w:rPr>
        <w:t>按中国会计准则实现的</w:t>
      </w:r>
      <w:r>
        <w:rPr>
          <w:rFonts w:hint="eastAsia" w:ascii="宋体" w:hAnsi="宋体"/>
          <w:color w:val="000000"/>
          <w:sz w:val="28"/>
          <w:szCs w:val="28"/>
        </w:rPr>
        <w:t>净利润分别为71亿</w:t>
      </w:r>
      <w:r>
        <w:rPr>
          <w:rFonts w:hint="eastAsia" w:ascii="宋体" w:hAnsi="宋体"/>
          <w:color w:val="000000"/>
          <w:sz w:val="28"/>
          <w:szCs w:val="28"/>
          <w:lang w:val="en-US" w:eastAsia="zh-CN"/>
        </w:rPr>
        <w:t>元</w:t>
      </w:r>
      <w:r>
        <w:rPr>
          <w:rFonts w:hint="eastAsia" w:ascii="宋体" w:hAnsi="宋体"/>
          <w:color w:val="000000"/>
          <w:sz w:val="28"/>
          <w:szCs w:val="28"/>
        </w:rPr>
        <w:t>、163亿</w:t>
      </w:r>
      <w:r>
        <w:rPr>
          <w:rFonts w:hint="eastAsia" w:ascii="宋体" w:hAnsi="宋体"/>
          <w:color w:val="000000"/>
          <w:sz w:val="28"/>
          <w:szCs w:val="28"/>
          <w:lang w:val="en-US" w:eastAsia="zh-CN"/>
        </w:rPr>
        <w:t>元</w:t>
      </w:r>
      <w:r>
        <w:rPr>
          <w:rFonts w:hint="eastAsia" w:ascii="宋体" w:hAnsi="宋体"/>
          <w:color w:val="000000"/>
          <w:sz w:val="28"/>
          <w:szCs w:val="28"/>
        </w:rPr>
        <w:t>、308亿</w:t>
      </w:r>
      <w:r>
        <w:rPr>
          <w:rFonts w:hint="eastAsia" w:ascii="宋体" w:hAnsi="宋体"/>
          <w:color w:val="000000"/>
          <w:sz w:val="28"/>
          <w:szCs w:val="28"/>
          <w:lang w:val="en-US" w:eastAsia="zh-CN"/>
        </w:rPr>
        <w:t>元</w:t>
      </w:r>
      <w:r>
        <w:rPr>
          <w:rFonts w:hint="eastAsia" w:ascii="宋体" w:hAnsi="宋体"/>
          <w:color w:val="000000"/>
          <w:sz w:val="28"/>
          <w:szCs w:val="28"/>
        </w:rPr>
        <w:t>，近两年净利润持续增长，且复合增长率达到108%，可以支持每10股送</w:t>
      </w:r>
      <w:r>
        <w:rPr>
          <w:rFonts w:hint="eastAsia" w:ascii="宋体" w:hAnsi="宋体" w:cs="宋体"/>
          <w:color w:val="000000"/>
          <w:sz w:val="28"/>
          <w:szCs w:val="28"/>
          <w:lang w:val="en-US" w:eastAsia="zh-CN"/>
        </w:rPr>
        <w:t>5</w:t>
      </w:r>
      <w:r>
        <w:rPr>
          <w:rFonts w:hint="eastAsia" w:ascii="宋体" w:hAnsi="宋体"/>
          <w:color w:val="000000"/>
          <w:sz w:val="28"/>
          <w:szCs w:val="28"/>
        </w:rPr>
        <w:t>股的送红股条件。</w:t>
      </w:r>
    </w:p>
    <w:p>
      <w:pPr>
        <w:spacing w:line="540" w:lineRule="exact"/>
        <w:ind w:firstLine="630"/>
        <w:rPr>
          <w:rFonts w:ascii="宋体" w:hAnsi="宋体"/>
          <w:color w:val="000000"/>
          <w:sz w:val="28"/>
          <w:szCs w:val="28"/>
        </w:rPr>
      </w:pPr>
      <w:r>
        <w:rPr>
          <w:rFonts w:hint="eastAsia" w:ascii="宋体" w:hAnsi="宋体"/>
          <w:color w:val="000000"/>
          <w:sz w:val="28"/>
          <w:szCs w:val="28"/>
          <w:lang w:val="en-US" w:eastAsia="zh-CN"/>
        </w:rPr>
        <w:t>2.公司</w:t>
      </w:r>
      <w:r>
        <w:rPr>
          <w:rFonts w:hint="eastAsia" w:ascii="宋体" w:hAnsi="宋体"/>
          <w:color w:val="000000"/>
          <w:sz w:val="28"/>
          <w:szCs w:val="28"/>
        </w:rPr>
        <w:t>每股收益分别达到1.4</w:t>
      </w:r>
      <w:r>
        <w:rPr>
          <w:rFonts w:hint="eastAsia" w:ascii="宋体" w:hAnsi="宋体"/>
          <w:color w:val="000000"/>
          <w:sz w:val="28"/>
          <w:szCs w:val="28"/>
          <w:lang w:val="en-US" w:eastAsia="zh-CN"/>
        </w:rPr>
        <w:t>6</w:t>
      </w:r>
      <w:r>
        <w:rPr>
          <w:rFonts w:hint="eastAsia" w:ascii="宋体" w:hAnsi="宋体"/>
          <w:color w:val="000000"/>
          <w:sz w:val="28"/>
          <w:szCs w:val="28"/>
        </w:rPr>
        <w:t>元、3.3</w:t>
      </w:r>
      <w:r>
        <w:rPr>
          <w:rFonts w:hint="eastAsia" w:ascii="宋体" w:hAnsi="宋体"/>
          <w:color w:val="000000"/>
          <w:sz w:val="28"/>
          <w:szCs w:val="28"/>
          <w:lang w:val="en-US" w:eastAsia="zh-CN"/>
        </w:rPr>
        <w:t>4</w:t>
      </w:r>
      <w:r>
        <w:rPr>
          <w:rFonts w:hint="eastAsia" w:ascii="宋体" w:hAnsi="宋体"/>
          <w:color w:val="000000"/>
          <w:sz w:val="28"/>
          <w:szCs w:val="28"/>
        </w:rPr>
        <w:t>元、6.30元，高于同行业上市公司。公司不存在限售股（股权激励限售股除外），不存在相关股东（包括控股股东、董事、监事、高级管理人员）在前3个月存在减持情形或者后3个月存在减持计划。</w:t>
      </w:r>
    </w:p>
    <w:p>
      <w:pPr>
        <w:spacing w:line="540" w:lineRule="exact"/>
        <w:ind w:firstLine="630"/>
        <w:rPr>
          <w:rFonts w:ascii="宋体" w:hAnsi="宋体"/>
          <w:color w:val="000000"/>
          <w:sz w:val="28"/>
          <w:szCs w:val="28"/>
        </w:rPr>
      </w:pPr>
      <w:r>
        <w:rPr>
          <w:rFonts w:hint="eastAsia" w:ascii="宋体" w:hAnsi="宋体"/>
          <w:color w:val="000000"/>
          <w:sz w:val="28"/>
          <w:szCs w:val="28"/>
          <w:lang w:val="en-US" w:eastAsia="zh-CN"/>
        </w:rPr>
        <w:t>3.</w:t>
      </w:r>
      <w:r>
        <w:rPr>
          <w:rFonts w:hint="eastAsia" w:ascii="宋体" w:hAnsi="宋体"/>
          <w:color w:val="000000"/>
          <w:sz w:val="28"/>
          <w:szCs w:val="28"/>
        </w:rPr>
        <w:t>公司实施送红股后，每股收益将被摊薄，但从中长期来看，随着公司资产质量及规模的不断提升，送红股后每股收益仍在1元以上，不会对每股收益造成过度稀释。</w:t>
      </w:r>
    </w:p>
    <w:p>
      <w:pPr>
        <w:spacing w:line="540" w:lineRule="exact"/>
        <w:ind w:firstLine="630"/>
        <w:rPr>
          <w:rFonts w:ascii="宋体" w:hAnsi="宋体"/>
          <w:color w:val="000000"/>
          <w:sz w:val="28"/>
          <w:szCs w:val="28"/>
        </w:rPr>
      </w:pPr>
      <w:r>
        <w:rPr>
          <w:rFonts w:hint="eastAsia" w:ascii="宋体" w:hAnsi="宋体"/>
          <w:color w:val="000000"/>
          <w:sz w:val="28"/>
          <w:szCs w:val="28"/>
        </w:rPr>
        <w:t>因此，公司符合《上海证券交易所上市公司自律监管指引第1号—规范运作》中对高送转方案关于净利润复合增长率、每股收益、相关股东减持等要求，具备进行每10股送</w:t>
      </w:r>
      <w:r>
        <w:rPr>
          <w:rFonts w:hint="eastAsia" w:ascii="宋体" w:hAnsi="宋体" w:cs="宋体"/>
          <w:color w:val="000000"/>
          <w:sz w:val="28"/>
          <w:szCs w:val="28"/>
          <w:lang w:val="en-US" w:eastAsia="zh-CN"/>
        </w:rPr>
        <w:t>5</w:t>
      </w:r>
      <w:r>
        <w:rPr>
          <w:rFonts w:hint="eastAsia" w:ascii="宋体" w:hAnsi="宋体"/>
          <w:color w:val="000000"/>
          <w:sz w:val="28"/>
          <w:szCs w:val="28"/>
        </w:rPr>
        <w:t>股的合理性和可行性。</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（三）公司控股股东及持有公司股份的董事的表决意向</w:t>
      </w:r>
    </w:p>
    <w:p>
      <w:pPr>
        <w:spacing w:line="540" w:lineRule="exact"/>
        <w:ind w:firstLine="630"/>
        <w:rPr>
          <w:rFonts w:ascii="宋体" w:hAnsi="宋体"/>
          <w:color w:val="000000"/>
          <w:sz w:val="28"/>
          <w:szCs w:val="28"/>
        </w:rPr>
      </w:pPr>
      <w:r>
        <w:rPr>
          <w:rFonts w:hint="eastAsia" w:ascii="宋体" w:hAnsi="宋体"/>
          <w:color w:val="000000"/>
          <w:sz w:val="28"/>
          <w:szCs w:val="28"/>
        </w:rPr>
        <w:t>经征询，公司控股股东山东能源集团有限公司（“控股股东”“山东能源”）以及持有公司股份的董事均拟在公司2022年度股东周年大会审议2022年度利润分配方案时投同意票。</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（四）独立董事意见</w:t>
      </w:r>
    </w:p>
    <w:p>
      <w:pPr>
        <w:spacing w:line="540" w:lineRule="exact"/>
        <w:ind w:firstLine="630"/>
        <w:rPr>
          <w:rFonts w:ascii="宋体" w:hAnsi="宋体"/>
          <w:color w:val="000000"/>
          <w:sz w:val="28"/>
          <w:szCs w:val="28"/>
        </w:rPr>
      </w:pPr>
      <w:r>
        <w:rPr>
          <w:rFonts w:hint="eastAsia" w:ascii="宋体" w:hAnsi="宋体"/>
          <w:color w:val="000000"/>
          <w:sz w:val="28"/>
          <w:szCs w:val="28"/>
        </w:rPr>
        <w:t>独立董事审阅了公司董事会审议的《关于讨论审议公司&lt;2022年度利润分配</w:t>
      </w:r>
      <w:r>
        <w:rPr>
          <w:rFonts w:hint="eastAsia" w:ascii="宋体" w:hAnsi="宋体"/>
          <w:color w:val="000000"/>
          <w:sz w:val="28"/>
          <w:szCs w:val="28"/>
          <w:lang w:val="en-US" w:eastAsia="zh-CN"/>
        </w:rPr>
        <w:t>方案</w:t>
      </w:r>
      <w:r>
        <w:rPr>
          <w:rFonts w:hint="eastAsia" w:ascii="宋体" w:hAnsi="宋体"/>
          <w:color w:val="000000"/>
          <w:sz w:val="28"/>
          <w:szCs w:val="28"/>
        </w:rPr>
        <w:t>&gt;的议案》，发表</w:t>
      </w:r>
      <w:r>
        <w:rPr>
          <w:rFonts w:hint="eastAsia" w:ascii="宋体" w:hAnsi="宋体"/>
          <w:color w:val="000000"/>
          <w:sz w:val="28"/>
          <w:szCs w:val="28"/>
          <w:lang w:val="en-US" w:eastAsia="zh-CN"/>
        </w:rPr>
        <w:t>书面</w:t>
      </w:r>
      <w:r>
        <w:rPr>
          <w:rFonts w:hint="eastAsia" w:ascii="宋体" w:hAnsi="宋体"/>
          <w:color w:val="000000"/>
          <w:sz w:val="28"/>
          <w:szCs w:val="28"/>
        </w:rPr>
        <w:t>意见如下：</w:t>
      </w:r>
    </w:p>
    <w:p>
      <w:pPr>
        <w:spacing w:line="540" w:lineRule="exact"/>
        <w:ind w:firstLine="630"/>
        <w:rPr>
          <w:rFonts w:ascii="宋体" w:hAnsi="宋体"/>
          <w:color w:val="000000"/>
          <w:sz w:val="28"/>
          <w:szCs w:val="28"/>
        </w:rPr>
      </w:pPr>
      <w:r>
        <w:rPr>
          <w:rFonts w:hint="eastAsia" w:ascii="宋体" w:hAnsi="宋体"/>
          <w:color w:val="000000"/>
          <w:sz w:val="28"/>
          <w:szCs w:val="28"/>
        </w:rPr>
        <w:t>1.公司2022年利润分配</w:t>
      </w:r>
      <w:r>
        <w:rPr>
          <w:rFonts w:hint="eastAsia" w:ascii="宋体" w:hAnsi="宋体"/>
          <w:color w:val="000000"/>
          <w:sz w:val="28"/>
          <w:szCs w:val="28"/>
          <w:lang w:val="en-US" w:eastAsia="zh-CN"/>
        </w:rPr>
        <w:t>方案</w:t>
      </w:r>
      <w:r>
        <w:rPr>
          <w:rFonts w:hint="eastAsia" w:ascii="宋体" w:hAnsi="宋体"/>
          <w:color w:val="000000"/>
          <w:sz w:val="28"/>
          <w:szCs w:val="28"/>
        </w:rPr>
        <w:t>综合考虑了股东利益与公司可持续发展要求，符合公司实际，符合有关法律、法规和《公司章程》的规定，不存在损害公司股东特别是中小股东的利益</w:t>
      </w:r>
      <w:r>
        <w:rPr>
          <w:rFonts w:hint="eastAsia" w:ascii="宋体" w:hAnsi="宋体"/>
          <w:color w:val="000000"/>
          <w:sz w:val="28"/>
          <w:szCs w:val="28"/>
          <w:lang w:val="en-US" w:eastAsia="zh-CN"/>
        </w:rPr>
        <w:t>的情形</w:t>
      </w:r>
      <w:r>
        <w:rPr>
          <w:rFonts w:hint="eastAsia" w:ascii="宋体" w:hAnsi="宋体"/>
          <w:color w:val="000000"/>
          <w:sz w:val="28"/>
          <w:szCs w:val="28"/>
        </w:rPr>
        <w:t>。</w:t>
      </w:r>
    </w:p>
    <w:p>
      <w:pPr>
        <w:spacing w:line="540" w:lineRule="exact"/>
        <w:ind w:firstLine="630"/>
        <w:rPr>
          <w:rFonts w:ascii="宋体" w:hAnsi="宋体"/>
          <w:color w:val="000000"/>
          <w:sz w:val="28"/>
          <w:szCs w:val="28"/>
        </w:rPr>
      </w:pPr>
      <w:r>
        <w:rPr>
          <w:rFonts w:hint="eastAsia" w:ascii="宋体" w:hAnsi="宋体"/>
          <w:color w:val="000000"/>
          <w:sz w:val="28"/>
          <w:szCs w:val="28"/>
        </w:rPr>
        <w:t>2.本利润分配</w:t>
      </w:r>
      <w:r>
        <w:rPr>
          <w:rFonts w:hint="eastAsia" w:ascii="宋体" w:hAnsi="宋体"/>
          <w:color w:val="000000"/>
          <w:sz w:val="28"/>
          <w:szCs w:val="28"/>
          <w:lang w:val="en-US" w:eastAsia="zh-CN"/>
        </w:rPr>
        <w:t>方案</w:t>
      </w:r>
      <w:r>
        <w:rPr>
          <w:rFonts w:hint="eastAsia" w:ascii="宋体" w:hAnsi="宋体"/>
          <w:color w:val="000000"/>
          <w:sz w:val="28"/>
          <w:szCs w:val="28"/>
        </w:rPr>
        <w:t>符合《上市公司监管指引第3号-上市公司现金分红》《公司章程》以及公司2020-2024年度现金分红比例要求，审批程序符合有关法律、法规和《公司章程》的规定。</w:t>
      </w:r>
    </w:p>
    <w:p>
      <w:pPr>
        <w:spacing w:line="540" w:lineRule="exact"/>
        <w:ind w:firstLine="630"/>
        <w:rPr>
          <w:rFonts w:ascii="宋体" w:hAnsi="宋体"/>
          <w:color w:val="000000"/>
          <w:sz w:val="28"/>
          <w:szCs w:val="28"/>
        </w:rPr>
      </w:pPr>
      <w:r>
        <w:rPr>
          <w:rFonts w:hint="eastAsia" w:ascii="宋体" w:hAnsi="宋体"/>
          <w:color w:val="000000"/>
          <w:sz w:val="28"/>
          <w:szCs w:val="28"/>
        </w:rPr>
        <w:t>3.公司符合《上海证券交易所上市公司自律监管指引第1号—规范运作》中对高送转方案关于净利润复合增长率、每股收益、相关股东减持等相关要求，具备进行高送转的合理性和可行性，有利于扩大公司股本规模，促进公司持续稳定发展。</w:t>
      </w:r>
    </w:p>
    <w:p>
      <w:pPr>
        <w:spacing w:line="540" w:lineRule="exact"/>
        <w:ind w:firstLine="630"/>
        <w:rPr>
          <w:rFonts w:ascii="宋体" w:hAnsi="宋体"/>
          <w:color w:val="000000"/>
          <w:sz w:val="28"/>
          <w:szCs w:val="28"/>
        </w:rPr>
      </w:pPr>
      <w:r>
        <w:rPr>
          <w:rFonts w:hint="eastAsia" w:ascii="宋体" w:hAnsi="宋体"/>
          <w:color w:val="000000"/>
          <w:sz w:val="28"/>
          <w:szCs w:val="28"/>
        </w:rPr>
        <w:t>同意本次利润分配</w:t>
      </w:r>
      <w:r>
        <w:rPr>
          <w:rFonts w:hint="eastAsia" w:ascii="宋体" w:hAnsi="宋体"/>
          <w:color w:val="000000"/>
          <w:sz w:val="28"/>
          <w:szCs w:val="28"/>
          <w:lang w:val="en-US" w:eastAsia="zh-CN"/>
        </w:rPr>
        <w:t>方案</w:t>
      </w:r>
      <w:r>
        <w:rPr>
          <w:rFonts w:hint="eastAsia" w:ascii="宋体" w:hAnsi="宋体"/>
          <w:color w:val="000000"/>
          <w:sz w:val="28"/>
          <w:szCs w:val="28"/>
        </w:rPr>
        <w:t>并将本议案提交公司</w:t>
      </w:r>
      <w:r>
        <w:rPr>
          <w:rFonts w:hint="eastAsia" w:ascii="宋体" w:hAnsi="宋体"/>
          <w:color w:val="000000"/>
          <w:sz w:val="28"/>
          <w:szCs w:val="28"/>
          <w:lang w:val="en-US" w:eastAsia="zh-CN"/>
        </w:rPr>
        <w:t>第八届董事会第二十七次会议、</w:t>
      </w:r>
      <w:r>
        <w:rPr>
          <w:rFonts w:hint="eastAsia" w:ascii="宋体" w:hAnsi="宋体"/>
          <w:color w:val="000000"/>
          <w:sz w:val="28"/>
          <w:szCs w:val="28"/>
        </w:rPr>
        <w:t>2022年度股东周年大会审议。</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（五）监事会意见</w:t>
      </w:r>
    </w:p>
    <w:p>
      <w:pPr>
        <w:spacing w:line="540" w:lineRule="exact"/>
        <w:ind w:firstLine="630"/>
        <w:rPr>
          <w:rFonts w:ascii="宋体" w:hAnsi="宋体"/>
          <w:color w:val="000000"/>
          <w:sz w:val="28"/>
          <w:szCs w:val="28"/>
        </w:rPr>
      </w:pPr>
      <w:r>
        <w:rPr>
          <w:rFonts w:hint="eastAsia" w:ascii="宋体" w:hAnsi="宋体"/>
          <w:color w:val="000000"/>
          <w:sz w:val="28"/>
          <w:szCs w:val="28"/>
        </w:rPr>
        <w:t>经核查，监事会认为：公司2022年度利润分配</w:t>
      </w:r>
      <w:r>
        <w:rPr>
          <w:rFonts w:hint="eastAsia" w:ascii="宋体" w:hAnsi="宋体"/>
          <w:color w:val="000000"/>
          <w:sz w:val="28"/>
          <w:szCs w:val="28"/>
          <w:lang w:val="en-US" w:eastAsia="zh-CN"/>
        </w:rPr>
        <w:t>方案</w:t>
      </w:r>
      <w:r>
        <w:rPr>
          <w:rFonts w:hint="eastAsia" w:ascii="宋体" w:hAnsi="宋体"/>
          <w:color w:val="000000"/>
          <w:sz w:val="28"/>
          <w:szCs w:val="28"/>
        </w:rPr>
        <w:t>符合《上市公司监管指引第3号-上市公司现金分红》《公司章程》以及公司2020-2024年度现金分红比例要求，审批程序符合有关法律、法规和《公司章程》的规定。本利润分配</w:t>
      </w:r>
      <w:r>
        <w:rPr>
          <w:rFonts w:hint="eastAsia" w:ascii="宋体" w:hAnsi="宋体"/>
          <w:color w:val="000000"/>
          <w:sz w:val="28"/>
          <w:szCs w:val="28"/>
          <w:lang w:val="en-US" w:eastAsia="zh-CN"/>
        </w:rPr>
        <w:t>方案</w:t>
      </w:r>
      <w:r>
        <w:rPr>
          <w:rFonts w:hint="eastAsia" w:ascii="宋体" w:hAnsi="宋体"/>
          <w:color w:val="000000"/>
          <w:sz w:val="28"/>
          <w:szCs w:val="28"/>
        </w:rPr>
        <w:t>综合考虑了公司的实际经营情况、未来业务发展等因素，兼顾公司的可持续发展和股东的合理回报需求，不存在损害公司及股东利益的情形。</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三、公司控股股东及董事、监事、高级管理人员持股变动情况与减持计划</w:t>
      </w:r>
    </w:p>
    <w:p>
      <w:pPr>
        <w:spacing w:line="540" w:lineRule="exact"/>
        <w:ind w:firstLine="630"/>
        <w:rPr>
          <w:rFonts w:ascii="宋体" w:hAnsi="宋体"/>
          <w:color w:val="000000"/>
          <w:sz w:val="28"/>
          <w:szCs w:val="28"/>
        </w:rPr>
      </w:pPr>
      <w:r>
        <w:rPr>
          <w:rFonts w:hint="eastAsia" w:ascii="宋体" w:hAnsi="宋体"/>
          <w:color w:val="000000"/>
          <w:sz w:val="28"/>
          <w:szCs w:val="28"/>
        </w:rPr>
        <w:t>公司董事、监事、高级管理人员在董事会审议高送转事项之前6个月内无持股变动。公司控股股东在董事会审议高送转事项之前3个月内也无持股变动。</w:t>
      </w:r>
    </w:p>
    <w:p>
      <w:pPr>
        <w:spacing w:line="540" w:lineRule="exact"/>
        <w:ind w:firstLine="630"/>
        <w:rPr>
          <w:rFonts w:ascii="宋体" w:hAnsi="宋体"/>
          <w:color w:val="000000"/>
          <w:sz w:val="28"/>
          <w:szCs w:val="28"/>
        </w:rPr>
      </w:pPr>
      <w:r>
        <w:rPr>
          <w:rFonts w:hint="eastAsia" w:ascii="宋体" w:hAnsi="宋体"/>
          <w:color w:val="000000"/>
          <w:sz w:val="28"/>
          <w:szCs w:val="28"/>
        </w:rPr>
        <w:t>公司董事、监事、高级管理人员自董事会审议高送转事项之日起未来6个月内无减持公司股票的计划。</w:t>
      </w:r>
    </w:p>
    <w:p>
      <w:pPr>
        <w:spacing w:line="540" w:lineRule="exact"/>
        <w:ind w:firstLine="630"/>
        <w:rPr>
          <w:rFonts w:ascii="宋体" w:hAnsi="宋体"/>
          <w:color w:val="000000"/>
          <w:sz w:val="28"/>
          <w:szCs w:val="28"/>
        </w:rPr>
      </w:pPr>
      <w:r>
        <w:rPr>
          <w:rFonts w:hint="eastAsia" w:ascii="宋体" w:hAnsi="宋体"/>
          <w:color w:val="000000"/>
          <w:sz w:val="28"/>
          <w:szCs w:val="28"/>
        </w:rPr>
        <w:t>公司控股股东发行的“山东能源集团有限公司2022年面向专业投资者非公开发行可交换公司债券（第一期）”已于2022年10月进入换股期，投资者有权将其持有的山东能源可交换公司债券交换为兖矿能源股票。如投资者实施换股，山东能源持有的兖矿能源股票将相应减少。除上述情况外，控股股东在未来3个月内及6个月内均无减持所持有的兖矿能源股票的计划。</w:t>
      </w:r>
    </w:p>
    <w:p>
      <w:pPr>
        <w:spacing w:line="540" w:lineRule="exact"/>
        <w:ind w:firstLine="630"/>
        <w:rPr>
          <w:rFonts w:ascii="宋体" w:hAnsi="宋体"/>
          <w:b/>
          <w:bCs/>
          <w:color w:val="000000"/>
          <w:sz w:val="28"/>
          <w:szCs w:val="28"/>
        </w:rPr>
      </w:pPr>
      <w:r>
        <w:rPr>
          <w:rFonts w:hint="eastAsia" w:ascii="宋体" w:hAnsi="宋体"/>
          <w:b/>
          <w:bCs/>
          <w:color w:val="000000"/>
          <w:sz w:val="28"/>
          <w:szCs w:val="28"/>
        </w:rPr>
        <w:t>四、相关风险提示</w:t>
      </w:r>
    </w:p>
    <w:p>
      <w:pPr>
        <w:spacing w:line="540" w:lineRule="exact"/>
        <w:ind w:firstLine="630"/>
        <w:rPr>
          <w:rFonts w:ascii="宋体" w:hAnsi="宋体"/>
          <w:color w:val="000000"/>
          <w:sz w:val="28"/>
          <w:szCs w:val="28"/>
        </w:rPr>
      </w:pPr>
      <w:r>
        <w:rPr>
          <w:rFonts w:hint="eastAsia" w:ascii="宋体" w:hAnsi="宋体"/>
          <w:color w:val="000000"/>
          <w:sz w:val="28"/>
          <w:szCs w:val="28"/>
        </w:rPr>
        <w:t>（一）本次利润分配方案、高送转事项尚需提交公司2022年度股东周年大会审议，待审议通过后方可实施。</w:t>
      </w:r>
    </w:p>
    <w:p>
      <w:pPr>
        <w:spacing w:line="540" w:lineRule="exact"/>
        <w:ind w:firstLine="630"/>
        <w:rPr>
          <w:rFonts w:ascii="宋体" w:hAnsi="宋体"/>
          <w:color w:val="000000"/>
          <w:sz w:val="28"/>
          <w:szCs w:val="28"/>
        </w:rPr>
      </w:pPr>
      <w:r>
        <w:rPr>
          <w:rFonts w:hint="eastAsia" w:ascii="宋体" w:hAnsi="宋体"/>
          <w:color w:val="000000"/>
          <w:sz w:val="28"/>
          <w:szCs w:val="28"/>
        </w:rPr>
        <w:t>（二）本次高送转对公司股东享有的净资产权益及其持股比例不会产生实质性影响，请投资者理性判断，并注意相关投资风险。</w:t>
      </w:r>
    </w:p>
    <w:p>
      <w:pPr>
        <w:spacing w:line="540" w:lineRule="exact"/>
        <w:ind w:firstLine="630"/>
        <w:rPr>
          <w:rFonts w:ascii="宋体" w:hAnsi="宋体"/>
          <w:color w:val="000000"/>
          <w:sz w:val="28"/>
          <w:szCs w:val="28"/>
        </w:rPr>
      </w:pPr>
    </w:p>
    <w:p>
      <w:pPr>
        <w:spacing w:line="540" w:lineRule="exact"/>
        <w:ind w:firstLine="630"/>
        <w:rPr>
          <w:rFonts w:ascii="宋体" w:hAnsi="宋体"/>
          <w:color w:val="000000"/>
          <w:sz w:val="28"/>
          <w:szCs w:val="28"/>
        </w:rPr>
      </w:pPr>
      <w:r>
        <w:rPr>
          <w:rFonts w:hint="eastAsia" w:ascii="宋体" w:hAnsi="宋体"/>
          <w:color w:val="000000"/>
          <w:sz w:val="28"/>
          <w:szCs w:val="28"/>
        </w:rPr>
        <w:t>特此公告。</w:t>
      </w:r>
    </w:p>
    <w:p>
      <w:pPr>
        <w:spacing w:line="540" w:lineRule="exact"/>
        <w:ind w:firstLine="630"/>
        <w:rPr>
          <w:rFonts w:ascii="宋体" w:hAnsi="宋体"/>
          <w:color w:val="000000"/>
          <w:sz w:val="28"/>
          <w:szCs w:val="28"/>
        </w:rPr>
      </w:pPr>
    </w:p>
    <w:p>
      <w:pPr>
        <w:spacing w:line="540" w:lineRule="exact"/>
        <w:ind w:firstLine="630"/>
        <w:rPr>
          <w:rFonts w:ascii="宋体" w:hAnsi="宋体"/>
          <w:color w:val="000000"/>
          <w:sz w:val="28"/>
          <w:szCs w:val="28"/>
        </w:rPr>
      </w:pPr>
    </w:p>
    <w:p>
      <w:pPr>
        <w:adjustRightInd w:val="0"/>
        <w:snapToGrid w:val="0"/>
        <w:spacing w:line="560" w:lineRule="exact"/>
        <w:ind w:firstLine="4480" w:firstLineChars="1600"/>
        <w:rPr>
          <w:rFonts w:ascii="宋体" w:hAnsi="宋体"/>
          <w:color w:val="000000"/>
          <w:sz w:val="28"/>
          <w:szCs w:val="28"/>
        </w:rPr>
      </w:pPr>
      <w:r>
        <w:rPr>
          <w:rFonts w:hint="eastAsia" w:ascii="宋体" w:hAnsi="宋体"/>
          <w:color w:val="000000"/>
          <w:sz w:val="28"/>
          <w:szCs w:val="28"/>
        </w:rPr>
        <w:t>兖矿能源集团股份有限公司董事会</w:t>
      </w:r>
    </w:p>
    <w:p>
      <w:pPr>
        <w:adjustRightInd w:val="0"/>
        <w:snapToGrid w:val="0"/>
        <w:spacing w:line="560" w:lineRule="exact"/>
        <w:ind w:firstLine="5600" w:firstLineChars="2000"/>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23</w:t>
      </w:r>
      <w:r>
        <w:rPr>
          <w:rFonts w:hint="eastAsia" w:ascii="宋体" w:hAnsi="宋体"/>
          <w:color w:val="000000"/>
          <w:sz w:val="28"/>
          <w:szCs w:val="28"/>
        </w:rPr>
        <w:t>年3月24日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创艺简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M2FlMjVjNzYyMDU0Yzg2MzZkNWJlYTEzMTViODUifQ=="/>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2BBC"/>
    <w:rsid w:val="00056597"/>
    <w:rsid w:val="00056E40"/>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429A"/>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67E07"/>
    <w:rsid w:val="001702E8"/>
    <w:rsid w:val="001710E6"/>
    <w:rsid w:val="001723C6"/>
    <w:rsid w:val="00172B92"/>
    <w:rsid w:val="00174DB2"/>
    <w:rsid w:val="0017535D"/>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E5AE2"/>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1F21"/>
    <w:rsid w:val="00342EC4"/>
    <w:rsid w:val="003468C1"/>
    <w:rsid w:val="003475E3"/>
    <w:rsid w:val="003504E3"/>
    <w:rsid w:val="003517CB"/>
    <w:rsid w:val="00353B50"/>
    <w:rsid w:val="00354828"/>
    <w:rsid w:val="00356C7A"/>
    <w:rsid w:val="0036105B"/>
    <w:rsid w:val="00361481"/>
    <w:rsid w:val="00362AB2"/>
    <w:rsid w:val="00362B84"/>
    <w:rsid w:val="00365905"/>
    <w:rsid w:val="00367782"/>
    <w:rsid w:val="00370C02"/>
    <w:rsid w:val="0037169E"/>
    <w:rsid w:val="0037171C"/>
    <w:rsid w:val="003727D6"/>
    <w:rsid w:val="0037389C"/>
    <w:rsid w:val="00382979"/>
    <w:rsid w:val="003832E6"/>
    <w:rsid w:val="00383CEA"/>
    <w:rsid w:val="00386052"/>
    <w:rsid w:val="003866E8"/>
    <w:rsid w:val="00390DB7"/>
    <w:rsid w:val="0039344E"/>
    <w:rsid w:val="0039366A"/>
    <w:rsid w:val="003977B7"/>
    <w:rsid w:val="00397E1A"/>
    <w:rsid w:val="003A2833"/>
    <w:rsid w:val="003B4E49"/>
    <w:rsid w:val="003B6E18"/>
    <w:rsid w:val="003C0976"/>
    <w:rsid w:val="003C323D"/>
    <w:rsid w:val="003C5316"/>
    <w:rsid w:val="003D2F8D"/>
    <w:rsid w:val="003D41D0"/>
    <w:rsid w:val="003D4C2D"/>
    <w:rsid w:val="003D6483"/>
    <w:rsid w:val="003D69B9"/>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1198"/>
    <w:rsid w:val="00435781"/>
    <w:rsid w:val="0044668E"/>
    <w:rsid w:val="00450237"/>
    <w:rsid w:val="00450DA1"/>
    <w:rsid w:val="004547D2"/>
    <w:rsid w:val="00455889"/>
    <w:rsid w:val="00461A88"/>
    <w:rsid w:val="00464520"/>
    <w:rsid w:val="00467F4B"/>
    <w:rsid w:val="00470AE7"/>
    <w:rsid w:val="00470CA9"/>
    <w:rsid w:val="00471C27"/>
    <w:rsid w:val="00471FC9"/>
    <w:rsid w:val="00472A24"/>
    <w:rsid w:val="0047354B"/>
    <w:rsid w:val="004777C3"/>
    <w:rsid w:val="004803DD"/>
    <w:rsid w:val="00481DBE"/>
    <w:rsid w:val="00482903"/>
    <w:rsid w:val="00485459"/>
    <w:rsid w:val="00486F95"/>
    <w:rsid w:val="004935A1"/>
    <w:rsid w:val="004A278C"/>
    <w:rsid w:val="004A343E"/>
    <w:rsid w:val="004A41D3"/>
    <w:rsid w:val="004A6538"/>
    <w:rsid w:val="004A6667"/>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B2665"/>
    <w:rsid w:val="005B5482"/>
    <w:rsid w:val="005B7EC3"/>
    <w:rsid w:val="005C147B"/>
    <w:rsid w:val="005C2F10"/>
    <w:rsid w:val="005C4795"/>
    <w:rsid w:val="005C5A2A"/>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1CAF"/>
    <w:rsid w:val="00695716"/>
    <w:rsid w:val="00696B88"/>
    <w:rsid w:val="00697447"/>
    <w:rsid w:val="006A1145"/>
    <w:rsid w:val="006A19E1"/>
    <w:rsid w:val="006A3B24"/>
    <w:rsid w:val="006B4BC2"/>
    <w:rsid w:val="006B5268"/>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4943"/>
    <w:rsid w:val="0078750B"/>
    <w:rsid w:val="00793A51"/>
    <w:rsid w:val="007944F2"/>
    <w:rsid w:val="00794620"/>
    <w:rsid w:val="00794C77"/>
    <w:rsid w:val="00795BF6"/>
    <w:rsid w:val="007A1165"/>
    <w:rsid w:val="007A2AC9"/>
    <w:rsid w:val="007A5ACB"/>
    <w:rsid w:val="007A5FC6"/>
    <w:rsid w:val="007A6B1B"/>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57BF"/>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3A2C"/>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1A2D"/>
    <w:rsid w:val="0090211E"/>
    <w:rsid w:val="0090511B"/>
    <w:rsid w:val="00906C92"/>
    <w:rsid w:val="00913BDF"/>
    <w:rsid w:val="009204E7"/>
    <w:rsid w:val="009210CF"/>
    <w:rsid w:val="00922772"/>
    <w:rsid w:val="00923ED4"/>
    <w:rsid w:val="00927C54"/>
    <w:rsid w:val="009307E8"/>
    <w:rsid w:val="00930BDD"/>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4D21"/>
    <w:rsid w:val="009C5C9F"/>
    <w:rsid w:val="009C6448"/>
    <w:rsid w:val="009C74B0"/>
    <w:rsid w:val="009D2963"/>
    <w:rsid w:val="009D2CCF"/>
    <w:rsid w:val="009D2EF6"/>
    <w:rsid w:val="009D35C0"/>
    <w:rsid w:val="009D73F1"/>
    <w:rsid w:val="009D7E9A"/>
    <w:rsid w:val="009D7EA2"/>
    <w:rsid w:val="009E42CB"/>
    <w:rsid w:val="009E4682"/>
    <w:rsid w:val="009E4D5A"/>
    <w:rsid w:val="009E5693"/>
    <w:rsid w:val="009E7113"/>
    <w:rsid w:val="009E7CB4"/>
    <w:rsid w:val="009F07B8"/>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1C7B"/>
    <w:rsid w:val="00B42464"/>
    <w:rsid w:val="00B42D22"/>
    <w:rsid w:val="00B44564"/>
    <w:rsid w:val="00B51371"/>
    <w:rsid w:val="00B60411"/>
    <w:rsid w:val="00B60906"/>
    <w:rsid w:val="00B63297"/>
    <w:rsid w:val="00B63472"/>
    <w:rsid w:val="00B7141E"/>
    <w:rsid w:val="00B73D7D"/>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5634"/>
    <w:rsid w:val="00C05DEC"/>
    <w:rsid w:val="00C07942"/>
    <w:rsid w:val="00C07CAB"/>
    <w:rsid w:val="00C1004E"/>
    <w:rsid w:val="00C10305"/>
    <w:rsid w:val="00C13779"/>
    <w:rsid w:val="00C14E3C"/>
    <w:rsid w:val="00C16ECD"/>
    <w:rsid w:val="00C1713D"/>
    <w:rsid w:val="00C236B2"/>
    <w:rsid w:val="00C268EA"/>
    <w:rsid w:val="00C27170"/>
    <w:rsid w:val="00C30320"/>
    <w:rsid w:val="00C346EF"/>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61EF"/>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D7B3D"/>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75A9"/>
    <w:rsid w:val="00E41C44"/>
    <w:rsid w:val="00E45BB3"/>
    <w:rsid w:val="00E5124D"/>
    <w:rsid w:val="00E51F9A"/>
    <w:rsid w:val="00E520CE"/>
    <w:rsid w:val="00E52A71"/>
    <w:rsid w:val="00E55F70"/>
    <w:rsid w:val="00E57253"/>
    <w:rsid w:val="00E5771C"/>
    <w:rsid w:val="00E578B9"/>
    <w:rsid w:val="00E60BA0"/>
    <w:rsid w:val="00E6217F"/>
    <w:rsid w:val="00E63007"/>
    <w:rsid w:val="00E63088"/>
    <w:rsid w:val="00E63D89"/>
    <w:rsid w:val="00E649AD"/>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3A54"/>
    <w:rsid w:val="00F2524B"/>
    <w:rsid w:val="00F259FF"/>
    <w:rsid w:val="00F260E9"/>
    <w:rsid w:val="00F2675B"/>
    <w:rsid w:val="00F313B8"/>
    <w:rsid w:val="00F3237F"/>
    <w:rsid w:val="00F32597"/>
    <w:rsid w:val="00F3646B"/>
    <w:rsid w:val="00F42221"/>
    <w:rsid w:val="00F43DDB"/>
    <w:rsid w:val="00F44480"/>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0A78AE"/>
    <w:rsid w:val="021D4C24"/>
    <w:rsid w:val="03C2777E"/>
    <w:rsid w:val="065310FB"/>
    <w:rsid w:val="0D786450"/>
    <w:rsid w:val="0F4A3B35"/>
    <w:rsid w:val="1130228A"/>
    <w:rsid w:val="176470DA"/>
    <w:rsid w:val="182D487C"/>
    <w:rsid w:val="18515C19"/>
    <w:rsid w:val="1A2A65EF"/>
    <w:rsid w:val="234A2E0A"/>
    <w:rsid w:val="3546393E"/>
    <w:rsid w:val="36DE740B"/>
    <w:rsid w:val="3A472CC1"/>
    <w:rsid w:val="3CDA16AD"/>
    <w:rsid w:val="48947988"/>
    <w:rsid w:val="50F477D1"/>
    <w:rsid w:val="553A75EB"/>
    <w:rsid w:val="57B80539"/>
    <w:rsid w:val="5C64411C"/>
    <w:rsid w:val="5D5D3774"/>
    <w:rsid w:val="5DE007BC"/>
    <w:rsid w:val="69A77D86"/>
    <w:rsid w:val="74CD7841"/>
    <w:rsid w:val="75CD7A22"/>
    <w:rsid w:val="76FF13B0"/>
    <w:rsid w:val="77023B8A"/>
    <w:rsid w:val="7B2A7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修订2"/>
    <w:hidden/>
    <w:semiHidden/>
    <w:qFormat/>
    <w:uiPriority w:val="99"/>
    <w:rPr>
      <w:rFonts w:ascii="Times New Roman" w:hAnsi="Times New Roman" w:eastAsia="宋体" w:cs="Times New Roman"/>
      <w:kern w:val="2"/>
      <w:sz w:val="21"/>
      <w:lang w:val="en-US" w:eastAsia="zh-CN" w:bidi="ar-SA"/>
    </w:rPr>
  </w:style>
  <w:style w:type="paragraph" w:customStyle="1" w:styleId="33">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C7D1B-EA1F-444C-896D-E5E7F2382914}">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6</Pages>
  <Words>2829</Words>
  <Characters>3093</Characters>
  <Lines>22</Lines>
  <Paragraphs>6</Paragraphs>
  <TotalTime>3</TotalTime>
  <ScaleCrop>false</ScaleCrop>
  <LinksUpToDate>false</LinksUpToDate>
  <CharactersWithSpaces>3125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2023-03-16T11:53:00Z</dcterms:created>
  <dc:creator>lx</dc:creator>
  <cp:lastModifiedBy>金建德</cp:lastModifiedBy>
  <cp:lastPrinted>2023-03-24T00:16:00Z</cp:lastPrinted>
  <dcterms:modified xsi:type="dcterms:W3CDTF">2023-03-24T01:43:02Z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otCYQxs9Dbw2bUEn/Soxv9pYAoWsCRIsU8+gIbxzzmNcJN13+qHIPyWmbF9hFzPHyi2m8DLwi54E5OVVM5pJ0yGmgAiYTaR6oYUdYZxdjep6I9xviFUFZ9aTScfBW9OGmouuvnHj166AHm7gbEGOCTK2JF8fScdsbxqCeviXbYM4erf83/iKOJxmIExlSgr/0jtjcI4TX/O7+uMIDbEj0teSI5uyA1qVq7xUCi2xjr3/JKIRVOEzgXwUpPXU1Vf</vt:lpwstr>
  </property>
  <property fmtid="{D5CDD505-2E9C-101B-9397-08002B2CF9AE}" pid="3" name="KSOProductBuildVer">
    <vt:lpwstr>2052-11.1.0.12650</vt:lpwstr>
  </property>
  <property fmtid="{D5CDD505-2E9C-101B-9397-08002B2CF9AE}" pid="4" name="ICV">
    <vt:lpwstr>770DA78EDDA74AA6874B1D428BAB7042</vt:lpwstr>
  </property>
</Properties>
</file>