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\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_rels\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\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\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\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\itemProps2.xml><?xml version="1.0" encoding="utf-8"?>
<ds:datastoreItem xmlns:ds="http://schemas.openxmlformats.org/officeDocument/2006/customXml" ds:itemID="{6DEC070B-DFC7-4BFD-A2F0-A267317861A8}">
  <ds:schemaRefs/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308</Words>
  <Characters>427</Characters>
  <Lines>4</Lines>
  <Paragraphs>1</Paragraphs>
  <TotalTime>42</TotalTime>
  <ScaleCrop>false</ScaleCrop>
  <LinksUpToDate>false</LinksUpToDate>
  <CharactersWithSpaces>453</CharactersWithSpaces>
  <Application>WPS Office_12.1.0.26895_F1E327BC-269C-435d-A152-05C5408002CA</Application>
  <DocSecurity>0</DocSecurity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2017-10-17T08:27:00Z</dcterms:created>
  <dc:creator>yzc_panst</dc:creator>
  <cp:lastModifiedBy>熊振中</cp:lastModifiedBy>
  <cp:lastPrinted>2025-07-15T09:55:00Z</cp:lastPrinted>
  <dcterms:modified xsi:type="dcterms:W3CDTF">2026-07-20T03:11:31Z</dcterms:modified>
  <dc:title>股票代码：600188             股票简称：兖州煤业             编号：临2008-0●</dc:title>
  <cp:revision>35</cp:revision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5B77E7CEEC58BC6AFAE8886BEB80DBEB">
    <vt:lpwstr>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</vt:lpwstr>
  </property>
  <property fmtid="{D5CDD505-2E9C-101B-9397-08002B2CF9AE}" pid="4" name="ICV">
    <vt:lpwstr>7CD02FCA88EF4C75A207EE34FFDDA9B1_13</vt:lpwstr>
  </property>
  <property fmtid="{D5CDD505-2E9C-101B-9397-08002B2CF9AE}" pid="5" name="KSOTemplateDocerSaveRecord">
    <vt:lpwstr>eyJoZGlkIjoiMTJmNjI5ZDMzZDJmMmM0Njk4MWYzM2M0OTIxMDExMjIiLCJ1c2VySWQiOiIxNDc5NjU3MTM3In0=</vt:lpwstr>
  </property>
</Properties>
</file>

<file path=word\_rels\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4A8EA">
      <w:pPr>
        <w:jc w:val="center"/>
        <w:rPr>
          <w:rFonts w:hint="default" w:eastAsia="黑体"/>
          <w:lang w:val="en-US" w:eastAsia="zh-CN"/>
        </w:rPr>
      </w:pPr>
      <w:r>
        <w:rPr>
          <w:rFonts w:eastAsia="黑体"/>
        </w:rPr>
        <w:t>股票代码：600188            股票简称：</w:t>
      </w:r>
      <w:r>
        <w:rPr>
          <w:rFonts w:hint="eastAsia" w:eastAsia="黑体"/>
        </w:rPr>
        <w:t>兖矿</w:t>
      </w:r>
      <w:r>
        <w:rPr>
          <w:rFonts w:eastAsia="黑体"/>
        </w:rPr>
        <w:t>能源</w:t>
      </w:r>
      <w:r>
        <w:rPr>
          <w:rFonts w:hint="eastAsia" w:eastAsia="黑体"/>
        </w:rPr>
        <w:t xml:space="preserve">             </w:t>
      </w:r>
      <w:r>
        <w:rPr>
          <w:rFonts w:eastAsia="黑体"/>
        </w:rPr>
        <w:t>编号：临</w:t>
      </w:r>
      <w:r>
        <w:rPr>
          <w:rFonts w:hint="eastAsia" w:ascii="黑体" w:hAnsi="黑体" w:eastAsia="黑体" w:cs="黑体"/>
        </w:rPr>
        <w:t>202</w:t>
      </w:r>
      <w:r>
        <w:rPr>
          <w:rFonts w:hint="eastAsia" w:ascii="黑体" w:hAnsi="黑体" w:eastAsia="黑体" w:cs="黑体"/>
          <w:lang w:val="en-US" w:eastAsia="zh-CN"/>
        </w:rPr>
        <w:t>6</w:t>
      </w:r>
      <w:r>
        <w:rPr>
          <w:rFonts w:hint="eastAsia" w:ascii="黑体" w:hAnsi="黑体" w:eastAsia="黑体" w:cs="黑体"/>
        </w:rPr>
        <w:t>-</w:t>
      </w:r>
      <w:r>
        <w:rPr>
          <w:rFonts w:hint="eastAsia" w:ascii="黑体" w:hAnsi="黑体" w:eastAsia="黑体" w:cs="黑体"/>
          <w:lang w:val="en-US" w:eastAsia="zh-CN"/>
        </w:rPr>
        <w:t>063</w:t>
      </w:r>
      <w:bookmarkStart w:id="1" w:name="_GoBack"/>
      <w:bookmarkEnd w:id="1"/>
    </w:p>
    <w:p w14:paraId="4C79951F">
      <w:pPr>
        <w:rPr>
          <w:rFonts w:eastAsia="黑体"/>
        </w:rPr>
      </w:pPr>
    </w:p>
    <w:p w14:paraId="0BBACB54">
      <w:pPr>
        <w:spacing w:line="500" w:lineRule="exact"/>
        <w:jc w:val="center"/>
        <w:rPr>
          <w:rFonts w:ascii="黑体" w:eastAsia="黑体"/>
          <w:b/>
          <w:bCs/>
          <w:color w:val="FF0000"/>
          <w:sz w:val="36"/>
          <w:szCs w:val="36"/>
        </w:rPr>
      </w:pPr>
      <w:bookmarkStart w:id="0" w:name="OLE_LINK1"/>
      <w:r>
        <w:rPr>
          <w:rFonts w:hint="eastAsia" w:ascii="黑体" w:eastAsia="黑体"/>
          <w:b/>
          <w:bCs/>
          <w:color w:val="FF0000"/>
          <w:sz w:val="36"/>
          <w:szCs w:val="36"/>
        </w:rPr>
        <w:t>兖矿能源集团股份有限公司</w:t>
      </w:r>
    </w:p>
    <w:p w14:paraId="1C11F8C9">
      <w:pPr>
        <w:spacing w:line="420" w:lineRule="exact"/>
        <w:jc w:val="center"/>
        <w:rPr>
          <w:rFonts w:ascii="黑体" w:eastAsia="黑体"/>
          <w:b/>
          <w:bCs/>
          <w:color w:val="FF0000"/>
          <w:sz w:val="36"/>
          <w:szCs w:val="36"/>
        </w:rPr>
      </w:pPr>
      <w:r>
        <w:rPr>
          <w:rFonts w:hint="eastAsia" w:ascii="黑体" w:eastAsia="黑体"/>
          <w:b/>
          <w:bCs/>
          <w:color w:val="FF0000"/>
          <w:sz w:val="36"/>
          <w:szCs w:val="36"/>
        </w:rPr>
        <w:t>境外控股子公司发布20</w:t>
      </w:r>
      <w:r>
        <w:rPr>
          <w:rFonts w:ascii="黑体" w:eastAsia="黑体"/>
          <w:b/>
          <w:bCs/>
          <w:color w:val="FF0000"/>
          <w:sz w:val="36"/>
          <w:szCs w:val="36"/>
        </w:rPr>
        <w:t>2</w:t>
      </w:r>
      <w:r>
        <w:rPr>
          <w:rFonts w:hint="eastAsia" w:ascii="黑体" w:eastAsia="黑体"/>
          <w:b/>
          <w:bCs/>
          <w:color w:val="FF0000"/>
          <w:sz w:val="36"/>
          <w:szCs w:val="36"/>
          <w:lang w:val="en-US" w:eastAsia="zh-CN"/>
        </w:rPr>
        <w:t>6</w:t>
      </w:r>
      <w:r>
        <w:rPr>
          <w:rFonts w:hint="eastAsia" w:ascii="黑体" w:eastAsia="黑体"/>
          <w:b/>
          <w:bCs/>
          <w:color w:val="FF0000"/>
          <w:sz w:val="36"/>
          <w:szCs w:val="36"/>
        </w:rPr>
        <w:t>年第二季度产量销量</w:t>
      </w:r>
      <w:bookmarkEnd w:id="0"/>
    </w:p>
    <w:p w14:paraId="46999A2A">
      <w:pPr>
        <w:spacing w:line="420" w:lineRule="exact"/>
        <w:jc w:val="center"/>
        <w:rPr>
          <w:rFonts w:eastAsia="黑体"/>
          <w:bCs/>
          <w:sz w:val="32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236855</wp:posOffset>
                </wp:positionV>
                <wp:extent cx="5372100" cy="1072515"/>
                <wp:effectExtent l="4445" t="4445" r="14605" b="889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DB5A155">
                            <w:pPr>
                              <w:adjustRightInd w:val="0"/>
                              <w:snapToGrid w:val="0"/>
                              <w:spacing w:line="480" w:lineRule="exact"/>
                              <w:ind w:firstLine="560" w:firstLineChars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本公司董事会及全体董事保证本公告内容不存在任何虚假记载、误导性陈述或者重大遗漏，并对其内容的真实性、准确性和完整性承担法律责任。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pt;margin-top:18.65pt;height:84.45pt;width:423pt;z-index:251660288;mso-width-relative:page;mso-height-relative:page;" fillcolor="#FFFFFF" filled="t" stroked="t" coordsize="21600,21600" o:gfxdata="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jPzc3XAAAABwEAAA8AAAAAAAAAAQAgAAAAIgAA&#10;AGRycy9kb3ducmV2LnhtbFBLAQIUABQAAAAIAIdO4kCt8S5bCQIAADcEAAAOAAAAAAAAAAEAIAAA&#10;ACYBAABkcnMvZTJvRG9jLnhtbFBLBQYAAAAABgAGAFkBAACh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DB5A155">
                      <w:pPr>
                        <w:adjustRightInd w:val="0"/>
                        <w:snapToGrid w:val="0"/>
                        <w:spacing w:line="480" w:lineRule="exact"/>
                        <w:ind w:firstLine="560" w:firstLineChars="200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本公司董事会及全体董事保证本公告内容不存在任何虚假记载、误导性陈述或者重大遗漏，并对其内容的真实性、准确性和完整性承担法律责任。</w:t>
                      </w:r>
                    </w:p>
                  </w:txbxContent>
                </v:textbox>
              </v:shape>
            </w:pict>
          </mc:Fallback>
        </mc:AlternateContent>
      </w:r>
    </w:p>
    <w:p w14:paraId="467BABAC">
      <w:pPr>
        <w:ind w:firstLine="420" w:firstLineChars="200"/>
      </w:pPr>
    </w:p>
    <w:p w14:paraId="3BF9F42F">
      <w:pPr>
        <w:ind w:firstLine="420" w:firstLineChars="200"/>
      </w:pPr>
    </w:p>
    <w:p w14:paraId="146E98CE">
      <w:pPr>
        <w:ind w:firstLine="420" w:firstLineChars="200"/>
      </w:pPr>
    </w:p>
    <w:p w14:paraId="224C6D6D">
      <w:pPr>
        <w:ind w:firstLine="560" w:firstLineChars="200"/>
        <w:rPr>
          <w:sz w:val="28"/>
        </w:rPr>
      </w:pPr>
    </w:p>
    <w:p w14:paraId="7B79F997">
      <w:pPr>
        <w:spacing w:line="500" w:lineRule="exact"/>
        <w:rPr>
          <w:sz w:val="28"/>
        </w:rPr>
      </w:pPr>
    </w:p>
    <w:p w14:paraId="4A96B116">
      <w:pPr>
        <w:spacing w:line="500" w:lineRule="exact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兖矿能源集团股份有限公司控股子公司兖煤澳大利亚有限公司（“兖煤澳洲公司”，澳大利亚证券交易所上市代码“YAL”、香港联合交易所有限公司上市代码“03668”）发布了20</w:t>
      </w:r>
      <w:r>
        <w:rPr>
          <w:rFonts w:ascii="宋体" w:hAnsi="宋体"/>
          <w:sz w:val="28"/>
        </w:rPr>
        <w:t>2</w:t>
      </w:r>
      <w:r>
        <w:rPr>
          <w:rFonts w:hint="eastAsia" w:ascii="宋体" w:hAnsi="宋体"/>
          <w:sz w:val="28"/>
          <w:lang w:val="en-US" w:eastAsia="zh-CN"/>
        </w:rPr>
        <w:t>6</w:t>
      </w:r>
      <w:r>
        <w:rPr>
          <w:rFonts w:hint="eastAsia" w:ascii="宋体" w:hAnsi="宋体"/>
          <w:sz w:val="28"/>
        </w:rPr>
        <w:t>年第</w:t>
      </w:r>
      <w:r>
        <w:rPr>
          <w:rFonts w:hint="eastAsia" w:ascii="宋体" w:hAnsi="宋体"/>
          <w:sz w:val="28"/>
          <w:lang w:val="en-US" w:eastAsia="zh-CN"/>
        </w:rPr>
        <w:t>二</w:t>
      </w:r>
      <w:r>
        <w:rPr>
          <w:rFonts w:hint="eastAsia" w:ascii="宋体" w:hAnsi="宋体"/>
          <w:sz w:val="28"/>
        </w:rPr>
        <w:t>季度运营数据公告，主要情况如下表：</w:t>
      </w:r>
    </w:p>
    <w:p w14:paraId="24F03BA3">
      <w:pPr>
        <w:spacing w:line="500" w:lineRule="exact"/>
        <w:ind w:firstLine="6864" w:firstLineChars="3256"/>
        <w:rPr>
          <w:b/>
          <w:szCs w:val="21"/>
        </w:rPr>
      </w:pPr>
      <w:r>
        <w:rPr>
          <w:rFonts w:hint="eastAsia"/>
          <w:b/>
          <w:szCs w:val="21"/>
        </w:rPr>
        <w:t>单位：百万吨</w:t>
      </w:r>
    </w:p>
    <w:tbl>
      <w:tblPr>
        <w:tblStyle w:val="8"/>
        <w:tblW w:w="9271" w:type="dxa"/>
        <w:tblInd w:w="-3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1134"/>
        <w:gridCol w:w="1052"/>
        <w:gridCol w:w="1017"/>
        <w:gridCol w:w="1134"/>
        <w:gridCol w:w="1134"/>
        <w:gridCol w:w="1191"/>
      </w:tblGrid>
      <w:tr w14:paraId="1F674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609" w:type="dxa"/>
            <w:vMerge w:val="restart"/>
            <w:vAlign w:val="center"/>
          </w:tcPr>
          <w:p w14:paraId="0304CA76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203" w:type="dxa"/>
            <w:gridSpan w:val="3"/>
            <w:vAlign w:val="center"/>
          </w:tcPr>
          <w:p w14:paraId="654F7A2B"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第二季度</w:t>
            </w:r>
          </w:p>
        </w:tc>
        <w:tc>
          <w:tcPr>
            <w:tcW w:w="3459" w:type="dxa"/>
            <w:gridSpan w:val="3"/>
            <w:vAlign w:val="center"/>
          </w:tcPr>
          <w:p w14:paraId="366DAD3F"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上半年</w:t>
            </w:r>
          </w:p>
        </w:tc>
      </w:tr>
      <w:tr w14:paraId="60448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609" w:type="dxa"/>
            <w:vMerge w:val="continue"/>
            <w:vAlign w:val="center"/>
          </w:tcPr>
          <w:p w14:paraId="368CD2C5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9C826DC"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20</w:t>
            </w: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>
              <w:rPr>
                <w:rFonts w:hint="default" w:ascii="宋体" w:hAnsi="宋体"/>
                <w:b/>
                <w:sz w:val="24"/>
                <w:szCs w:val="24"/>
                <w:lang w:val="en-US"/>
              </w:rPr>
              <w:t>6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年</w:t>
            </w:r>
          </w:p>
        </w:tc>
        <w:tc>
          <w:tcPr>
            <w:tcW w:w="1052" w:type="dxa"/>
            <w:vAlign w:val="center"/>
          </w:tcPr>
          <w:p w14:paraId="5F6FA49D"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20</w:t>
            </w: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>
              <w:rPr>
                <w:rFonts w:hint="default" w:ascii="宋体" w:hAnsi="宋体"/>
                <w:b/>
                <w:sz w:val="24"/>
                <w:szCs w:val="24"/>
                <w:lang w:val="en-US"/>
              </w:rPr>
              <w:t>5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年</w:t>
            </w:r>
          </w:p>
        </w:tc>
        <w:tc>
          <w:tcPr>
            <w:tcW w:w="1017" w:type="dxa"/>
            <w:vAlign w:val="center"/>
          </w:tcPr>
          <w:p w14:paraId="624A71FC"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增减幅</w:t>
            </w:r>
          </w:p>
        </w:tc>
        <w:tc>
          <w:tcPr>
            <w:tcW w:w="1134" w:type="dxa"/>
            <w:vAlign w:val="center"/>
          </w:tcPr>
          <w:p w14:paraId="39C85BA8"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20</w:t>
            </w: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>
              <w:rPr>
                <w:rFonts w:hint="default" w:ascii="宋体" w:hAnsi="宋体"/>
                <w:b/>
                <w:sz w:val="24"/>
                <w:szCs w:val="24"/>
                <w:lang w:val="en-US"/>
              </w:rPr>
              <w:t>6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年</w:t>
            </w:r>
          </w:p>
        </w:tc>
        <w:tc>
          <w:tcPr>
            <w:tcW w:w="1134" w:type="dxa"/>
            <w:vAlign w:val="center"/>
          </w:tcPr>
          <w:p w14:paraId="26640AC6"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20</w:t>
            </w: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>
              <w:rPr>
                <w:rFonts w:hint="default" w:ascii="宋体" w:hAnsi="宋体"/>
                <w:b/>
                <w:sz w:val="24"/>
                <w:szCs w:val="24"/>
                <w:lang w:val="en-US"/>
              </w:rPr>
              <w:t>5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年</w:t>
            </w:r>
          </w:p>
        </w:tc>
        <w:tc>
          <w:tcPr>
            <w:tcW w:w="1191" w:type="dxa"/>
            <w:vAlign w:val="center"/>
          </w:tcPr>
          <w:p w14:paraId="67B74560"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增减幅</w:t>
            </w:r>
          </w:p>
        </w:tc>
      </w:tr>
      <w:tr w14:paraId="72ED0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09" w:type="dxa"/>
            <w:vAlign w:val="center"/>
          </w:tcPr>
          <w:p w14:paraId="0783CEE1"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商品煤产量</w:t>
            </w:r>
          </w:p>
          <w:p w14:paraId="341B5C91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（应占份额）</w:t>
            </w:r>
          </w:p>
        </w:tc>
        <w:tc>
          <w:tcPr>
            <w:tcW w:w="1134" w:type="dxa"/>
            <w:vAlign w:val="center"/>
          </w:tcPr>
          <w:p w14:paraId="245E5C6F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10.8</w:t>
            </w:r>
          </w:p>
        </w:tc>
        <w:tc>
          <w:tcPr>
            <w:tcW w:w="1052" w:type="dxa"/>
            <w:vAlign w:val="center"/>
          </w:tcPr>
          <w:p w14:paraId="6E4566BA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9.4</w:t>
            </w:r>
          </w:p>
        </w:tc>
        <w:tc>
          <w:tcPr>
            <w:tcW w:w="1017" w:type="dxa"/>
            <w:vAlign w:val="center"/>
          </w:tcPr>
          <w:p w14:paraId="468602ED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15%</w:t>
            </w:r>
          </w:p>
        </w:tc>
        <w:tc>
          <w:tcPr>
            <w:tcW w:w="1134" w:type="dxa"/>
            <w:vAlign w:val="center"/>
          </w:tcPr>
          <w:p w14:paraId="43CD6AFD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19.8</w:t>
            </w:r>
          </w:p>
        </w:tc>
        <w:tc>
          <w:tcPr>
            <w:tcW w:w="1134" w:type="dxa"/>
            <w:vAlign w:val="center"/>
          </w:tcPr>
          <w:p w14:paraId="59D3370D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18.9</w:t>
            </w:r>
          </w:p>
        </w:tc>
        <w:tc>
          <w:tcPr>
            <w:tcW w:w="1191" w:type="dxa"/>
            <w:vAlign w:val="center"/>
          </w:tcPr>
          <w:p w14:paraId="6D9AA717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5%</w:t>
            </w:r>
          </w:p>
        </w:tc>
      </w:tr>
      <w:tr w14:paraId="6AE46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609" w:type="dxa"/>
            <w:vAlign w:val="center"/>
          </w:tcPr>
          <w:p w14:paraId="7A9FE66B"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商品煤销量</w:t>
            </w:r>
          </w:p>
          <w:p w14:paraId="61005A85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（应占份额）</w:t>
            </w:r>
          </w:p>
        </w:tc>
        <w:tc>
          <w:tcPr>
            <w:tcW w:w="1134" w:type="dxa"/>
            <w:vAlign w:val="center"/>
          </w:tcPr>
          <w:p w14:paraId="46129C0A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11.6</w:t>
            </w:r>
          </w:p>
        </w:tc>
        <w:tc>
          <w:tcPr>
            <w:tcW w:w="1052" w:type="dxa"/>
            <w:vAlign w:val="center"/>
          </w:tcPr>
          <w:p w14:paraId="541BC41C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8.1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3DE4861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43%</w:t>
            </w:r>
          </w:p>
        </w:tc>
        <w:tc>
          <w:tcPr>
            <w:tcW w:w="1134" w:type="dxa"/>
            <w:vAlign w:val="center"/>
          </w:tcPr>
          <w:p w14:paraId="1B963548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19.8</w:t>
            </w:r>
          </w:p>
        </w:tc>
        <w:tc>
          <w:tcPr>
            <w:tcW w:w="1134" w:type="dxa"/>
            <w:vAlign w:val="center"/>
          </w:tcPr>
          <w:p w14:paraId="212F15AD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16.6</w:t>
            </w:r>
          </w:p>
        </w:tc>
        <w:tc>
          <w:tcPr>
            <w:tcW w:w="1191" w:type="dxa"/>
            <w:vAlign w:val="center"/>
          </w:tcPr>
          <w:p w14:paraId="62ABB6EC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20%</w:t>
            </w:r>
          </w:p>
        </w:tc>
      </w:tr>
      <w:tr w14:paraId="6D9AE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609" w:type="dxa"/>
            <w:vAlign w:val="center"/>
          </w:tcPr>
          <w:p w14:paraId="455F9EE5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平均实现价格</w:t>
            </w:r>
          </w:p>
          <w:p w14:paraId="528505A1"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（澳元/吨）</w:t>
            </w:r>
          </w:p>
        </w:tc>
        <w:tc>
          <w:tcPr>
            <w:tcW w:w="1134" w:type="dxa"/>
            <w:vAlign w:val="center"/>
          </w:tcPr>
          <w:p w14:paraId="54B1A348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1052" w:type="dxa"/>
            <w:vAlign w:val="center"/>
          </w:tcPr>
          <w:p w14:paraId="74FFC214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en-US" w:eastAsia="zh-CN"/>
              </w:rPr>
              <w:t>142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19A0155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en-US" w:eastAsia="zh-CN"/>
              </w:rPr>
              <w:t>13%</w:t>
            </w:r>
          </w:p>
        </w:tc>
        <w:tc>
          <w:tcPr>
            <w:tcW w:w="1134" w:type="dxa"/>
            <w:vAlign w:val="center"/>
          </w:tcPr>
          <w:p w14:paraId="31A509F6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en-US" w:eastAsia="zh-CN"/>
              </w:rPr>
              <w:t>154</w:t>
            </w:r>
          </w:p>
        </w:tc>
        <w:tc>
          <w:tcPr>
            <w:tcW w:w="1134" w:type="dxa"/>
            <w:vAlign w:val="center"/>
          </w:tcPr>
          <w:p w14:paraId="4FEF1E6A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en-US" w:eastAsia="zh-CN"/>
              </w:rPr>
              <w:t>149</w:t>
            </w:r>
          </w:p>
        </w:tc>
        <w:tc>
          <w:tcPr>
            <w:tcW w:w="1191" w:type="dxa"/>
            <w:vAlign w:val="center"/>
          </w:tcPr>
          <w:p w14:paraId="7DA0A7AA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en-US" w:eastAsia="zh-CN"/>
              </w:rPr>
              <w:t>3%</w:t>
            </w:r>
          </w:p>
        </w:tc>
      </w:tr>
    </w:tbl>
    <w:p w14:paraId="3E61DAD4">
      <w:pPr>
        <w:spacing w:beforeLines="50" w:line="540" w:lineRule="exact"/>
        <w:ind w:firstLine="560" w:firstLineChars="200"/>
        <w:rPr>
          <w:sz w:val="28"/>
        </w:rPr>
      </w:pPr>
      <w:r>
        <w:rPr>
          <w:rFonts w:hint="eastAsia"/>
          <w:sz w:val="28"/>
        </w:rPr>
        <w:t>投资者如需了解详情，请参见兖煤澳洲公司在澳大利亚证券交易所网站（</w:t>
      </w:r>
      <w:r>
        <w:fldChar w:fldCharType="begin"/>
      </w:r>
      <w:r>
        <w:instrText xml:space="preserve"> HYPERLINK "http://www2.asx.com.au" </w:instrText>
      </w:r>
      <w:r>
        <w:fldChar w:fldCharType="separate"/>
      </w:r>
      <w:r>
        <w:rPr>
          <w:rStyle w:val="13"/>
          <w:sz w:val="28"/>
          <w:szCs w:val="28"/>
        </w:rPr>
        <w:t>http://www2.asx.com.au</w:t>
      </w:r>
      <w:r>
        <w:rPr>
          <w:rStyle w:val="13"/>
          <w:sz w:val="28"/>
          <w:szCs w:val="28"/>
        </w:rPr>
        <w:fldChar w:fldCharType="end"/>
      </w:r>
      <w:r>
        <w:rPr>
          <w:rFonts w:hint="eastAsia"/>
          <w:sz w:val="28"/>
        </w:rPr>
        <w:t>）及香港联合交易所有限公司网站（</w:t>
      </w:r>
      <w:r>
        <w:fldChar w:fldCharType="begin"/>
      </w:r>
      <w:r>
        <w:instrText xml:space="preserve"> HYPERLINK "http://www.asx.com.au/asx/statistics/announcements.do?by=asxCode&amp;asxCode=YAL&amp;timeframe=D&amp;period=W" </w:instrText>
      </w:r>
      <w:r>
        <w:fldChar w:fldCharType="separate"/>
      </w:r>
      <w:r>
        <w:rPr>
          <w:rStyle w:val="13"/>
          <w:sz w:val="28"/>
          <w:szCs w:val="28"/>
        </w:rPr>
        <w:t xml:space="preserve">http://www.hkexnews.hk </w:t>
      </w:r>
      <w:r>
        <w:rPr>
          <w:rStyle w:val="13"/>
          <w:sz w:val="28"/>
          <w:szCs w:val="28"/>
        </w:rPr>
        <w:fldChar w:fldCharType="end"/>
      </w:r>
      <w:r>
        <w:rPr>
          <w:rFonts w:hint="eastAsia"/>
          <w:sz w:val="28"/>
        </w:rPr>
        <w:t>）发布的报告全文。</w:t>
      </w:r>
    </w:p>
    <w:p w14:paraId="7CA20637">
      <w:pPr>
        <w:spacing w:line="540" w:lineRule="exact"/>
        <w:ind w:firstLine="560" w:firstLineChars="200"/>
        <w:rPr>
          <w:sz w:val="28"/>
        </w:rPr>
      </w:pPr>
    </w:p>
    <w:p w14:paraId="44C7463F">
      <w:pPr>
        <w:spacing w:line="540" w:lineRule="exact"/>
        <w:ind w:firstLine="560" w:firstLineChars="200"/>
        <w:rPr>
          <w:sz w:val="28"/>
        </w:rPr>
      </w:pPr>
    </w:p>
    <w:p w14:paraId="4322F4DC">
      <w:pPr>
        <w:spacing w:line="540" w:lineRule="exact"/>
        <w:ind w:firstLine="3920" w:firstLineChars="1400"/>
        <w:rPr>
          <w:sz w:val="28"/>
        </w:rPr>
      </w:pPr>
      <w:r>
        <w:rPr>
          <w:rFonts w:hint="eastAsia"/>
          <w:sz w:val="28"/>
        </w:rPr>
        <w:t>兖矿能源集团</w:t>
      </w:r>
      <w:r>
        <w:rPr>
          <w:sz w:val="28"/>
        </w:rPr>
        <w:t>股份有限公司</w:t>
      </w:r>
      <w:r>
        <w:rPr>
          <w:rFonts w:hint="eastAsia"/>
          <w:sz w:val="28"/>
        </w:rPr>
        <w:t>董事会</w:t>
      </w:r>
    </w:p>
    <w:p w14:paraId="12ACD26D">
      <w:pPr>
        <w:spacing w:line="540" w:lineRule="exact"/>
        <w:ind w:firstLine="5040" w:firstLineChars="18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20</w:t>
      </w:r>
      <w:r>
        <w:rPr>
          <w:rFonts w:hint="eastAsia" w:ascii="宋体" w:hAnsi="宋体"/>
          <w:sz w:val="28"/>
          <w:lang w:val="en-US" w:eastAsia="zh-CN"/>
        </w:rPr>
        <w:t>26年</w:t>
      </w:r>
      <w:r>
        <w:rPr>
          <w:rFonts w:hint="eastAsia" w:ascii="宋体" w:hAnsi="宋体"/>
          <w:sz w:val="28"/>
        </w:rPr>
        <w:t>7月</w:t>
      </w:r>
      <w:r>
        <w:rPr>
          <w:rFonts w:hint="eastAsia" w:ascii="宋体" w:hAnsi="宋体"/>
          <w:sz w:val="28"/>
          <w:lang w:val="en-US" w:eastAsia="zh-CN"/>
        </w:rPr>
        <w:t>20</w:t>
      </w:r>
      <w:r>
        <w:rPr>
          <w:rFonts w:hint="eastAsia" w:ascii="宋体" w:hAnsi="宋体"/>
          <w:sz w:val="28"/>
        </w:rPr>
        <w:t>日</w:t>
      </w: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decimal"/>
      <w:cols w:space="425" w:num="1"/>
      <w:docGrid w:type="lines" w:linePitch="312" w:charSpace="0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\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ED38A">
    <w:pPr>
      <w:pStyle w:val="5"/>
      <w:rPr>
        <w:rStyle w:val="1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47109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47109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524ECA2">
    <w:pPr>
      <w:pStyle w:val="5"/>
    </w:pPr>
  </w:p>
</w:ftr>
</file>

<file path=word\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479E8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5</w:t>
    </w:r>
    <w:r>
      <w:rPr>
        <w:rStyle w:val="11"/>
      </w:rPr>
      <w:fldChar w:fldCharType="end"/>
    </w:r>
  </w:p>
  <w:p w14:paraId="073AE6FD">
    <w:pPr>
      <w:pStyle w:val="5"/>
    </w:pPr>
  </w:p>
</w:ftr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NmM5OTU2ZmY4Y2RiYTg3ZTQ2ZGQyMTliYjRmY2MifQ=="/>
    <w:docVar w:name="KSO_WPS_MARK_KEY" w:val="98549341-04c9-4d44-823b-66f02b924d57"/>
  </w:docVars>
  <w:rsids>
    <w:rsidRoot w:val="00DD0F32"/>
    <w:rsid w:val="0000098C"/>
    <w:rsid w:val="00003FC3"/>
    <w:rsid w:val="00011DF6"/>
    <w:rsid w:val="00032852"/>
    <w:rsid w:val="0003774C"/>
    <w:rsid w:val="00041D43"/>
    <w:rsid w:val="00045A12"/>
    <w:rsid w:val="0005458C"/>
    <w:rsid w:val="00065CD8"/>
    <w:rsid w:val="00073F52"/>
    <w:rsid w:val="0008357A"/>
    <w:rsid w:val="00084027"/>
    <w:rsid w:val="0008789E"/>
    <w:rsid w:val="00090240"/>
    <w:rsid w:val="00093D27"/>
    <w:rsid w:val="000A523A"/>
    <w:rsid w:val="000C5F68"/>
    <w:rsid w:val="000D15CA"/>
    <w:rsid w:val="000D210A"/>
    <w:rsid w:val="000E02DD"/>
    <w:rsid w:val="000E1DE4"/>
    <w:rsid w:val="000F0068"/>
    <w:rsid w:val="000F3B68"/>
    <w:rsid w:val="00116880"/>
    <w:rsid w:val="00125B6B"/>
    <w:rsid w:val="001309BE"/>
    <w:rsid w:val="00133474"/>
    <w:rsid w:val="00134F75"/>
    <w:rsid w:val="00143DC6"/>
    <w:rsid w:val="00144EF7"/>
    <w:rsid w:val="00154F08"/>
    <w:rsid w:val="00160128"/>
    <w:rsid w:val="0016196C"/>
    <w:rsid w:val="00163D3E"/>
    <w:rsid w:val="0017378D"/>
    <w:rsid w:val="00181C24"/>
    <w:rsid w:val="00181E96"/>
    <w:rsid w:val="00185DA1"/>
    <w:rsid w:val="00186122"/>
    <w:rsid w:val="00192E47"/>
    <w:rsid w:val="001A15BE"/>
    <w:rsid w:val="001B694D"/>
    <w:rsid w:val="001C5C05"/>
    <w:rsid w:val="001E2176"/>
    <w:rsid w:val="001E3289"/>
    <w:rsid w:val="001E38A3"/>
    <w:rsid w:val="001E3CD7"/>
    <w:rsid w:val="001E5674"/>
    <w:rsid w:val="001E6076"/>
    <w:rsid w:val="001F0F1B"/>
    <w:rsid w:val="001F64BA"/>
    <w:rsid w:val="001F731E"/>
    <w:rsid w:val="0020058B"/>
    <w:rsid w:val="00207A2D"/>
    <w:rsid w:val="00212CB9"/>
    <w:rsid w:val="0021474B"/>
    <w:rsid w:val="00230A7B"/>
    <w:rsid w:val="0023276B"/>
    <w:rsid w:val="00265390"/>
    <w:rsid w:val="002665FB"/>
    <w:rsid w:val="00271830"/>
    <w:rsid w:val="002A1F12"/>
    <w:rsid w:val="002A3299"/>
    <w:rsid w:val="002A4703"/>
    <w:rsid w:val="002B1338"/>
    <w:rsid w:val="002B396F"/>
    <w:rsid w:val="002C3B7B"/>
    <w:rsid w:val="002C7C38"/>
    <w:rsid w:val="002D66DB"/>
    <w:rsid w:val="002E0FA8"/>
    <w:rsid w:val="002F0A46"/>
    <w:rsid w:val="002F619D"/>
    <w:rsid w:val="0030546C"/>
    <w:rsid w:val="003070E3"/>
    <w:rsid w:val="0031098F"/>
    <w:rsid w:val="00314906"/>
    <w:rsid w:val="00330E71"/>
    <w:rsid w:val="0033114F"/>
    <w:rsid w:val="00337554"/>
    <w:rsid w:val="00341DDB"/>
    <w:rsid w:val="00350EC5"/>
    <w:rsid w:val="003530E8"/>
    <w:rsid w:val="003541AC"/>
    <w:rsid w:val="0035565E"/>
    <w:rsid w:val="00363D84"/>
    <w:rsid w:val="00366180"/>
    <w:rsid w:val="0036756A"/>
    <w:rsid w:val="00367581"/>
    <w:rsid w:val="00367689"/>
    <w:rsid w:val="00373229"/>
    <w:rsid w:val="00380209"/>
    <w:rsid w:val="00382C08"/>
    <w:rsid w:val="00396775"/>
    <w:rsid w:val="003A2BF0"/>
    <w:rsid w:val="003B3E03"/>
    <w:rsid w:val="003C0591"/>
    <w:rsid w:val="003C6877"/>
    <w:rsid w:val="003D6637"/>
    <w:rsid w:val="003E4BD3"/>
    <w:rsid w:val="003F0BC5"/>
    <w:rsid w:val="003F2441"/>
    <w:rsid w:val="003F5471"/>
    <w:rsid w:val="00403BAF"/>
    <w:rsid w:val="00412316"/>
    <w:rsid w:val="004216F5"/>
    <w:rsid w:val="004219CD"/>
    <w:rsid w:val="004540B5"/>
    <w:rsid w:val="004576B9"/>
    <w:rsid w:val="004656A9"/>
    <w:rsid w:val="004714A7"/>
    <w:rsid w:val="00480E23"/>
    <w:rsid w:val="00487504"/>
    <w:rsid w:val="00490A1E"/>
    <w:rsid w:val="004947F9"/>
    <w:rsid w:val="00496147"/>
    <w:rsid w:val="00497471"/>
    <w:rsid w:val="00497DF5"/>
    <w:rsid w:val="004C3E56"/>
    <w:rsid w:val="004D1A33"/>
    <w:rsid w:val="004D1D8F"/>
    <w:rsid w:val="004D277E"/>
    <w:rsid w:val="00505898"/>
    <w:rsid w:val="005145AA"/>
    <w:rsid w:val="00520F98"/>
    <w:rsid w:val="00523918"/>
    <w:rsid w:val="00527182"/>
    <w:rsid w:val="00533DD7"/>
    <w:rsid w:val="00535E01"/>
    <w:rsid w:val="005423C4"/>
    <w:rsid w:val="00545049"/>
    <w:rsid w:val="0054683C"/>
    <w:rsid w:val="005648AE"/>
    <w:rsid w:val="00565F4D"/>
    <w:rsid w:val="00572089"/>
    <w:rsid w:val="0057760C"/>
    <w:rsid w:val="0058028A"/>
    <w:rsid w:val="005A11FC"/>
    <w:rsid w:val="005A2A01"/>
    <w:rsid w:val="005A2E91"/>
    <w:rsid w:val="005A434B"/>
    <w:rsid w:val="005A4D63"/>
    <w:rsid w:val="005B2BA3"/>
    <w:rsid w:val="005B41C7"/>
    <w:rsid w:val="005B4372"/>
    <w:rsid w:val="005B619F"/>
    <w:rsid w:val="005C0102"/>
    <w:rsid w:val="005C7CFB"/>
    <w:rsid w:val="005D405D"/>
    <w:rsid w:val="005D6BAC"/>
    <w:rsid w:val="005F6B18"/>
    <w:rsid w:val="00615104"/>
    <w:rsid w:val="00623DBC"/>
    <w:rsid w:val="00636704"/>
    <w:rsid w:val="006515D8"/>
    <w:rsid w:val="006561C0"/>
    <w:rsid w:val="00660FCF"/>
    <w:rsid w:val="00667800"/>
    <w:rsid w:val="006731B2"/>
    <w:rsid w:val="0068061E"/>
    <w:rsid w:val="00685E8E"/>
    <w:rsid w:val="006869A7"/>
    <w:rsid w:val="00686EFE"/>
    <w:rsid w:val="006A0D22"/>
    <w:rsid w:val="006A4C92"/>
    <w:rsid w:val="006C18D5"/>
    <w:rsid w:val="006C3F98"/>
    <w:rsid w:val="006C4D82"/>
    <w:rsid w:val="006D44E3"/>
    <w:rsid w:val="006D7770"/>
    <w:rsid w:val="006E6E82"/>
    <w:rsid w:val="006E6F28"/>
    <w:rsid w:val="006F1C95"/>
    <w:rsid w:val="0070163B"/>
    <w:rsid w:val="00703536"/>
    <w:rsid w:val="00710C2D"/>
    <w:rsid w:val="00731E79"/>
    <w:rsid w:val="00733D27"/>
    <w:rsid w:val="00737AB9"/>
    <w:rsid w:val="00744D3E"/>
    <w:rsid w:val="00746AE0"/>
    <w:rsid w:val="00750122"/>
    <w:rsid w:val="00754872"/>
    <w:rsid w:val="007615BE"/>
    <w:rsid w:val="00765927"/>
    <w:rsid w:val="00770BDE"/>
    <w:rsid w:val="00770C18"/>
    <w:rsid w:val="00782497"/>
    <w:rsid w:val="00787A6C"/>
    <w:rsid w:val="007938CA"/>
    <w:rsid w:val="007A3721"/>
    <w:rsid w:val="007A6EA5"/>
    <w:rsid w:val="007B17E8"/>
    <w:rsid w:val="007B1970"/>
    <w:rsid w:val="007B3DE7"/>
    <w:rsid w:val="007C0110"/>
    <w:rsid w:val="007C7EFE"/>
    <w:rsid w:val="007D7B86"/>
    <w:rsid w:val="007E6D63"/>
    <w:rsid w:val="007E7A4E"/>
    <w:rsid w:val="007F16D1"/>
    <w:rsid w:val="007F6B1C"/>
    <w:rsid w:val="00800297"/>
    <w:rsid w:val="00801498"/>
    <w:rsid w:val="00802702"/>
    <w:rsid w:val="00812B56"/>
    <w:rsid w:val="00820A4F"/>
    <w:rsid w:val="0082743F"/>
    <w:rsid w:val="0084234C"/>
    <w:rsid w:val="008465BC"/>
    <w:rsid w:val="00850FED"/>
    <w:rsid w:val="00854F55"/>
    <w:rsid w:val="00862C65"/>
    <w:rsid w:val="00863D73"/>
    <w:rsid w:val="00865B5C"/>
    <w:rsid w:val="00865CBA"/>
    <w:rsid w:val="00871634"/>
    <w:rsid w:val="008716FD"/>
    <w:rsid w:val="0087488B"/>
    <w:rsid w:val="00883D8C"/>
    <w:rsid w:val="00887349"/>
    <w:rsid w:val="0089252F"/>
    <w:rsid w:val="00892BDD"/>
    <w:rsid w:val="008A67C3"/>
    <w:rsid w:val="008B5896"/>
    <w:rsid w:val="008D21AF"/>
    <w:rsid w:val="008D6C19"/>
    <w:rsid w:val="008E00E5"/>
    <w:rsid w:val="008F4A8F"/>
    <w:rsid w:val="008F7414"/>
    <w:rsid w:val="00907F4C"/>
    <w:rsid w:val="009172FF"/>
    <w:rsid w:val="00930D47"/>
    <w:rsid w:val="009346BA"/>
    <w:rsid w:val="00935045"/>
    <w:rsid w:val="00940AF2"/>
    <w:rsid w:val="00940DA5"/>
    <w:rsid w:val="00945FCC"/>
    <w:rsid w:val="009535C4"/>
    <w:rsid w:val="00960E21"/>
    <w:rsid w:val="0096320C"/>
    <w:rsid w:val="009662E2"/>
    <w:rsid w:val="0097210C"/>
    <w:rsid w:val="00974EFA"/>
    <w:rsid w:val="009831E4"/>
    <w:rsid w:val="00985213"/>
    <w:rsid w:val="009A54E9"/>
    <w:rsid w:val="009A7876"/>
    <w:rsid w:val="009B28A6"/>
    <w:rsid w:val="009B4E63"/>
    <w:rsid w:val="009B7848"/>
    <w:rsid w:val="009D6E3D"/>
    <w:rsid w:val="009F29B2"/>
    <w:rsid w:val="00A05357"/>
    <w:rsid w:val="00A10D27"/>
    <w:rsid w:val="00A1208D"/>
    <w:rsid w:val="00A15346"/>
    <w:rsid w:val="00A23634"/>
    <w:rsid w:val="00A276C4"/>
    <w:rsid w:val="00A312E7"/>
    <w:rsid w:val="00A326D5"/>
    <w:rsid w:val="00A32C39"/>
    <w:rsid w:val="00A35746"/>
    <w:rsid w:val="00A37A2A"/>
    <w:rsid w:val="00A41097"/>
    <w:rsid w:val="00A436B3"/>
    <w:rsid w:val="00A55B77"/>
    <w:rsid w:val="00A5676D"/>
    <w:rsid w:val="00A607E1"/>
    <w:rsid w:val="00A63DB7"/>
    <w:rsid w:val="00A66B8E"/>
    <w:rsid w:val="00A93791"/>
    <w:rsid w:val="00AA32B8"/>
    <w:rsid w:val="00AA3AEA"/>
    <w:rsid w:val="00AB6A28"/>
    <w:rsid w:val="00AC4B53"/>
    <w:rsid w:val="00AD2689"/>
    <w:rsid w:val="00AD37F1"/>
    <w:rsid w:val="00AD51C1"/>
    <w:rsid w:val="00AE31C5"/>
    <w:rsid w:val="00B062F5"/>
    <w:rsid w:val="00B1048D"/>
    <w:rsid w:val="00B1086C"/>
    <w:rsid w:val="00B1298D"/>
    <w:rsid w:val="00B13BE0"/>
    <w:rsid w:val="00B16965"/>
    <w:rsid w:val="00B2510C"/>
    <w:rsid w:val="00B25A5A"/>
    <w:rsid w:val="00B45B98"/>
    <w:rsid w:val="00B523EA"/>
    <w:rsid w:val="00B52FBA"/>
    <w:rsid w:val="00B61D93"/>
    <w:rsid w:val="00B64AAD"/>
    <w:rsid w:val="00B66C8A"/>
    <w:rsid w:val="00B717F9"/>
    <w:rsid w:val="00B74F7F"/>
    <w:rsid w:val="00B7681D"/>
    <w:rsid w:val="00B76E29"/>
    <w:rsid w:val="00B823AA"/>
    <w:rsid w:val="00B841C0"/>
    <w:rsid w:val="00B86E71"/>
    <w:rsid w:val="00B9508C"/>
    <w:rsid w:val="00B95953"/>
    <w:rsid w:val="00BA09F6"/>
    <w:rsid w:val="00BA0EA1"/>
    <w:rsid w:val="00BA4A0F"/>
    <w:rsid w:val="00BB3C47"/>
    <w:rsid w:val="00BB6526"/>
    <w:rsid w:val="00BB66D9"/>
    <w:rsid w:val="00BC4123"/>
    <w:rsid w:val="00BD3E4A"/>
    <w:rsid w:val="00BD6A03"/>
    <w:rsid w:val="00BD7044"/>
    <w:rsid w:val="00BE3E5F"/>
    <w:rsid w:val="00BE5AFD"/>
    <w:rsid w:val="00BF54EB"/>
    <w:rsid w:val="00C00A0B"/>
    <w:rsid w:val="00C01940"/>
    <w:rsid w:val="00C02B1F"/>
    <w:rsid w:val="00C05612"/>
    <w:rsid w:val="00C11F92"/>
    <w:rsid w:val="00C12C98"/>
    <w:rsid w:val="00C15447"/>
    <w:rsid w:val="00C16765"/>
    <w:rsid w:val="00C1779E"/>
    <w:rsid w:val="00C23A9D"/>
    <w:rsid w:val="00C23B4C"/>
    <w:rsid w:val="00C35345"/>
    <w:rsid w:val="00C3703D"/>
    <w:rsid w:val="00C404F0"/>
    <w:rsid w:val="00C407ED"/>
    <w:rsid w:val="00C45A5F"/>
    <w:rsid w:val="00C55592"/>
    <w:rsid w:val="00C601DD"/>
    <w:rsid w:val="00C65CEC"/>
    <w:rsid w:val="00C66E97"/>
    <w:rsid w:val="00C75722"/>
    <w:rsid w:val="00CA2E52"/>
    <w:rsid w:val="00CB03B3"/>
    <w:rsid w:val="00CB2F8B"/>
    <w:rsid w:val="00CB4A5D"/>
    <w:rsid w:val="00CC0C5F"/>
    <w:rsid w:val="00CC222D"/>
    <w:rsid w:val="00CD02F6"/>
    <w:rsid w:val="00CD74DC"/>
    <w:rsid w:val="00CE45C3"/>
    <w:rsid w:val="00CE6524"/>
    <w:rsid w:val="00CF586A"/>
    <w:rsid w:val="00D03186"/>
    <w:rsid w:val="00D03700"/>
    <w:rsid w:val="00D04676"/>
    <w:rsid w:val="00D04996"/>
    <w:rsid w:val="00D233B9"/>
    <w:rsid w:val="00D332C0"/>
    <w:rsid w:val="00D335A9"/>
    <w:rsid w:val="00D3689C"/>
    <w:rsid w:val="00D36D42"/>
    <w:rsid w:val="00D41C77"/>
    <w:rsid w:val="00D44E02"/>
    <w:rsid w:val="00D51046"/>
    <w:rsid w:val="00D57CBD"/>
    <w:rsid w:val="00D633FB"/>
    <w:rsid w:val="00D634C2"/>
    <w:rsid w:val="00D66262"/>
    <w:rsid w:val="00D669F2"/>
    <w:rsid w:val="00D6745B"/>
    <w:rsid w:val="00D701C4"/>
    <w:rsid w:val="00D91BC1"/>
    <w:rsid w:val="00D94855"/>
    <w:rsid w:val="00DA20AE"/>
    <w:rsid w:val="00DA6FBA"/>
    <w:rsid w:val="00DB0202"/>
    <w:rsid w:val="00DB2004"/>
    <w:rsid w:val="00DC0821"/>
    <w:rsid w:val="00DC3B31"/>
    <w:rsid w:val="00DC6687"/>
    <w:rsid w:val="00DD0F32"/>
    <w:rsid w:val="00DD487A"/>
    <w:rsid w:val="00DD5D7D"/>
    <w:rsid w:val="00DE3959"/>
    <w:rsid w:val="00DE3E5F"/>
    <w:rsid w:val="00DE52AF"/>
    <w:rsid w:val="00DE797D"/>
    <w:rsid w:val="00DF0460"/>
    <w:rsid w:val="00DF7904"/>
    <w:rsid w:val="00E02D7D"/>
    <w:rsid w:val="00E031D4"/>
    <w:rsid w:val="00E120FF"/>
    <w:rsid w:val="00E14FD2"/>
    <w:rsid w:val="00E23F32"/>
    <w:rsid w:val="00E25E09"/>
    <w:rsid w:val="00E30E2A"/>
    <w:rsid w:val="00E3295F"/>
    <w:rsid w:val="00E3362C"/>
    <w:rsid w:val="00E4037C"/>
    <w:rsid w:val="00E4564C"/>
    <w:rsid w:val="00E55AEB"/>
    <w:rsid w:val="00E60843"/>
    <w:rsid w:val="00E60F75"/>
    <w:rsid w:val="00E623E5"/>
    <w:rsid w:val="00E63163"/>
    <w:rsid w:val="00E65F71"/>
    <w:rsid w:val="00E80615"/>
    <w:rsid w:val="00EA31D0"/>
    <w:rsid w:val="00EA43A9"/>
    <w:rsid w:val="00EB1424"/>
    <w:rsid w:val="00EB1C2E"/>
    <w:rsid w:val="00EC2250"/>
    <w:rsid w:val="00EC2EA3"/>
    <w:rsid w:val="00EC4A9C"/>
    <w:rsid w:val="00EC641A"/>
    <w:rsid w:val="00ED38A1"/>
    <w:rsid w:val="00ED7E47"/>
    <w:rsid w:val="00EE522E"/>
    <w:rsid w:val="00EE5501"/>
    <w:rsid w:val="00EF037B"/>
    <w:rsid w:val="00EF1E80"/>
    <w:rsid w:val="00F106D2"/>
    <w:rsid w:val="00F11218"/>
    <w:rsid w:val="00F13681"/>
    <w:rsid w:val="00F13E84"/>
    <w:rsid w:val="00F1576E"/>
    <w:rsid w:val="00F164A1"/>
    <w:rsid w:val="00F16E76"/>
    <w:rsid w:val="00F2304F"/>
    <w:rsid w:val="00F23EF7"/>
    <w:rsid w:val="00F314F3"/>
    <w:rsid w:val="00F31EC3"/>
    <w:rsid w:val="00F32EF4"/>
    <w:rsid w:val="00F33416"/>
    <w:rsid w:val="00F50704"/>
    <w:rsid w:val="00F55501"/>
    <w:rsid w:val="00F56758"/>
    <w:rsid w:val="00F620D2"/>
    <w:rsid w:val="00F658C5"/>
    <w:rsid w:val="00F65CF6"/>
    <w:rsid w:val="00F672D1"/>
    <w:rsid w:val="00F902C6"/>
    <w:rsid w:val="00F92473"/>
    <w:rsid w:val="00F94683"/>
    <w:rsid w:val="00F97439"/>
    <w:rsid w:val="00F9765A"/>
    <w:rsid w:val="00FA0EB2"/>
    <w:rsid w:val="00FA5D9A"/>
    <w:rsid w:val="00FB125B"/>
    <w:rsid w:val="00FB1369"/>
    <w:rsid w:val="00FB13FA"/>
    <w:rsid w:val="00FC4DC0"/>
    <w:rsid w:val="00FD159F"/>
    <w:rsid w:val="00FE2970"/>
    <w:rsid w:val="00FE48F7"/>
    <w:rsid w:val="00FF2780"/>
    <w:rsid w:val="00FF6BA8"/>
    <w:rsid w:val="00FF7CAE"/>
    <w:rsid w:val="0F5102DD"/>
    <w:rsid w:val="135E45CC"/>
    <w:rsid w:val="14BC5A16"/>
    <w:rsid w:val="1CF55E97"/>
    <w:rsid w:val="235A71CA"/>
    <w:rsid w:val="23815EE5"/>
    <w:rsid w:val="26561A2D"/>
    <w:rsid w:val="26E551B1"/>
    <w:rsid w:val="27A6450D"/>
    <w:rsid w:val="29F74E98"/>
    <w:rsid w:val="2E1A0A00"/>
    <w:rsid w:val="31BB31DD"/>
    <w:rsid w:val="368C2F70"/>
    <w:rsid w:val="36F46FEB"/>
    <w:rsid w:val="37CD3B0E"/>
    <w:rsid w:val="3A2C6860"/>
    <w:rsid w:val="41811729"/>
    <w:rsid w:val="460141E8"/>
    <w:rsid w:val="47323B7D"/>
    <w:rsid w:val="476F7E1A"/>
    <w:rsid w:val="47FC4A5F"/>
    <w:rsid w:val="48D90DD7"/>
    <w:rsid w:val="64145B96"/>
    <w:rsid w:val="660B715E"/>
    <w:rsid w:val="66622467"/>
    <w:rsid w:val="68C367F3"/>
    <w:rsid w:val="79FB4D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\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9"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styleId="12">
    <w:name w:val="FollowedHyperlink"/>
    <w:basedOn w:val="10"/>
    <w:qFormat/>
    <w:uiPriority w:val="0"/>
    <w:rPr>
      <w:color w:val="800080"/>
      <w:u w:val="singl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paragraph" w:customStyle="1" w:styleId="15">
    <w:name w:val="默认段落字体 Para Char Char Char 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6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7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character" w:customStyle="1" w:styleId="18">
    <w:name w:val="批注文字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19">
    <w:name w:val="批注主题 Char"/>
    <w:basedOn w:val="18"/>
    <w:link w:val="7"/>
    <w:qFormat/>
    <w:uiPriority w:val="0"/>
    <w:rPr>
      <w:b/>
      <w:bCs/>
      <w:kern w:val="2"/>
      <w:sz w:val="21"/>
      <w:szCs w:val="24"/>
    </w:rPr>
  </w:style>
</w:styles>
</file>

<file path=word\theme\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