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t:template xmlns:t="http://mapping.word.org/2012/template">
  <t:sse><![CDATA[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]]></t:sse>
</t:template>
</file>

<file path=customXml\item3.xml><?xml version="1.0" encoding="utf-8"?>
<sc:sections xmlns:sc="http://mapping.word.org/2014/section/customize"/>
</file>

<file path=customXml\item4.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5.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57cf4a-b6b2-4618-81a0-151265bf3669}">
  <ds:schemaRefs/>
</ds:datastoreItem>
</file>

<file path=customXml\itemProps3.xml><?xml version="1.0" encoding="utf-8"?>
<ds:datastoreItem xmlns:ds="http://schemas.openxmlformats.org/officeDocument/2006/customXml" ds:itemID="{90992d31-82e5-4bd2-8d62-e13149f571f6}">
  <ds:schemaRefs/>
</ds:datastoreItem>
</file>

<file path=customXml\itemProps4.xml><?xml version="1.0" encoding="utf-8"?>
<ds:datastoreItem xmlns:ds="http://schemas.openxmlformats.org/officeDocument/2006/customXml" ds:itemID="{BA98B501-917D-472D-AC19-F30F1EB82784}">
  <ds:schemaRefs/>
</ds:datastoreItem>
</file>

<file path=customXml\itemProps5.xml><?xml version="1.0" encoding="utf-8"?>
<ds:datastoreItem xmlns:ds="http://schemas.openxmlformats.org/officeDocument/2006/customXml" ds:itemID="{D895E02B-BAB2-40F3-B559-9A217774F9CB}">
  <ds:schemaRefs/>
</ds:datastoreItem>
</file>

<file path=docProps\app.xml><?xml version="1.0" encoding="utf-8"?>
<Properties xmlns="http://schemas.openxmlformats.org/officeDocument/2006/extended-properties" xmlns:vt="http://schemas.openxmlformats.org/officeDocument/2006/docPropsVTypes">
  <Template>SSEReport.dotm</Template>
  <Pages>3</Pages>
  <Words>1147</Words>
  <Characters>1278</Characters>
  <Lines>12</Lines>
  <Paragraphs>3</Paragraphs>
  <TotalTime>41</TotalTime>
  <ScaleCrop>false</ScaleCrop>
  <LinksUpToDate>false</LinksUpToDate>
  <CharactersWithSpaces>1365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2026-07-19T07:09:00Z</dcterms:created>
  <dc:creator>yangzhiquan</dc:creator>
  <cp:lastModifiedBy>熊振中</cp:lastModifiedBy>
  <cp:lastPrinted>2026-07-20T07:50:00Z</cp:lastPrinted>
  <dcterms:modified xsi:type="dcterms:W3CDTF">2026-07-20T08:27:17Z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506DF4B68ECB4990ADC02ED137DE22FD_12</vt:lpwstr>
  </property>
  <property fmtid="{D5CDD505-2E9C-101B-9397-08002B2CF9AE}" pid="4" name="KSOTemplateDocerSaveRecord">
    <vt:lpwstr>eyJoZGlkIjoiMTJmNjI5ZDMzZDJmMmM0Njk4MWYzM2M0OTIxMDExMjIiLCJ1c2VySWQiOiIxNDc5NjU3MTM3In0=</vt:lpwstr>
  </property>
  <property fmtid="{5B77E7CE-EC58-BC6A-FAE8-886BEB80DBEB}" pid="5" name="5B77E7CEEC58BC6AFAE8886BEB80DBEB">
    <vt:lpwstr>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</vt:lpwstr>
  </property>
</Properti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63\AppData\Roaming\Microsoft\Templates\SSEReport.dotm" TargetMode="Externa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hint="default" w:ascii="黑体" w:hAnsi="黑体" w:eastAsia="黑体" w:cs="黑体"/>
          <w:bCs/>
          <w:sz w:val="21"/>
          <w:szCs w:val="21"/>
          <w:lang w:val="en-US" w:eastAsia="zh-CN"/>
        </w:rPr>
      </w:pPr>
      <w:r>
        <w:rPr>
          <w:rFonts w:hint="eastAsia" w:ascii="黑体" w:hAnsi="黑体" w:eastAsia="黑体" w:cs="黑体"/>
          <w:bCs/>
          <w:sz w:val="21"/>
          <w:szCs w:val="21"/>
          <w:lang w:val="en-US" w:eastAsia="zh-CN"/>
        </w:rPr>
        <w:t>股票</w:t>
      </w:r>
      <w:r>
        <w:rPr>
          <w:rFonts w:hint="eastAsia" w:ascii="黑体" w:hAnsi="黑体" w:eastAsia="黑体" w:cs="黑体"/>
          <w:bCs/>
          <w:sz w:val="21"/>
          <w:szCs w:val="21"/>
        </w:rPr>
        <w:t>代码：</w:t>
      </w:r>
      <w:sdt>
        <w:sdtPr>
          <w:rPr>
            <w:rFonts w:hint="eastAsia" w:ascii="黑体" w:hAnsi="黑体" w:eastAsia="黑体" w:cs="黑体"/>
            <w:bCs/>
            <w:sz w:val="21"/>
            <w:szCs w:val="21"/>
          </w:rPr>
          <w:alias w:val="公司代码"/>
          <w:tag w:val="_GBC_62ef04c8e14e4c76b304f7775b7d8722"/>
          <w:id w:val="147468891"/>
          <w:lock w:val="sdtLocked"/>
          <w:placeholder>
            <w:docPart w:val="GBC22222222222222222222222222222"/>
          </w:placeholder>
        </w:sdtPr>
        <w:sdtEndPr>
          <w:rPr>
            <w:rFonts w:hint="eastAsia" w:ascii="黑体" w:hAnsi="黑体" w:eastAsia="黑体" w:cs="黑体"/>
            <w:bCs/>
            <w:sz w:val="21"/>
            <w:szCs w:val="21"/>
          </w:rPr>
        </w:sdtEndPr>
        <w:sdtContent>
          <w:r>
            <w:rPr>
              <w:rFonts w:hint="eastAsia" w:ascii="黑体" w:hAnsi="黑体" w:eastAsia="黑体" w:cs="黑体"/>
              <w:bCs/>
              <w:sz w:val="21"/>
              <w:szCs w:val="21"/>
              <w:lang w:eastAsia="zh-CN"/>
            </w:rPr>
            <w:t>600188</w:t>
          </w:r>
        </w:sdtContent>
      </w:sdt>
      <w:r>
        <w:rPr>
          <w:rFonts w:hint="eastAsia" w:ascii="黑体" w:hAnsi="黑体" w:eastAsia="黑体" w:cs="黑体"/>
          <w:bCs/>
          <w:sz w:val="21"/>
          <w:szCs w:val="21"/>
        </w:rPr>
        <w:t xml:space="preserve">   </w:t>
      </w:r>
      <w:r>
        <w:rPr>
          <w:rFonts w:hint="eastAsia" w:ascii="黑体" w:hAnsi="黑体" w:eastAsia="黑体" w:cs="黑体"/>
          <w:bCs/>
          <w:sz w:val="21"/>
          <w:szCs w:val="21"/>
          <w:lang w:val="en-US" w:eastAsia="zh-CN"/>
        </w:rPr>
        <w:t xml:space="preserve">         </w:t>
      </w:r>
      <w:r>
        <w:rPr>
          <w:rFonts w:hint="eastAsia" w:ascii="黑体" w:hAnsi="黑体" w:eastAsia="黑体" w:cs="黑体"/>
          <w:bCs/>
          <w:sz w:val="21"/>
          <w:szCs w:val="21"/>
        </w:rPr>
        <w:t xml:space="preserve">  </w:t>
      </w:r>
      <w:r>
        <w:rPr>
          <w:rFonts w:hint="eastAsia" w:ascii="黑体" w:hAnsi="黑体" w:eastAsia="黑体" w:cs="黑体"/>
          <w:bCs/>
          <w:sz w:val="21"/>
          <w:szCs w:val="21"/>
          <w:lang w:val="en-US" w:eastAsia="zh-CN"/>
        </w:rPr>
        <w:t>股票</w:t>
      </w:r>
      <w:r>
        <w:rPr>
          <w:rFonts w:hint="eastAsia" w:ascii="黑体" w:hAnsi="黑体" w:eastAsia="黑体" w:cs="黑体"/>
          <w:bCs/>
          <w:sz w:val="21"/>
          <w:szCs w:val="21"/>
        </w:rPr>
        <w:t>简称：</w:t>
      </w:r>
      <w:sdt>
        <w:sdtPr>
          <w:rPr>
            <w:rFonts w:hint="eastAsia" w:ascii="黑体" w:hAnsi="黑体" w:eastAsia="黑体" w:cs="黑体"/>
            <w:bCs/>
            <w:sz w:val="21"/>
            <w:szCs w:val="21"/>
          </w:rPr>
          <w:alias w:val="公司简称"/>
          <w:tag w:val="_GBC_81c31f6c68a741c1acb30ff1595bc381"/>
          <w:id w:val="147479197"/>
          <w:lock w:val="sdtLocked"/>
          <w:placeholder>
            <w:docPart w:val="GBC22222222222222222222222222222"/>
          </w:placeholder>
        </w:sdtPr>
        <w:sdtEndPr>
          <w:rPr>
            <w:rFonts w:hint="eastAsia" w:ascii="黑体" w:hAnsi="黑体" w:eastAsia="黑体" w:cs="黑体"/>
            <w:bCs/>
            <w:sz w:val="21"/>
            <w:szCs w:val="21"/>
          </w:rPr>
        </w:sdtEndPr>
        <w:sdtContent>
          <w:r>
            <w:rPr>
              <w:rFonts w:hint="eastAsia" w:ascii="黑体" w:hAnsi="黑体" w:eastAsia="黑体" w:cs="黑体"/>
              <w:bCs/>
              <w:sz w:val="21"/>
              <w:szCs w:val="21"/>
            </w:rPr>
            <w:t>兖矿能源</w:t>
          </w:r>
        </w:sdtContent>
      </w:sdt>
      <w:r>
        <w:rPr>
          <w:rFonts w:hint="eastAsia" w:ascii="黑体" w:hAnsi="黑体" w:eastAsia="黑体" w:cs="黑体"/>
          <w:bCs/>
          <w:sz w:val="21"/>
          <w:szCs w:val="21"/>
        </w:rPr>
        <w:t xml:space="preserve">  </w:t>
      </w:r>
      <w:r>
        <w:rPr>
          <w:rFonts w:hint="eastAsia" w:ascii="黑体" w:hAnsi="黑体" w:eastAsia="黑体" w:cs="黑体"/>
          <w:bCs/>
          <w:sz w:val="21"/>
          <w:szCs w:val="21"/>
          <w:lang w:val="en-US" w:eastAsia="zh-CN"/>
        </w:rPr>
        <w:t xml:space="preserve">       </w:t>
      </w:r>
      <w:r>
        <w:rPr>
          <w:rFonts w:hint="eastAsia" w:ascii="黑体" w:hAnsi="黑体" w:eastAsia="黑体" w:cs="黑体"/>
          <w:bCs/>
          <w:sz w:val="21"/>
          <w:szCs w:val="21"/>
        </w:rPr>
        <w:t xml:space="preserve">   编号：</w:t>
      </w:r>
      <w:r>
        <w:rPr>
          <w:rFonts w:hint="eastAsia" w:ascii="黑体" w:hAnsi="黑体" w:eastAsia="黑体" w:cs="黑体"/>
          <w:bCs/>
          <w:sz w:val="21"/>
          <w:szCs w:val="21"/>
          <w:lang w:val="en-US" w:eastAsia="zh-CN"/>
        </w:rPr>
        <w:t>临</w:t>
      </w:r>
      <w:sdt>
        <w:sdtPr>
          <w:rPr>
            <w:rFonts w:hint="eastAsia" w:ascii="黑体" w:hAnsi="黑体" w:eastAsia="黑体" w:cs="黑体"/>
            <w:bCs/>
            <w:sz w:val="21"/>
            <w:szCs w:val="21"/>
          </w:rPr>
          <w:alias w:val="临时公告编号"/>
          <w:tag w:val="_GBC_51438e46cb944a2bb6b9cb5e9d53d512"/>
          <w:id w:val="147467816"/>
          <w:lock w:val="sdtLocked"/>
          <w:placeholder>
            <w:docPart w:val="GBC22222222222222222222222222222"/>
          </w:placeholder>
        </w:sdtPr>
        <w:sdtEndPr>
          <w:rPr>
            <w:rFonts w:hint="eastAsia" w:ascii="黑体" w:hAnsi="黑体" w:eastAsia="黑体" w:cs="黑体"/>
            <w:bCs/>
            <w:sz w:val="21"/>
            <w:szCs w:val="21"/>
          </w:rPr>
        </w:sdtEndPr>
        <w:sdtContent>
          <w:r>
            <w:rPr>
              <w:rFonts w:hint="eastAsia" w:ascii="黑体" w:hAnsi="黑体" w:eastAsia="黑体" w:cs="黑体"/>
              <w:bCs/>
              <w:sz w:val="21"/>
              <w:szCs w:val="21"/>
            </w:rPr>
            <w:t>2026-</w:t>
          </w:r>
          <w:r>
            <w:rPr>
              <w:rFonts w:hint="eastAsia" w:ascii="黑体" w:hAnsi="黑体" w:eastAsia="黑体" w:cs="黑体"/>
              <w:bCs/>
              <w:sz w:val="21"/>
              <w:szCs w:val="21"/>
              <w:lang w:val="en-US" w:eastAsia="zh-CN"/>
            </w:rPr>
            <w:t>064</w:t>
          </w:r>
        </w:sdtContent>
      </w:sdt>
    </w:p>
    <w:p w14:paraId="6064FA4A">
      <w:pPr>
        <w:jc w:val="both"/>
        <w:rPr>
          <w:rFonts w:hint="eastAsia" w:ascii="黑体" w:hAnsi="黑体" w:eastAsia="黑体"/>
          <w:b/>
          <w:sz w:val="36"/>
          <w:szCs w:val="36"/>
        </w:rPr>
      </w:pPr>
      <w:bookmarkStart w:id="0" w:name="_Hlk201757120"/>
    </w:p>
    <w:p w14:paraId="5F1ADDA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黑体" w:hAnsi="黑体" w:eastAsia="黑体"/>
          <w:b/>
          <w:color w:val="FF0000"/>
          <w:sz w:val="36"/>
          <w:szCs w:val="24"/>
        </w:rPr>
      </w:pPr>
      <w:r>
        <w:rPr>
          <w:rFonts w:hint="eastAsia" w:ascii="黑体" w:hAnsi="黑体" w:eastAsia="黑体"/>
          <w:b/>
          <w:color w:val="FF0000"/>
          <w:sz w:val="36"/>
          <w:szCs w:val="24"/>
        </w:rPr>
        <w:t>兖矿能源集团股份有限公司</w:t>
      </w:r>
    </w:p>
    <w:p w14:paraId="4FB2FF1C">
      <w:pPr>
        <w:keepNext w:val="0"/>
        <w:keepLines w:val="0"/>
        <w:pageBreakBefore w:val="0"/>
        <w:widowControl w:val="0"/>
        <w:kinsoku/>
        <w:wordWrap/>
        <w:overflowPunct/>
        <w:topLinePunct w:val="0"/>
        <w:autoSpaceDE/>
        <w:autoSpaceDN/>
        <w:bidi w:val="0"/>
        <w:adjustRightInd w:val="0"/>
        <w:snapToGrid w:val="0"/>
        <w:spacing w:after="157" w:afterLines="50" w:line="520" w:lineRule="exact"/>
        <w:jc w:val="center"/>
        <w:textAlignment w:val="auto"/>
        <w:rPr>
          <w:rFonts w:hint="eastAsia" w:ascii="黑体" w:hAnsi="黑体" w:eastAsia="黑体"/>
          <w:b/>
          <w:color w:val="FF0000"/>
          <w:sz w:val="36"/>
          <w:szCs w:val="24"/>
        </w:rPr>
      </w:pPr>
      <w:bookmarkStart w:id="1" w:name="OLE_LINK1"/>
      <w:r>
        <w:rPr>
          <w:rFonts w:hint="eastAsia" w:ascii="黑体" w:hAnsi="黑体" w:eastAsia="黑体"/>
          <w:b/>
          <w:color w:val="FF0000"/>
          <w:sz w:val="36"/>
          <w:szCs w:val="24"/>
        </w:rPr>
        <w:t>关于控股股东增持计划进展暨首次增持公司股份</w:t>
      </w:r>
      <w:bookmarkEnd w:id="1"/>
      <w:r>
        <w:rPr>
          <w:rFonts w:hint="eastAsia" w:ascii="黑体" w:hAnsi="黑体" w:eastAsia="黑体"/>
          <w:b/>
          <w:color w:val="FF0000"/>
          <w:sz w:val="36"/>
          <w:szCs w:val="24"/>
          <w:lang w:val="en-US" w:eastAsia="zh-CN"/>
        </w:rPr>
        <w:t>的</w:t>
      </w:r>
      <w:r>
        <w:rPr>
          <w:rFonts w:hint="eastAsia" w:ascii="黑体" w:hAnsi="黑体" w:eastAsia="黑体"/>
          <w:b/>
          <w:color w:val="FF0000"/>
          <w:sz w:val="36"/>
          <w:szCs w:val="24"/>
        </w:rPr>
        <w:t>公告</w:t>
      </w:r>
    </w:p>
    <w:p w14:paraId="20F1B2E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hint="eastAsia" w:asciiTheme="minorEastAsia" w:hAnsiTheme="minorEastAsia"/>
          <w:color w:val="000000"/>
          <w:sz w:val="24"/>
          <w:szCs w:val="24"/>
        </w:rPr>
      </w:pPr>
      <w:r>
        <w:rPr>
          <w:rFonts w:hint="eastAsia" w:asciiTheme="minorEastAsia" w:hAnsiTheme="minorEastAsia"/>
          <w:color w:val="000000"/>
          <w:sz w:val="24"/>
          <w:szCs w:val="24"/>
        </w:rPr>
        <w:t>本公司董事会、全体董事及相关股东保证本公告内容不存在任何虚假记载、误导性陈述或者重大遗漏，并对其内容的真实性、准确性和完整性承担法律责任。</w:t>
      </w:r>
    </w:p>
    <w:p w14:paraId="2A56AF8C">
      <w:pPr>
        <w:autoSpaceDE w:val="0"/>
        <w:autoSpaceDN w:val="0"/>
        <w:adjustRightInd w:val="0"/>
        <w:spacing w:line="360" w:lineRule="auto"/>
        <w:rPr>
          <w:rFonts w:hint="eastAsia" w:cs="宋体" w:asciiTheme="minorEastAsia" w:hAnsiTheme="minorEastAsia"/>
          <w:color w:val="000000"/>
          <w:kern w:val="0"/>
          <w:sz w:val="24"/>
          <w:szCs w:val="24"/>
        </w:rPr>
      </w:pPr>
    </w:p>
    <w:p w14:paraId="0BA0D61D">
      <w:pPr>
        <w:adjustRightInd w:val="0"/>
        <w:snapToGrid w:val="0"/>
        <w:spacing w:line="360" w:lineRule="auto"/>
        <w:outlineLvl w:val="0"/>
        <w:rPr>
          <w:rFonts w:hint="eastAsia" w:asciiTheme="minorEastAsia" w:hAnsiTheme="minorEastAsia"/>
          <w:b/>
          <w:sz w:val="28"/>
          <w:szCs w:val="28"/>
        </w:rPr>
      </w:pPr>
      <w:r>
        <w:rPr>
          <w:rFonts w:hint="eastAsia" w:asciiTheme="minorEastAsia" w:hAnsiTheme="minorEastAsia"/>
          <w:b/>
          <w:sz w:val="28"/>
          <w:szCs w:val="28"/>
        </w:rPr>
        <w:t>重要内容提示：</w:t>
      </w:r>
    </w:p>
    <w:p w14:paraId="1AF1C444">
      <w:pPr>
        <w:numPr>
          <w:ilvl w:val="0"/>
          <w:numId w:val="1"/>
        </w:numPr>
        <w:adjustRightInd w:val="0"/>
        <w:snapToGrid w:val="0"/>
        <w:spacing w:line="360" w:lineRule="auto"/>
        <w:rPr>
          <w:rFonts w:hint="eastAsia" w:ascii="宋体" w:hAnsi="宋体" w:eastAsia="宋体" w:cs="宋体"/>
          <w:b w:val="0"/>
          <w:bCs/>
          <w:sz w:val="24"/>
          <w:szCs w:val="24"/>
        </w:rPr>
      </w:pPr>
      <w:r>
        <w:rPr>
          <w:rFonts w:hint="eastAsia" w:ascii="宋体" w:hAnsi="宋体" w:eastAsia="宋体" w:cs="宋体"/>
          <w:b/>
          <w:sz w:val="24"/>
          <w:szCs w:val="24"/>
        </w:rPr>
        <w:t>已披露增持计划情况</w:t>
      </w:r>
      <w:r>
        <w:rPr>
          <w:rFonts w:hint="eastAsia" w:ascii="宋体" w:hAnsi="宋体" w:eastAsia="宋体" w:cs="宋体"/>
          <w:b/>
          <w:sz w:val="24"/>
          <w:szCs w:val="24"/>
          <w:lang w:eastAsia="zh-CN"/>
        </w:rPr>
        <w:t>：</w:t>
      </w:r>
      <w:r>
        <w:rPr>
          <w:rFonts w:hint="eastAsia" w:ascii="宋体" w:hAnsi="宋体" w:eastAsia="宋体" w:cs="宋体"/>
          <w:b w:val="0"/>
          <w:bCs/>
          <w:sz w:val="24"/>
          <w:szCs w:val="24"/>
          <w:lang w:eastAsia="zh-CN"/>
        </w:rPr>
        <w:t>兖矿能源集团股份有限公司（“公司”）于202</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lang w:eastAsia="zh-CN"/>
        </w:rPr>
        <w:t>年</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lang w:eastAsia="zh-CN"/>
        </w:rPr>
        <w:t>月2</w:t>
      </w:r>
      <w:r>
        <w:rPr>
          <w:rFonts w:hint="eastAsia" w:ascii="宋体" w:hAnsi="宋体" w:eastAsia="宋体" w:cs="宋体"/>
          <w:b w:val="0"/>
          <w:bCs/>
          <w:sz w:val="24"/>
          <w:szCs w:val="24"/>
          <w:lang w:val="en-US" w:eastAsia="zh-CN"/>
        </w:rPr>
        <w:t>7</w:t>
      </w:r>
      <w:r>
        <w:rPr>
          <w:rFonts w:hint="eastAsia" w:ascii="宋体" w:hAnsi="宋体" w:eastAsia="宋体" w:cs="宋体"/>
          <w:b w:val="0"/>
          <w:bCs/>
          <w:sz w:val="24"/>
          <w:szCs w:val="24"/>
          <w:lang w:eastAsia="zh-CN"/>
        </w:rPr>
        <w:t>日披露了《关于控股股东增持公司股份计划的公告》，控股股东山东能源集团有限公司（“山东能源”）计划在未来12个月内，通过上海证券交易所交易系统，以集中竞价方式增持公司A股，累计增持金额不低于人民币</w:t>
      </w: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lang w:eastAsia="zh-CN"/>
        </w:rPr>
        <w:t>亿元，不超过人民币</w:t>
      </w: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lang w:eastAsia="zh-CN"/>
        </w:rPr>
        <w:t>亿元。</w:t>
      </w:r>
    </w:p>
    <w:p w14:paraId="7E80DA6D">
      <w:pPr>
        <w:numPr>
          <w:ilvl w:val="0"/>
          <w:numId w:val="1"/>
        </w:numPr>
        <w:adjustRightInd w:val="0"/>
        <w:snapToGrid w:val="0"/>
        <w:spacing w:line="360" w:lineRule="auto"/>
        <w:rPr>
          <w:rFonts w:hint="eastAsia" w:ascii="宋体" w:hAnsi="宋体" w:eastAsia="宋体" w:cs="宋体"/>
          <w:b/>
          <w:sz w:val="24"/>
          <w:szCs w:val="24"/>
        </w:rPr>
      </w:pPr>
      <w:r>
        <w:rPr>
          <w:rFonts w:hint="eastAsia" w:ascii="宋体" w:hAnsi="宋体" w:eastAsia="宋体" w:cs="宋体"/>
          <w:b/>
          <w:sz w:val="24"/>
          <w:szCs w:val="24"/>
        </w:rPr>
        <w:t>增持计划的实施进展情况</w:t>
      </w:r>
      <w:r>
        <w:rPr>
          <w:rFonts w:hint="eastAsia" w:ascii="宋体" w:hAnsi="宋体" w:eastAsia="宋体" w:cs="宋体"/>
          <w:b/>
          <w:sz w:val="24"/>
          <w:szCs w:val="24"/>
          <w:lang w:eastAsia="zh-CN"/>
        </w:rPr>
        <w:t>：</w:t>
      </w:r>
      <w:r>
        <w:rPr>
          <w:rFonts w:hint="eastAsia" w:ascii="宋体" w:hAnsi="宋体" w:eastAsia="宋体" w:cs="宋体"/>
          <w:b w:val="0"/>
          <w:bCs/>
          <w:sz w:val="24"/>
          <w:szCs w:val="24"/>
          <w:lang w:eastAsia="zh-CN"/>
        </w:rPr>
        <w:t>公司于202</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lang w:eastAsia="zh-CN"/>
        </w:rPr>
        <w:t>年</w:t>
      </w:r>
      <w:r>
        <w:rPr>
          <w:rFonts w:hint="eastAsia" w:ascii="宋体" w:hAnsi="宋体" w:eastAsia="宋体" w:cs="宋体"/>
          <w:b w:val="0"/>
          <w:bCs/>
          <w:sz w:val="24"/>
          <w:szCs w:val="24"/>
          <w:lang w:val="en-US" w:eastAsia="zh-CN"/>
        </w:rPr>
        <w:t>7</w:t>
      </w:r>
      <w:r>
        <w:rPr>
          <w:rFonts w:hint="eastAsia" w:ascii="宋体" w:hAnsi="宋体" w:eastAsia="宋体" w:cs="宋体"/>
          <w:b w:val="0"/>
          <w:bCs/>
          <w:sz w:val="24"/>
          <w:szCs w:val="24"/>
          <w:lang w:eastAsia="zh-CN"/>
        </w:rPr>
        <w:t>月2</w:t>
      </w:r>
      <w:r>
        <w:rPr>
          <w:rFonts w:hint="eastAsia" w:ascii="宋体" w:hAnsi="宋体" w:eastAsia="宋体" w:cs="宋体"/>
          <w:b w:val="0"/>
          <w:bCs/>
          <w:sz w:val="24"/>
          <w:szCs w:val="24"/>
          <w:lang w:val="en-US" w:eastAsia="zh-CN"/>
        </w:rPr>
        <w:t>0</w:t>
      </w:r>
      <w:r>
        <w:rPr>
          <w:rFonts w:hint="eastAsia" w:ascii="宋体" w:hAnsi="宋体" w:eastAsia="宋体" w:cs="宋体"/>
          <w:b w:val="0"/>
          <w:bCs/>
          <w:sz w:val="24"/>
          <w:szCs w:val="24"/>
          <w:lang w:eastAsia="zh-CN"/>
        </w:rPr>
        <w:t>日收到山东能源通知，山东能源于202</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lang w:eastAsia="zh-CN"/>
        </w:rPr>
        <w:t>年</w:t>
      </w:r>
      <w:r>
        <w:rPr>
          <w:rFonts w:hint="eastAsia" w:ascii="宋体" w:hAnsi="宋体" w:eastAsia="宋体" w:cs="宋体"/>
          <w:b w:val="0"/>
          <w:bCs/>
          <w:sz w:val="24"/>
          <w:szCs w:val="24"/>
          <w:lang w:val="en-US" w:eastAsia="zh-CN"/>
        </w:rPr>
        <w:t>7</w:t>
      </w:r>
      <w:r>
        <w:rPr>
          <w:rFonts w:hint="eastAsia" w:ascii="宋体" w:hAnsi="宋体" w:eastAsia="宋体" w:cs="宋体"/>
          <w:b w:val="0"/>
          <w:bCs/>
          <w:sz w:val="24"/>
          <w:szCs w:val="24"/>
          <w:lang w:eastAsia="zh-CN"/>
        </w:rPr>
        <w:t>月2</w:t>
      </w:r>
      <w:r>
        <w:rPr>
          <w:rFonts w:hint="eastAsia" w:ascii="宋体" w:hAnsi="宋体" w:eastAsia="宋体" w:cs="宋体"/>
          <w:b w:val="0"/>
          <w:bCs/>
          <w:sz w:val="24"/>
          <w:szCs w:val="24"/>
          <w:lang w:val="en-US" w:eastAsia="zh-CN"/>
        </w:rPr>
        <w:t>0</w:t>
      </w:r>
      <w:r>
        <w:rPr>
          <w:rFonts w:hint="eastAsia" w:ascii="宋体" w:hAnsi="宋体" w:eastAsia="宋体" w:cs="宋体"/>
          <w:b w:val="0"/>
          <w:bCs/>
          <w:sz w:val="24"/>
          <w:szCs w:val="24"/>
          <w:lang w:eastAsia="zh-CN"/>
        </w:rPr>
        <w:t>日通过上海证券交易所交易系统以集中竞价方式首次增持公司A股</w:t>
      </w:r>
      <w:r>
        <w:rPr>
          <w:rFonts w:hint="eastAsia" w:ascii="宋体" w:hAnsi="宋体" w:eastAsia="宋体" w:cs="宋体"/>
          <w:b w:val="0"/>
          <w:bCs/>
          <w:sz w:val="24"/>
          <w:szCs w:val="24"/>
          <w:lang w:val="en-US" w:eastAsia="zh-CN"/>
        </w:rPr>
        <w:t>股份997,790</w:t>
      </w:r>
      <w:r>
        <w:rPr>
          <w:rFonts w:hint="eastAsia" w:ascii="宋体" w:hAnsi="宋体" w:eastAsia="宋体" w:cs="宋体"/>
          <w:b w:val="0"/>
          <w:bCs/>
          <w:sz w:val="24"/>
          <w:szCs w:val="24"/>
          <w:lang w:eastAsia="zh-CN"/>
        </w:rPr>
        <w:t>股，占公司总股本的比例约为</w:t>
      </w:r>
      <w:r>
        <w:rPr>
          <w:rFonts w:hint="eastAsia" w:ascii="宋体" w:hAnsi="宋体" w:eastAsia="宋体" w:cs="宋体"/>
          <w:b w:val="0"/>
          <w:bCs/>
          <w:sz w:val="24"/>
          <w:szCs w:val="24"/>
          <w:lang w:val="en-US" w:eastAsia="zh-CN"/>
        </w:rPr>
        <w:t>0.01</w:t>
      </w:r>
      <w:r>
        <w:rPr>
          <w:rFonts w:hint="eastAsia" w:ascii="宋体" w:hAnsi="宋体" w:eastAsia="宋体" w:cs="宋体"/>
          <w:b w:val="0"/>
          <w:bCs/>
          <w:sz w:val="24"/>
          <w:szCs w:val="24"/>
          <w:lang w:eastAsia="zh-CN"/>
        </w:rPr>
        <w:t>%，增持金额</w:t>
      </w:r>
      <w:r>
        <w:rPr>
          <w:rFonts w:hint="eastAsia" w:ascii="宋体" w:hAnsi="宋体" w:eastAsia="宋体" w:cs="宋体"/>
          <w:b w:val="0"/>
          <w:bCs/>
          <w:sz w:val="24"/>
          <w:szCs w:val="24"/>
          <w:lang w:val="en-US" w:eastAsia="zh-CN"/>
        </w:rPr>
        <w:t>人民币20,234,060.70</w:t>
      </w:r>
      <w:r>
        <w:rPr>
          <w:rFonts w:hint="eastAsia" w:ascii="宋体" w:hAnsi="宋体" w:eastAsia="宋体" w:cs="宋体"/>
          <w:b w:val="0"/>
          <w:bCs/>
          <w:sz w:val="24"/>
          <w:szCs w:val="24"/>
          <w:lang w:eastAsia="zh-CN"/>
        </w:rPr>
        <w:t>元。</w:t>
      </w:r>
    </w:p>
    <w:p w14:paraId="445E7037">
      <w:pPr>
        <w:numPr>
          <w:ilvl w:val="0"/>
          <w:numId w:val="1"/>
        </w:numPr>
        <w:adjustRightInd w:val="0"/>
        <w:snapToGrid w:val="0"/>
        <w:spacing w:line="360" w:lineRule="auto"/>
        <w:rPr>
          <w:rFonts w:hint="eastAsia" w:asciiTheme="minorEastAsia" w:hAnsiTheme="minorEastAsia"/>
          <w:b/>
          <w:sz w:val="24"/>
          <w:szCs w:val="24"/>
        </w:rPr>
      </w:pPr>
      <w:r>
        <w:rPr>
          <w:rFonts w:hint="eastAsia" w:ascii="宋体" w:hAnsi="宋体" w:eastAsia="宋体" w:cs="宋体"/>
          <w:b/>
          <w:sz w:val="24"/>
          <w:szCs w:val="24"/>
        </w:rPr>
        <w:t>增持计划无法实施风险</w:t>
      </w:r>
      <w:r>
        <w:rPr>
          <w:rFonts w:hint="eastAsia" w:ascii="宋体" w:hAnsi="宋体" w:eastAsia="宋体" w:cs="宋体"/>
          <w:b/>
          <w:sz w:val="24"/>
          <w:szCs w:val="24"/>
          <w:lang w:eastAsia="zh-CN"/>
        </w:rPr>
        <w:t>：</w:t>
      </w:r>
      <w:r>
        <w:rPr>
          <w:rFonts w:hint="eastAsia" w:ascii="宋体" w:hAnsi="宋体" w:eastAsia="宋体" w:cs="宋体"/>
          <w:bCs/>
          <w:sz w:val="24"/>
          <w:szCs w:val="24"/>
        </w:rPr>
        <w:t>本次增持计划可能存在因资本市场情况发生</w:t>
      </w:r>
      <w:r>
        <w:rPr>
          <w:rFonts w:hint="eastAsia" w:asciiTheme="minorEastAsia" w:hAnsiTheme="minorEastAsia"/>
          <w:bCs/>
          <w:sz w:val="24"/>
          <w:szCs w:val="24"/>
        </w:rPr>
        <w:t>变化或目前尚无法预判的其他风险因素导致增持计划的实施无法达到预期的风险</w:t>
      </w:r>
      <w:r>
        <w:rPr>
          <w:rFonts w:hint="eastAsia" w:asciiTheme="minorEastAsia" w:hAnsiTheme="minorEastAsia"/>
          <w:bCs/>
          <w:sz w:val="24"/>
          <w:szCs w:val="24"/>
          <w:lang w:eastAsia="zh-CN"/>
        </w:rPr>
        <w:t>。</w:t>
      </w:r>
    </w:p>
    <w:p w14:paraId="41B5014A"/>
    <w:p w14:paraId="57FF549D">
      <w:pPr>
        <w:numPr>
          <w:ilvl w:val="0"/>
          <w:numId w:val="2"/>
        </w:numPr>
        <w:adjustRightInd w:val="0"/>
        <w:snapToGrid w:val="0"/>
        <w:spacing w:line="360" w:lineRule="auto"/>
        <w:ind w:firstLine="562" w:firstLineChars="200"/>
        <w:outlineLvl w:val="0"/>
        <w:rPr>
          <w:rFonts w:hint="eastAsia" w:asciiTheme="minorEastAsia" w:hAnsiTheme="minorEastAsia"/>
          <w:b/>
          <w:sz w:val="28"/>
          <w:szCs w:val="28"/>
        </w:rPr>
      </w:pPr>
      <w:r>
        <w:rPr>
          <w:rFonts w:hint="eastAsia" w:asciiTheme="minorEastAsia" w:hAnsiTheme="minorEastAsia"/>
          <w:b/>
          <w:sz w:val="28"/>
          <w:szCs w:val="28"/>
        </w:rPr>
        <w:t>增持主体的基本情况</w:t>
      </w:r>
    </w:p>
    <w:tbl>
      <w:tblPr>
        <w:tblStyle w:val="10"/>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21"/>
        <w:gridCol w:w="5901"/>
      </w:tblGrid>
      <w:tr w14:paraId="6DCA1A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6" w:hRule="atLeast"/>
        </w:trPr>
        <w:tc>
          <w:tcPr>
            <w:tcW w:w="0" w:type="auto"/>
            <w:vAlign w:val="center"/>
          </w:tcPr>
          <w:p w14:paraId="795DF7F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sz w:val="24"/>
                <w:szCs w:val="24"/>
              </w:rPr>
              <w:t>增持主体名称</w:t>
            </w:r>
          </w:p>
        </w:tc>
        <w:tc>
          <w:tcPr>
            <w:tcW w:w="0" w:type="auto"/>
            <w:vAlign w:val="center"/>
          </w:tcPr>
          <w:p w14:paraId="24FF361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eastAsiaTheme="minorEastAsia"/>
                <w:bCs/>
                <w:sz w:val="24"/>
                <w:szCs w:val="24"/>
                <w:lang w:eastAsia="zh-CN"/>
              </w:rPr>
            </w:pPr>
            <w:r>
              <w:rPr>
                <w:rFonts w:hint="eastAsia" w:asciiTheme="minorEastAsia" w:hAnsiTheme="minorEastAsia"/>
                <w:bCs/>
                <w:color w:val="auto"/>
                <w:sz w:val="24"/>
                <w:szCs w:val="24"/>
                <w:lang w:val="en-US" w:eastAsia="zh-CN"/>
              </w:rPr>
              <w:t>山东能源</w:t>
            </w:r>
          </w:p>
        </w:tc>
      </w:tr>
      <w:tr w14:paraId="181D47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7D78778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sz w:val="24"/>
                <w:szCs w:val="24"/>
              </w:rPr>
              <w:t>增持主体身份</w:t>
            </w:r>
          </w:p>
        </w:tc>
        <w:tc>
          <w:tcPr>
            <w:tcW w:w="3462" w:type="pct"/>
            <w:vAlign w:val="center"/>
          </w:tcPr>
          <w:p w14:paraId="118F3A8F">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sz w:val="24"/>
                <w:szCs w:val="24"/>
              </w:rPr>
            </w:pPr>
            <w:r>
              <w:rPr>
                <w:rFonts w:hint="eastAsia" w:ascii="宋体" w:hAnsi="宋体" w:eastAsia="宋体"/>
                <w:sz w:val="24"/>
                <w:szCs w:val="24"/>
              </w:rPr>
              <w:t xml:space="preserve">控股股东、实控人                  </w:t>
            </w:r>
            <w:r>
              <w:rPr>
                <w:rFonts w:hint="eastAsia" w:ascii="宋体" w:hAnsi="宋体" w:eastAsia="宋体"/>
                <w:sz w:val="24"/>
                <w:szCs w:val="24"/>
              </w:rPr>
              <w:sym w:font="Wingdings 2" w:char="0052"/>
            </w:r>
            <w:r>
              <w:rPr>
                <w:rFonts w:hint="eastAsia" w:ascii="宋体" w:hAnsi="宋体" w:eastAsia="宋体"/>
                <w:sz w:val="24"/>
                <w:szCs w:val="24"/>
              </w:rPr>
              <w:t xml:space="preserve">是 </w:t>
            </w:r>
            <w:r>
              <w:rPr>
                <w:rFonts w:hint="eastAsia" w:ascii="宋体" w:hAnsi="宋体" w:eastAsia="宋体"/>
                <w:sz w:val="24"/>
                <w:szCs w:val="24"/>
              </w:rPr>
              <w:sym w:font="Wingdings 2" w:char="00A3"/>
            </w:r>
            <w:r>
              <w:rPr>
                <w:rFonts w:hint="eastAsia" w:ascii="宋体" w:hAnsi="宋体" w:eastAsia="宋体"/>
                <w:sz w:val="24"/>
                <w:szCs w:val="24"/>
              </w:rPr>
              <w:t>否</w:t>
            </w:r>
          </w:p>
          <w:p w14:paraId="3EC64DCD">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sz w:val="24"/>
                <w:szCs w:val="24"/>
              </w:rPr>
            </w:pPr>
            <w:r>
              <w:rPr>
                <w:rFonts w:hint="eastAsia" w:ascii="宋体" w:hAnsi="宋体" w:eastAsia="宋体"/>
                <w:sz w:val="24"/>
                <w:szCs w:val="24"/>
              </w:rPr>
              <w:t xml:space="preserve">控股股东、实控人的一致行动人      </w:t>
            </w:r>
            <w:r>
              <w:rPr>
                <w:rFonts w:hint="eastAsia" w:ascii="宋体" w:hAnsi="宋体" w:eastAsia="宋体"/>
                <w:sz w:val="24"/>
                <w:szCs w:val="24"/>
              </w:rPr>
              <w:sym w:font="Wingdings 2" w:char="00A3"/>
            </w:r>
            <w:r>
              <w:rPr>
                <w:rFonts w:hint="eastAsia" w:ascii="宋体" w:hAnsi="宋体" w:eastAsia="宋体"/>
                <w:sz w:val="24"/>
                <w:szCs w:val="24"/>
              </w:rPr>
              <w:t xml:space="preserve">是 </w:t>
            </w:r>
            <w:r>
              <w:rPr>
                <w:rFonts w:hint="eastAsia" w:ascii="宋体" w:hAnsi="宋体" w:eastAsia="宋体"/>
                <w:sz w:val="24"/>
                <w:szCs w:val="24"/>
              </w:rPr>
              <w:sym w:font="Wingdings 2" w:char="0052"/>
            </w:r>
            <w:r>
              <w:rPr>
                <w:rFonts w:hint="eastAsia" w:ascii="宋体" w:hAnsi="宋体" w:eastAsia="宋体"/>
                <w:sz w:val="24"/>
                <w:szCs w:val="24"/>
              </w:rPr>
              <w:t>否</w:t>
            </w:r>
          </w:p>
          <w:p w14:paraId="58A380BF">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sz w:val="24"/>
                <w:szCs w:val="24"/>
              </w:rPr>
            </w:pPr>
            <w:r>
              <w:rPr>
                <w:rFonts w:hint="eastAsia" w:ascii="宋体" w:hAnsi="宋体" w:eastAsia="宋体"/>
                <w:sz w:val="24"/>
                <w:szCs w:val="24"/>
              </w:rPr>
              <w:t xml:space="preserve">直接持股 5%以上股东               </w:t>
            </w:r>
            <w:r>
              <w:rPr>
                <w:rFonts w:hint="eastAsia" w:ascii="宋体" w:hAnsi="宋体" w:eastAsia="宋体"/>
                <w:sz w:val="24"/>
                <w:szCs w:val="24"/>
              </w:rPr>
              <w:sym w:font="Wingdings 2" w:char="00A3"/>
            </w:r>
            <w:r>
              <w:rPr>
                <w:rFonts w:hint="eastAsia" w:ascii="宋体" w:hAnsi="宋体" w:eastAsia="宋体"/>
                <w:sz w:val="24"/>
                <w:szCs w:val="24"/>
              </w:rPr>
              <w:t xml:space="preserve">是 </w:t>
            </w:r>
            <w:r>
              <w:rPr>
                <w:rFonts w:hint="eastAsia" w:ascii="宋体" w:hAnsi="宋体" w:eastAsia="宋体"/>
                <w:sz w:val="24"/>
                <w:szCs w:val="24"/>
              </w:rPr>
              <w:sym w:font="Wingdings 2" w:char="0052"/>
            </w:r>
            <w:r>
              <w:rPr>
                <w:rFonts w:hint="eastAsia" w:ascii="宋体" w:hAnsi="宋体" w:eastAsia="宋体"/>
                <w:sz w:val="24"/>
                <w:szCs w:val="24"/>
              </w:rPr>
              <w:t>否</w:t>
            </w:r>
          </w:p>
          <w:p w14:paraId="6FFEAC1A">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sz w:val="24"/>
                <w:szCs w:val="24"/>
              </w:rPr>
            </w:pPr>
            <w:r>
              <w:rPr>
                <w:rFonts w:hint="eastAsia" w:ascii="宋体" w:hAnsi="宋体" w:eastAsia="宋体"/>
                <w:sz w:val="24"/>
                <w:szCs w:val="24"/>
              </w:rPr>
              <w:t xml:space="preserve">董事、监事和高级管理人员          </w:t>
            </w:r>
            <w:r>
              <w:rPr>
                <w:rFonts w:hint="eastAsia" w:ascii="宋体" w:hAnsi="宋体" w:eastAsia="宋体"/>
                <w:sz w:val="24"/>
                <w:szCs w:val="24"/>
              </w:rPr>
              <w:sym w:font="Wingdings 2" w:char="00A3"/>
            </w:r>
            <w:r>
              <w:rPr>
                <w:rFonts w:hint="eastAsia" w:ascii="宋体" w:hAnsi="宋体" w:eastAsia="宋体"/>
                <w:sz w:val="24"/>
                <w:szCs w:val="24"/>
              </w:rPr>
              <w:t xml:space="preserve">是 </w:t>
            </w:r>
            <w:r>
              <w:rPr>
                <w:rFonts w:hint="eastAsia" w:ascii="宋体" w:hAnsi="宋体" w:eastAsia="宋体"/>
                <w:sz w:val="24"/>
                <w:szCs w:val="24"/>
              </w:rPr>
              <w:sym w:font="Wingdings 2" w:char="0052"/>
            </w:r>
            <w:r>
              <w:rPr>
                <w:rFonts w:hint="eastAsia" w:ascii="宋体" w:hAnsi="宋体" w:eastAsia="宋体"/>
                <w:sz w:val="24"/>
                <w:szCs w:val="24"/>
              </w:rPr>
              <w:t>否</w:t>
            </w:r>
          </w:p>
        </w:tc>
      </w:tr>
      <w:tr w14:paraId="796537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364F9C0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sz w:val="24"/>
                <w:szCs w:val="24"/>
              </w:rPr>
              <w:t>增持前持股数量</w:t>
            </w:r>
          </w:p>
        </w:tc>
        <w:tc>
          <w:tcPr>
            <w:tcW w:w="3462" w:type="pct"/>
            <w:vAlign w:val="center"/>
          </w:tcPr>
          <w:p w14:paraId="2722B42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color w:val="000000" w:themeColor="text1"/>
                <w:sz w:val="24"/>
                <w:szCs w:val="24"/>
                <w:lang w:val="en-US" w:eastAsia="zh-CN"/>
              </w:rPr>
              <w:t>5,303,899,421</w:t>
            </w:r>
            <w:r>
              <w:rPr>
                <w:rFonts w:hint="eastAsia" w:asciiTheme="minorEastAsia" w:hAnsiTheme="minorEastAsia"/>
                <w:bCs/>
                <w:sz w:val="24"/>
                <w:szCs w:val="24"/>
              </w:rPr>
              <w:t>股</w:t>
            </w:r>
          </w:p>
        </w:tc>
      </w:tr>
      <w:tr w14:paraId="404118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3B025D0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sz w:val="24"/>
                <w:szCs w:val="24"/>
              </w:rPr>
              <w:t>增持前持股比例</w:t>
            </w:r>
          </w:p>
          <w:p w14:paraId="64B7279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sz w:val="24"/>
                <w:szCs w:val="24"/>
              </w:rPr>
              <w:t>（占总股本）</w:t>
            </w:r>
          </w:p>
        </w:tc>
        <w:tc>
          <w:tcPr>
            <w:tcW w:w="3462" w:type="pct"/>
            <w:vAlign w:val="center"/>
          </w:tcPr>
          <w:p w14:paraId="61777E9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sz w:val="24"/>
                <w:szCs w:val="24"/>
              </w:rPr>
            </w:pPr>
            <w:r>
              <w:rPr>
                <w:rFonts w:hint="eastAsia" w:asciiTheme="minorEastAsia" w:hAnsiTheme="minorEastAsia"/>
                <w:bCs/>
                <w:color w:val="000000" w:themeColor="text1"/>
                <w:sz w:val="24"/>
                <w:szCs w:val="24"/>
                <w:lang w:val="en-US" w:eastAsia="zh-CN"/>
              </w:rPr>
              <w:t>52.84</w:t>
            </w:r>
            <w:r>
              <w:rPr>
                <w:rFonts w:hint="eastAsia" w:asciiTheme="minorEastAsia" w:hAnsiTheme="minorEastAsia"/>
                <w:bCs/>
                <w:sz w:val="24"/>
                <w:szCs w:val="24"/>
              </w:rPr>
              <w:t>%</w:t>
            </w:r>
          </w:p>
        </w:tc>
      </w:tr>
    </w:tbl>
    <w:p w14:paraId="0E7CD6E3"/>
    <w:p w14:paraId="66D270AD">
      <w:pPr>
        <w:numPr>
          <w:ilvl w:val="0"/>
          <w:numId w:val="2"/>
        </w:numPr>
        <w:adjustRightInd w:val="0"/>
        <w:snapToGrid w:val="0"/>
        <w:spacing w:line="360" w:lineRule="auto"/>
        <w:ind w:firstLine="562" w:firstLineChars="200"/>
        <w:outlineLvl w:val="0"/>
        <w:rPr>
          <w:rFonts w:hint="eastAsia" w:asciiTheme="minorEastAsia" w:hAnsiTheme="minorEastAsia"/>
          <w:b/>
          <w:sz w:val="28"/>
          <w:szCs w:val="28"/>
        </w:rPr>
      </w:pPr>
      <w:r>
        <w:rPr>
          <w:rFonts w:hint="eastAsia" w:asciiTheme="minorEastAsia" w:hAnsiTheme="minorEastAsia"/>
          <w:b/>
          <w:sz w:val="28"/>
          <w:szCs w:val="28"/>
        </w:rPr>
        <w:t>增持计划的实施进展</w:t>
      </w:r>
    </w:p>
    <w:tbl>
      <w:tblPr>
        <w:tblStyle w:val="10"/>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21"/>
        <w:gridCol w:w="5901"/>
      </w:tblGrid>
      <w:tr w14:paraId="1A9972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0B33F7C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增持主体名称</w:t>
            </w:r>
          </w:p>
        </w:tc>
        <w:tc>
          <w:tcPr>
            <w:tcW w:w="3462" w:type="pct"/>
            <w:vAlign w:val="center"/>
          </w:tcPr>
          <w:p w14:paraId="63B4652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lang w:val="en-US" w:eastAsia="zh-CN"/>
              </w:rPr>
            </w:pPr>
            <w:r>
              <w:rPr>
                <w:rFonts w:hint="eastAsia" w:ascii="宋体" w:hAnsi="宋体" w:eastAsia="宋体" w:cs="宋体"/>
                <w:color w:val="auto"/>
                <w:sz w:val="24"/>
                <w:szCs w:val="24"/>
                <w:lang w:val="en-US" w:eastAsia="zh-CN"/>
              </w:rPr>
              <w:t>山东能源</w:t>
            </w:r>
          </w:p>
        </w:tc>
      </w:tr>
      <w:tr w14:paraId="03FBA4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0BC27B0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增持计划首次披露日</w:t>
            </w:r>
          </w:p>
        </w:tc>
        <w:tc>
          <w:tcPr>
            <w:tcW w:w="3462" w:type="pct"/>
            <w:vAlign w:val="center"/>
          </w:tcPr>
          <w:p w14:paraId="3EF6252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27</w:t>
            </w:r>
            <w:r>
              <w:rPr>
                <w:rFonts w:hint="eastAsia" w:ascii="宋体" w:hAnsi="宋体" w:eastAsia="宋体" w:cs="宋体"/>
                <w:bCs/>
                <w:color w:val="auto"/>
                <w:sz w:val="24"/>
                <w:szCs w:val="24"/>
              </w:rPr>
              <w:t>日</w:t>
            </w:r>
          </w:p>
        </w:tc>
      </w:tr>
      <w:tr w14:paraId="01D272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67CF909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增持计划拟实施期间</w:t>
            </w:r>
          </w:p>
        </w:tc>
        <w:tc>
          <w:tcPr>
            <w:tcW w:w="3462" w:type="pct"/>
            <w:vAlign w:val="center"/>
          </w:tcPr>
          <w:p w14:paraId="20EB66C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27</w:t>
            </w:r>
            <w:r>
              <w:rPr>
                <w:rFonts w:hint="eastAsia" w:ascii="宋体" w:hAnsi="宋体" w:eastAsia="宋体" w:cs="宋体"/>
                <w:bCs/>
                <w:color w:val="auto"/>
                <w:sz w:val="24"/>
                <w:szCs w:val="24"/>
              </w:rPr>
              <w:t>日～202</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26</w:t>
            </w:r>
            <w:r>
              <w:rPr>
                <w:rFonts w:hint="eastAsia" w:ascii="宋体" w:hAnsi="宋体" w:eastAsia="宋体" w:cs="宋体"/>
                <w:bCs/>
                <w:color w:val="auto"/>
                <w:sz w:val="24"/>
                <w:szCs w:val="24"/>
              </w:rPr>
              <w:t>日</w:t>
            </w:r>
          </w:p>
        </w:tc>
      </w:tr>
      <w:tr w14:paraId="4589E4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0190B6E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增持计划拟增持金额</w:t>
            </w:r>
          </w:p>
        </w:tc>
        <w:tc>
          <w:tcPr>
            <w:tcW w:w="3462" w:type="pct"/>
            <w:vAlign w:val="center"/>
          </w:tcPr>
          <w:p w14:paraId="27C4D77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1亿</w:t>
            </w:r>
            <w:r>
              <w:rPr>
                <w:rFonts w:hint="eastAsia" w:ascii="宋体" w:hAnsi="宋体" w:eastAsia="宋体" w:cs="宋体"/>
                <w:bCs/>
                <w:color w:val="auto"/>
                <w:sz w:val="24"/>
                <w:szCs w:val="24"/>
              </w:rPr>
              <w:t>元～</w:t>
            </w:r>
            <w:r>
              <w:rPr>
                <w:rFonts w:hint="eastAsia" w:ascii="宋体" w:hAnsi="宋体" w:eastAsia="宋体" w:cs="宋体"/>
                <w:bCs/>
                <w:color w:val="auto"/>
                <w:sz w:val="24"/>
                <w:szCs w:val="24"/>
                <w:lang w:val="en-US" w:eastAsia="zh-CN"/>
              </w:rPr>
              <w:t>2亿</w:t>
            </w:r>
            <w:r>
              <w:rPr>
                <w:rFonts w:hint="eastAsia" w:ascii="宋体" w:hAnsi="宋体" w:eastAsia="宋体" w:cs="宋体"/>
                <w:bCs/>
                <w:color w:val="auto"/>
                <w:sz w:val="24"/>
                <w:szCs w:val="24"/>
              </w:rPr>
              <w:t>元</w:t>
            </w:r>
          </w:p>
        </w:tc>
      </w:tr>
      <w:tr w14:paraId="75B6E9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5614F8B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增持计划拟增持数量</w:t>
            </w:r>
          </w:p>
        </w:tc>
        <w:tc>
          <w:tcPr>
            <w:tcW w:w="3462" w:type="pct"/>
            <w:vAlign w:val="center"/>
          </w:tcPr>
          <w:p w14:paraId="7D95C51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不适用</w:t>
            </w:r>
          </w:p>
        </w:tc>
      </w:tr>
      <w:tr w14:paraId="153FC1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053942E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增持计划拟增持比例</w:t>
            </w:r>
          </w:p>
        </w:tc>
        <w:tc>
          <w:tcPr>
            <w:tcW w:w="3462" w:type="pct"/>
            <w:vAlign w:val="center"/>
          </w:tcPr>
          <w:p w14:paraId="46BB29C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不适用</w:t>
            </w:r>
          </w:p>
        </w:tc>
      </w:tr>
      <w:tr w14:paraId="0F2BE1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49E9156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本次增持实施期间</w:t>
            </w:r>
          </w:p>
        </w:tc>
        <w:tc>
          <w:tcPr>
            <w:tcW w:w="3462" w:type="pct"/>
            <w:vAlign w:val="center"/>
          </w:tcPr>
          <w:p w14:paraId="0DE7C2E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20</w:t>
            </w:r>
            <w:r>
              <w:rPr>
                <w:rFonts w:hint="eastAsia" w:ascii="宋体" w:hAnsi="宋体" w:eastAsia="宋体" w:cs="宋体"/>
                <w:bCs/>
                <w:color w:val="auto"/>
                <w:sz w:val="24"/>
                <w:szCs w:val="24"/>
              </w:rPr>
              <w:t>日</w:t>
            </w:r>
          </w:p>
        </w:tc>
      </w:tr>
      <w:tr w14:paraId="65DCDE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2181069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本次增持股份方式</w:t>
            </w:r>
          </w:p>
          <w:p w14:paraId="6DE7191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及数量</w:t>
            </w:r>
          </w:p>
        </w:tc>
        <w:tc>
          <w:tcPr>
            <w:tcW w:w="3462" w:type="pct"/>
            <w:vAlign w:val="center"/>
          </w:tcPr>
          <w:p w14:paraId="55BA445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通过上交所交易系统以集中竞价方式增持A</w:t>
            </w:r>
            <w:bookmarkStart w:id="2" w:name="_GoBack"/>
            <w:bookmarkEnd w:id="2"/>
            <w:r>
              <w:rPr>
                <w:rFonts w:hint="eastAsia" w:ascii="宋体" w:hAnsi="宋体" w:eastAsia="宋体" w:cs="宋体"/>
                <w:bCs/>
                <w:color w:val="auto"/>
                <w:sz w:val="24"/>
                <w:szCs w:val="24"/>
                <w:lang w:val="en-US" w:eastAsia="zh-CN"/>
              </w:rPr>
              <w:t>股997,790 股</w:t>
            </w:r>
          </w:p>
        </w:tc>
      </w:tr>
      <w:tr w14:paraId="188D81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655B46F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本次增持股份金额</w:t>
            </w:r>
          </w:p>
        </w:tc>
        <w:tc>
          <w:tcPr>
            <w:tcW w:w="3462" w:type="pct"/>
            <w:vAlign w:val="center"/>
          </w:tcPr>
          <w:p w14:paraId="79BE674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20,234,060.70元</w:t>
            </w:r>
          </w:p>
        </w:tc>
      </w:tr>
      <w:tr w14:paraId="650FD6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07BBB80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本次增持股份比例</w:t>
            </w:r>
          </w:p>
          <w:p w14:paraId="4790B07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（占总股本）</w:t>
            </w:r>
          </w:p>
        </w:tc>
        <w:tc>
          <w:tcPr>
            <w:tcW w:w="3462" w:type="pct"/>
            <w:vAlign w:val="center"/>
          </w:tcPr>
          <w:p w14:paraId="14CF056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0.01</w:t>
            </w:r>
            <w:r>
              <w:rPr>
                <w:rFonts w:hint="eastAsia" w:ascii="宋体" w:hAnsi="宋体" w:eastAsia="宋体" w:cs="宋体"/>
                <w:bCs/>
                <w:color w:val="auto"/>
                <w:sz w:val="24"/>
                <w:szCs w:val="24"/>
              </w:rPr>
              <w:t>%</w:t>
            </w:r>
          </w:p>
        </w:tc>
      </w:tr>
      <w:tr w14:paraId="38819C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2BA6C2A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累计已增持股份金额</w:t>
            </w:r>
          </w:p>
        </w:tc>
        <w:tc>
          <w:tcPr>
            <w:tcW w:w="3462" w:type="pct"/>
            <w:vAlign w:val="center"/>
          </w:tcPr>
          <w:p w14:paraId="37865BE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20,234,060.70元</w:t>
            </w:r>
          </w:p>
        </w:tc>
      </w:tr>
      <w:tr w14:paraId="429E7C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5F5B72D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累计已增持股份数量</w:t>
            </w:r>
          </w:p>
        </w:tc>
        <w:tc>
          <w:tcPr>
            <w:tcW w:w="3462" w:type="pct"/>
            <w:vAlign w:val="center"/>
          </w:tcPr>
          <w:p w14:paraId="525283F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997,790股</w:t>
            </w:r>
          </w:p>
        </w:tc>
      </w:tr>
      <w:tr w14:paraId="39FE6E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55282E9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累计已增持股份比例</w:t>
            </w:r>
          </w:p>
          <w:p w14:paraId="018FC1E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（占总股本）</w:t>
            </w:r>
          </w:p>
        </w:tc>
        <w:tc>
          <w:tcPr>
            <w:tcW w:w="3462" w:type="pct"/>
            <w:vAlign w:val="center"/>
          </w:tcPr>
          <w:p w14:paraId="030D8D9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0.01</w:t>
            </w:r>
            <w:r>
              <w:rPr>
                <w:rFonts w:hint="eastAsia" w:ascii="宋体" w:hAnsi="宋体" w:eastAsia="宋体" w:cs="宋体"/>
                <w:bCs/>
                <w:color w:val="auto"/>
                <w:sz w:val="24"/>
                <w:szCs w:val="24"/>
              </w:rPr>
              <w:t>%</w:t>
            </w:r>
          </w:p>
        </w:tc>
      </w:tr>
      <w:tr w14:paraId="5392AD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trPr>
        <w:tc>
          <w:tcPr>
            <w:tcW w:w="1538" w:type="pct"/>
            <w:vAlign w:val="center"/>
          </w:tcPr>
          <w:p w14:paraId="70DBEEA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bCs/>
                <w:color w:val="auto"/>
                <w:sz w:val="24"/>
                <w:szCs w:val="24"/>
              </w:rPr>
              <w:t>后续增持股份资金安排</w:t>
            </w:r>
          </w:p>
        </w:tc>
        <w:tc>
          <w:tcPr>
            <w:tcW w:w="3462" w:type="pct"/>
            <w:vAlign w:val="center"/>
          </w:tcPr>
          <w:p w14:paraId="4060907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heme="minorEastAsia" w:hAnsiTheme="minorEastAsia"/>
                <w:bCs/>
                <w:color w:val="auto"/>
                <w:sz w:val="24"/>
                <w:szCs w:val="24"/>
              </w:rPr>
            </w:pPr>
            <w:r>
              <w:rPr>
                <w:rFonts w:hint="eastAsia" w:asciiTheme="minorEastAsia" w:hAnsiTheme="minorEastAsia"/>
                <w:color w:val="auto"/>
                <w:sz w:val="24"/>
                <w:szCs w:val="24"/>
                <w:lang w:val="en-US" w:eastAsia="zh-CN"/>
              </w:rPr>
              <w:t>山东能源</w:t>
            </w:r>
            <w:r>
              <w:rPr>
                <w:rFonts w:asciiTheme="minorEastAsia" w:hAnsiTheme="minorEastAsia"/>
                <w:color w:val="auto"/>
                <w:sz w:val="24"/>
                <w:szCs w:val="24"/>
              </w:rPr>
              <w:t>将继续按照本次增持计划，以自有或自筹资金安排执行后续增持</w:t>
            </w:r>
          </w:p>
        </w:tc>
      </w:tr>
    </w:tbl>
    <w:p w14:paraId="4C9B9D30">
      <w:pPr>
        <w:adjustRightInd w:val="0"/>
        <w:snapToGrid w:val="0"/>
        <w:spacing w:line="360" w:lineRule="auto"/>
        <w:rPr>
          <w:rFonts w:hint="eastAsia" w:asciiTheme="minorEastAsia" w:hAnsiTheme="minorEastAsia"/>
          <w:bCs/>
          <w:sz w:val="24"/>
          <w:szCs w:val="24"/>
        </w:rPr>
      </w:pPr>
    </w:p>
    <w:p w14:paraId="08EA1362">
      <w:pPr>
        <w:numPr>
          <w:ilvl w:val="0"/>
          <w:numId w:val="2"/>
        </w:numPr>
        <w:adjustRightInd w:val="0"/>
        <w:snapToGrid w:val="0"/>
        <w:spacing w:line="360" w:lineRule="auto"/>
        <w:ind w:firstLine="562" w:firstLineChars="200"/>
        <w:outlineLvl w:val="0"/>
        <w:rPr>
          <w:rFonts w:hint="eastAsia" w:asciiTheme="minorEastAsia" w:hAnsiTheme="minorEastAsia"/>
          <w:b/>
          <w:sz w:val="28"/>
          <w:szCs w:val="28"/>
        </w:rPr>
      </w:pPr>
      <w:r>
        <w:rPr>
          <w:rFonts w:hint="eastAsia" w:asciiTheme="minorEastAsia" w:hAnsiTheme="minorEastAsia"/>
          <w:b/>
          <w:sz w:val="28"/>
          <w:szCs w:val="28"/>
        </w:rPr>
        <w:t>增持计划实施相关风险提示</w:t>
      </w:r>
    </w:p>
    <w:p w14:paraId="7F42ECEE">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（一）本次增持计划可能存在因资本市场情况发生变化或目前尚无法预判的其他风险因素导致增持计划的实施无法达到预期的风险等</w:t>
      </w:r>
      <w:r>
        <w:rPr>
          <w:rFonts w:hint="eastAsia" w:asciiTheme="minorEastAsia" w:hAnsiTheme="minorEastAsia"/>
          <w:bCs/>
          <w:sz w:val="24"/>
          <w:szCs w:val="24"/>
          <w:lang w:eastAsia="zh-CN"/>
        </w:rPr>
        <w:t>。</w:t>
      </w:r>
    </w:p>
    <w:p w14:paraId="4BF1BCB8">
      <w:pPr>
        <w:numPr>
          <w:ilvl w:val="0"/>
          <w:numId w:val="3"/>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本次增持计划是否导致公司控股股东及实际控制人发生变化</w:t>
      </w:r>
    </w:p>
    <w:p w14:paraId="6F6BBBDB">
      <w:pPr>
        <w:numPr>
          <w:ilvl w:val="0"/>
          <w:numId w:val="0"/>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sym w:font="Wingdings 2" w:char="00A3"/>
      </w:r>
      <w:r>
        <w:rPr>
          <w:rFonts w:hint="eastAsia" w:asciiTheme="minorEastAsia" w:hAnsiTheme="minorEastAsia"/>
          <w:bCs/>
          <w:sz w:val="24"/>
          <w:szCs w:val="24"/>
        </w:rPr>
        <w:t xml:space="preserve">是 </w:t>
      </w:r>
      <w:r>
        <w:rPr>
          <w:rFonts w:hint="eastAsia" w:asciiTheme="minorEastAsia" w:hAnsiTheme="minorEastAsia"/>
          <w:bCs/>
          <w:sz w:val="24"/>
          <w:szCs w:val="24"/>
        </w:rPr>
        <w:sym w:font="Wingdings 2" w:char="0052"/>
      </w:r>
      <w:r>
        <w:rPr>
          <w:rFonts w:hint="eastAsia" w:asciiTheme="minorEastAsia" w:hAnsiTheme="minorEastAsia"/>
          <w:bCs/>
          <w:sz w:val="24"/>
          <w:szCs w:val="24"/>
        </w:rPr>
        <w:t>否</w:t>
      </w:r>
    </w:p>
    <w:p w14:paraId="718CAA48">
      <w:pPr>
        <w:numPr>
          <w:ilvl w:val="0"/>
          <w:numId w:val="4"/>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 xml:space="preserve">原定增持计划期间过半，实际增持数量是否未过半或未到区间下限50% </w:t>
      </w:r>
    </w:p>
    <w:p w14:paraId="0BB48760">
      <w:pPr>
        <w:numPr>
          <w:ilvl w:val="0"/>
          <w:numId w:val="0"/>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sym w:font="Wingdings 2" w:char="00A3"/>
      </w:r>
      <w:r>
        <w:rPr>
          <w:rFonts w:hint="eastAsia" w:asciiTheme="minorEastAsia" w:hAnsiTheme="minorEastAsia"/>
          <w:bCs/>
          <w:sz w:val="24"/>
          <w:szCs w:val="24"/>
        </w:rPr>
        <w:t xml:space="preserve">是 </w:t>
      </w:r>
      <w:r>
        <w:rPr>
          <w:rFonts w:hint="eastAsia" w:asciiTheme="minorEastAsia" w:hAnsiTheme="minorEastAsia"/>
          <w:bCs/>
          <w:sz w:val="24"/>
          <w:szCs w:val="24"/>
        </w:rPr>
        <w:sym w:font="Wingdings 2" w:char="0052"/>
      </w:r>
      <w:r>
        <w:rPr>
          <w:rFonts w:hint="eastAsia" w:asciiTheme="minorEastAsia" w:hAnsiTheme="minorEastAsia"/>
          <w:bCs/>
          <w:sz w:val="24"/>
          <w:szCs w:val="24"/>
        </w:rPr>
        <w:t xml:space="preserve">否 </w:t>
      </w:r>
    </w:p>
    <w:p w14:paraId="66A3C237">
      <w:pPr>
        <w:numPr>
          <w:ilvl w:val="0"/>
          <w:numId w:val="4"/>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增持主体是否提前终止增持计划</w:t>
      </w:r>
    </w:p>
    <w:p w14:paraId="109449A2">
      <w:pPr>
        <w:numPr>
          <w:ilvl w:val="0"/>
          <w:numId w:val="0"/>
        </w:num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sym w:font="Wingdings 2" w:char="00A3"/>
      </w:r>
      <w:r>
        <w:rPr>
          <w:rFonts w:hint="eastAsia" w:asciiTheme="minorEastAsia" w:hAnsiTheme="minorEastAsia"/>
          <w:bCs/>
          <w:sz w:val="24"/>
          <w:szCs w:val="24"/>
        </w:rPr>
        <w:t xml:space="preserve">是 </w:t>
      </w:r>
      <w:r>
        <w:rPr>
          <w:rFonts w:hint="eastAsia" w:asciiTheme="minorEastAsia" w:hAnsiTheme="minorEastAsia"/>
          <w:bCs/>
          <w:sz w:val="24"/>
          <w:szCs w:val="24"/>
        </w:rPr>
        <w:sym w:font="Wingdings 2" w:char="0052"/>
      </w:r>
      <w:r>
        <w:rPr>
          <w:rFonts w:hint="eastAsia" w:asciiTheme="minorEastAsia" w:hAnsiTheme="minorEastAsia"/>
          <w:bCs/>
          <w:sz w:val="24"/>
          <w:szCs w:val="24"/>
        </w:rPr>
        <w:t xml:space="preserve">否  </w:t>
      </w:r>
    </w:p>
    <w:p w14:paraId="721CA0F0">
      <w:pPr>
        <w:numPr>
          <w:ilvl w:val="0"/>
          <w:numId w:val="0"/>
        </w:numPr>
        <w:adjustRightInd w:val="0"/>
        <w:snapToGrid w:val="0"/>
        <w:spacing w:line="360" w:lineRule="auto"/>
        <w:ind w:firstLine="480" w:firstLineChars="200"/>
        <w:rPr>
          <w:rFonts w:hint="eastAsia" w:asciiTheme="minorEastAsia" w:hAnsiTheme="minorEastAsia"/>
          <w:bCs/>
          <w:sz w:val="24"/>
          <w:szCs w:val="24"/>
        </w:rPr>
      </w:pPr>
    </w:p>
    <w:p w14:paraId="23D997C2">
      <w:pPr>
        <w:numPr>
          <w:ilvl w:val="0"/>
          <w:numId w:val="2"/>
        </w:numPr>
        <w:adjustRightInd w:val="0"/>
        <w:snapToGrid w:val="0"/>
        <w:spacing w:line="360" w:lineRule="auto"/>
        <w:ind w:firstLine="562" w:firstLineChars="200"/>
        <w:outlineLvl w:val="0"/>
        <w:rPr>
          <w:rFonts w:hint="eastAsia" w:asciiTheme="minorEastAsia" w:hAnsiTheme="minorEastAsia"/>
          <w:b/>
          <w:sz w:val="28"/>
          <w:szCs w:val="28"/>
        </w:rPr>
      </w:pPr>
      <w:r>
        <w:rPr>
          <w:rFonts w:hint="eastAsia" w:asciiTheme="minorEastAsia" w:hAnsiTheme="minorEastAsia"/>
          <w:b/>
          <w:sz w:val="28"/>
          <w:szCs w:val="28"/>
        </w:rPr>
        <w:t>其他说明</w:t>
      </w:r>
    </w:p>
    <w:p w14:paraId="7549E164">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（一）本次增持行为符合《</w:t>
      </w:r>
      <w:r>
        <w:rPr>
          <w:rFonts w:hint="eastAsia" w:asciiTheme="minorEastAsia" w:hAnsiTheme="minorEastAsia"/>
          <w:bCs/>
          <w:sz w:val="24"/>
          <w:szCs w:val="24"/>
          <w:lang w:val="en-US" w:eastAsia="zh-CN"/>
        </w:rPr>
        <w:t>中华人民共和国</w:t>
      </w:r>
      <w:r>
        <w:rPr>
          <w:rFonts w:hint="eastAsia" w:asciiTheme="minorEastAsia" w:hAnsiTheme="minorEastAsia"/>
          <w:bCs/>
          <w:sz w:val="24"/>
          <w:szCs w:val="24"/>
        </w:rPr>
        <w:t>公司法》等法律法规、部门规章及</w:t>
      </w:r>
      <w:r>
        <w:rPr>
          <w:rFonts w:hint="eastAsia" w:asciiTheme="minorEastAsia" w:hAnsiTheme="minorEastAsia"/>
          <w:bCs/>
          <w:sz w:val="24"/>
          <w:szCs w:val="24"/>
          <w:lang w:val="en-US" w:eastAsia="zh-CN"/>
        </w:rPr>
        <w:t>上海证券交易所</w:t>
      </w:r>
      <w:r>
        <w:rPr>
          <w:rFonts w:hint="eastAsia" w:asciiTheme="minorEastAsia" w:hAnsiTheme="minorEastAsia"/>
          <w:bCs/>
          <w:sz w:val="24"/>
          <w:szCs w:val="24"/>
        </w:rPr>
        <w:t>业务规则等有关规定。</w:t>
      </w:r>
    </w:p>
    <w:p w14:paraId="0DDA40DB">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w:t>
      </w:r>
      <w:r>
        <w:rPr>
          <w:rFonts w:hint="eastAsia" w:asciiTheme="minorEastAsia" w:hAnsiTheme="minorEastAsia"/>
          <w:bCs/>
          <w:sz w:val="24"/>
          <w:szCs w:val="24"/>
          <w:lang w:val="en-US" w:eastAsia="zh-CN"/>
        </w:rPr>
        <w:t>二</w:t>
      </w:r>
      <w:r>
        <w:rPr>
          <w:rFonts w:hint="eastAsia" w:asciiTheme="minorEastAsia" w:hAnsiTheme="minorEastAsia"/>
          <w:bCs/>
          <w:sz w:val="24"/>
          <w:szCs w:val="24"/>
        </w:rPr>
        <w:t>）公司将根据《中华人民共和国证券法》《上市公司收购管理办法》《上海证券交易所股票上市规则》和《上海证券交易所上市公司自律监管指引第8号——股份变动管理》等相关规定，持续关注本次增持计划实施有关情况，及时履行信息披露义务。</w:t>
      </w:r>
    </w:p>
    <w:p w14:paraId="1FF1622F">
      <w:pPr>
        <w:adjustRightInd w:val="0"/>
        <w:snapToGrid w:val="0"/>
        <w:spacing w:line="360" w:lineRule="auto"/>
        <w:rPr>
          <w:rFonts w:hint="eastAsia" w:asciiTheme="minorEastAsia" w:hAnsiTheme="minorEastAsia"/>
          <w:bCs/>
          <w:sz w:val="24"/>
          <w:szCs w:val="24"/>
        </w:rPr>
      </w:pPr>
    </w:p>
    <w:p w14:paraId="0A507A6C">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特此公告。</w:t>
      </w:r>
    </w:p>
    <w:p w14:paraId="4C753070">
      <w:pPr>
        <w:adjustRightInd w:val="0"/>
        <w:snapToGrid w:val="0"/>
        <w:spacing w:line="360" w:lineRule="auto"/>
        <w:rPr>
          <w:rFonts w:hint="eastAsia" w:asciiTheme="minorEastAsia" w:hAnsiTheme="minorEastAsia"/>
          <w:bCs/>
          <w:sz w:val="24"/>
          <w:szCs w:val="24"/>
        </w:rPr>
      </w:pPr>
    </w:p>
    <w:p w14:paraId="46D02329">
      <w:pPr>
        <w:adjustRightInd w:val="0"/>
        <w:snapToGrid w:val="0"/>
        <w:spacing w:line="360" w:lineRule="auto"/>
        <w:rPr>
          <w:rFonts w:hint="eastAsia" w:asciiTheme="minorEastAsia" w:hAnsiTheme="minorEastAsia"/>
          <w:bCs/>
          <w:sz w:val="24"/>
          <w:szCs w:val="24"/>
        </w:rPr>
      </w:pPr>
    </w:p>
    <w:p w14:paraId="39E1BA01">
      <w:pPr>
        <w:adjustRightInd w:val="0"/>
        <w:snapToGrid w:val="0"/>
        <w:spacing w:line="360" w:lineRule="auto"/>
        <w:jc w:val="right"/>
        <w:rPr>
          <w:rFonts w:hint="eastAsia" w:asciiTheme="minorEastAsia" w:hAnsiTheme="minorEastAsia"/>
          <w:bCs/>
          <w:sz w:val="24"/>
          <w:szCs w:val="24"/>
        </w:rPr>
      </w:pPr>
      <w:r>
        <w:rPr>
          <w:rFonts w:hint="eastAsia" w:asciiTheme="minorEastAsia" w:hAnsiTheme="minorEastAsia"/>
          <w:bCs/>
          <w:sz w:val="24"/>
          <w:szCs w:val="24"/>
          <w:lang w:val="en-US" w:eastAsia="zh-CN"/>
        </w:rPr>
        <w:t>兖矿能源集团股份有限</w:t>
      </w:r>
      <w:r>
        <w:rPr>
          <w:rFonts w:hint="eastAsia" w:asciiTheme="minorEastAsia" w:hAnsiTheme="minorEastAsia"/>
          <w:bCs/>
          <w:sz w:val="24"/>
          <w:szCs w:val="24"/>
        </w:rPr>
        <w:t>公司董事会</w:t>
      </w:r>
    </w:p>
    <w:p w14:paraId="23A99799">
      <w:pPr>
        <w:adjustRightInd w:val="0"/>
        <w:snapToGrid w:val="0"/>
        <w:spacing w:line="360" w:lineRule="auto"/>
        <w:jc w:val="right"/>
        <w:rPr>
          <w:rFonts w:hint="eastAsia" w:asciiTheme="minorEastAsia" w:hAnsiTheme="minorEastAsia"/>
          <w:bCs/>
          <w:sz w:val="24"/>
          <w:szCs w:val="24"/>
        </w:rPr>
      </w:pPr>
      <w:r>
        <w:rPr>
          <w:rFonts w:hint="eastAsia" w:asciiTheme="minorEastAsia" w:hAnsiTheme="minorEastAsia"/>
          <w:bCs/>
          <w:sz w:val="24"/>
          <w:szCs w:val="24"/>
          <w:lang w:val="en-US" w:eastAsia="zh-CN"/>
        </w:rPr>
        <w:t>2026</w:t>
      </w:r>
      <w:r>
        <w:rPr>
          <w:rFonts w:hint="eastAsia" w:asciiTheme="minorEastAsia" w:hAnsiTheme="minorEastAsia"/>
          <w:bCs/>
          <w:sz w:val="24"/>
          <w:szCs w:val="24"/>
        </w:rPr>
        <w:t>年</w:t>
      </w:r>
      <w:r>
        <w:rPr>
          <w:rFonts w:hint="eastAsia" w:asciiTheme="minorEastAsia" w:hAnsiTheme="minorEastAsia"/>
          <w:bCs/>
          <w:sz w:val="24"/>
          <w:szCs w:val="24"/>
          <w:lang w:val="en-US" w:eastAsia="zh-CN"/>
        </w:rPr>
        <w:t>7</w:t>
      </w:r>
      <w:r>
        <w:rPr>
          <w:rFonts w:hint="eastAsia" w:asciiTheme="minorEastAsia" w:hAnsiTheme="minorEastAsia"/>
          <w:bCs/>
          <w:sz w:val="24"/>
          <w:szCs w:val="24"/>
        </w:rPr>
        <w:t>月</w:t>
      </w:r>
      <w:r>
        <w:rPr>
          <w:rFonts w:hint="eastAsia" w:asciiTheme="minorEastAsia" w:hAnsiTheme="minorEastAsia"/>
          <w:bCs/>
          <w:sz w:val="24"/>
          <w:szCs w:val="24"/>
          <w:lang w:val="en-US" w:eastAsia="zh-CN"/>
        </w:rPr>
        <w:t>20</w:t>
      </w:r>
      <w:r>
        <w:rPr>
          <w:rFonts w:hint="eastAsia" w:asciiTheme="minorEastAsia" w:hAnsiTheme="minorEastAsia"/>
          <w:bCs/>
          <w:sz w:val="24"/>
          <w:szCs w:val="24"/>
        </w:rPr>
        <w:t>日</w:t>
      </w:r>
      <w:bookmarkEnd w:id="0"/>
    </w:p>
    <w:p w14:paraId="3C299D40">
      <w:pPr>
        <w:adjustRightInd w:val="0"/>
        <w:snapToGrid w:val="0"/>
        <w:spacing w:line="360" w:lineRule="auto"/>
        <w:jc w:val="right"/>
        <w:rPr>
          <w:rFonts w:hint="eastAsia" w:asciiTheme="minorEastAsia" w:hAnsiTheme="minorEastAsia"/>
          <w:bCs/>
          <w:sz w:val="24"/>
          <w:szCs w:val="24"/>
        </w:rPr>
      </w:pPr>
    </w:p>
    <w:p w14:paraId="61084537">
      <w:pPr>
        <w:adjustRightInd w:val="0"/>
        <w:snapToGrid w:val="0"/>
        <w:spacing w:line="360" w:lineRule="auto"/>
        <w:rPr>
          <w:rFonts w:hint="eastAsia" w:asciiTheme="minorEastAsia" w:hAnsiTheme="minorEastAsia"/>
          <w:bCs/>
          <w:sz w:val="24"/>
          <w:szCs w:val="24"/>
        </w:rPr>
      </w:pPr>
    </w:p>
    <w:p w14:paraId="4E57905B">
      <w:pPr>
        <w:adjustRightInd w:val="0"/>
        <w:snapToGrid w:val="0"/>
        <w:spacing w:line="360" w:lineRule="auto"/>
        <w:rPr>
          <w:rFonts w:hint="eastAsia" w:asciiTheme="minorEastAsia" w:hAnsiTheme="minorEastAsia"/>
          <w:bCs/>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A6703">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4A59FD5">
                <w:pPr>
                  <w:pStyle w:val="7"/>
                </w:pPr>
                <w:r>
                  <w:fldChar w:fldCharType="begin"/>
                </w:r>
                <w:r>
                  <w:instrText xml:space="preserve"> PAGE  \* MERGEFORMAT </w:instrText>
                </w:r>
                <w:r>
                  <w:fldChar w:fldCharType="separate"/>
                </w:r>
                <w:r>
                  <w:t>1</w:t>
                </w:r>
                <w:r>
                  <w:fldChar w:fldCharType="end"/>
                </w:r>
              </w:p>
            </w:txbxContent>
          </v:textbox>
        </v:shape>
      </w:pict>
    </w:r>
  </w:p>
</w:ftr>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cc021543-c950-4c82-9abd-4876e6c70e23}"/>
      </w:docPartPr>
      <w:docPartBody>
        <w:p w14:paraId="541A62C5">
          <w:pPr>
            <w:pStyle w:val="4"/>
            <w:rPr>
              <w:rFonts w:hint="eastAsia"/>
            </w:rPr>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32CF6"/>
    <w:rsid w:val="000343D6"/>
    <w:rsid w:val="0004422D"/>
    <w:rsid w:val="00051238"/>
    <w:rsid w:val="00061AC9"/>
    <w:rsid w:val="00064914"/>
    <w:rsid w:val="000777D0"/>
    <w:rsid w:val="00091B04"/>
    <w:rsid w:val="000927E9"/>
    <w:rsid w:val="000B59CC"/>
    <w:rsid w:val="000B72CA"/>
    <w:rsid w:val="000D5200"/>
    <w:rsid w:val="000D564D"/>
    <w:rsid w:val="000E0AFB"/>
    <w:rsid w:val="000E3071"/>
    <w:rsid w:val="00111BD1"/>
    <w:rsid w:val="00145670"/>
    <w:rsid w:val="0016580D"/>
    <w:rsid w:val="0019225F"/>
    <w:rsid w:val="001A5616"/>
    <w:rsid w:val="001D5BCD"/>
    <w:rsid w:val="001D6115"/>
    <w:rsid w:val="002143E6"/>
    <w:rsid w:val="00256D89"/>
    <w:rsid w:val="00267098"/>
    <w:rsid w:val="00282A8F"/>
    <w:rsid w:val="002C7412"/>
    <w:rsid w:val="002E6255"/>
    <w:rsid w:val="0030428E"/>
    <w:rsid w:val="00306E3D"/>
    <w:rsid w:val="00316D69"/>
    <w:rsid w:val="0033790F"/>
    <w:rsid w:val="003524C5"/>
    <w:rsid w:val="0036106E"/>
    <w:rsid w:val="00376DD0"/>
    <w:rsid w:val="003810DE"/>
    <w:rsid w:val="003906EF"/>
    <w:rsid w:val="003B04EC"/>
    <w:rsid w:val="003B50D8"/>
    <w:rsid w:val="003D385E"/>
    <w:rsid w:val="0043069B"/>
    <w:rsid w:val="00495DE2"/>
    <w:rsid w:val="004A1379"/>
    <w:rsid w:val="004A2790"/>
    <w:rsid w:val="004A4D38"/>
    <w:rsid w:val="004B104B"/>
    <w:rsid w:val="004B2A73"/>
    <w:rsid w:val="004B72D1"/>
    <w:rsid w:val="004E181A"/>
    <w:rsid w:val="004E2C00"/>
    <w:rsid w:val="00505B16"/>
    <w:rsid w:val="00524560"/>
    <w:rsid w:val="005409B4"/>
    <w:rsid w:val="00541ABD"/>
    <w:rsid w:val="005578C9"/>
    <w:rsid w:val="00584924"/>
    <w:rsid w:val="0058791E"/>
    <w:rsid w:val="005A02F7"/>
    <w:rsid w:val="005B1E3A"/>
    <w:rsid w:val="005D54A9"/>
    <w:rsid w:val="00602E7D"/>
    <w:rsid w:val="00630F57"/>
    <w:rsid w:val="00633C9B"/>
    <w:rsid w:val="00645CB1"/>
    <w:rsid w:val="00687612"/>
    <w:rsid w:val="006B5AA8"/>
    <w:rsid w:val="006B7BE4"/>
    <w:rsid w:val="00734AD3"/>
    <w:rsid w:val="00752860"/>
    <w:rsid w:val="00765580"/>
    <w:rsid w:val="00777D46"/>
    <w:rsid w:val="00780325"/>
    <w:rsid w:val="00781254"/>
    <w:rsid w:val="0078693E"/>
    <w:rsid w:val="007A02EA"/>
    <w:rsid w:val="007A4890"/>
    <w:rsid w:val="007B11DD"/>
    <w:rsid w:val="007B1DA5"/>
    <w:rsid w:val="007C7D34"/>
    <w:rsid w:val="00800822"/>
    <w:rsid w:val="00846FD4"/>
    <w:rsid w:val="00850060"/>
    <w:rsid w:val="00851D98"/>
    <w:rsid w:val="008771C2"/>
    <w:rsid w:val="00932870"/>
    <w:rsid w:val="0095546D"/>
    <w:rsid w:val="009830BF"/>
    <w:rsid w:val="00985796"/>
    <w:rsid w:val="00991629"/>
    <w:rsid w:val="00996F77"/>
    <w:rsid w:val="009A3853"/>
    <w:rsid w:val="009C514E"/>
    <w:rsid w:val="00A10E8A"/>
    <w:rsid w:val="00A3150D"/>
    <w:rsid w:val="00A41B15"/>
    <w:rsid w:val="00A76F92"/>
    <w:rsid w:val="00A808AB"/>
    <w:rsid w:val="00A86D8A"/>
    <w:rsid w:val="00AA1850"/>
    <w:rsid w:val="00AA1CD6"/>
    <w:rsid w:val="00AB46B1"/>
    <w:rsid w:val="00AC3741"/>
    <w:rsid w:val="00B513DB"/>
    <w:rsid w:val="00BA1417"/>
    <w:rsid w:val="00BD611D"/>
    <w:rsid w:val="00BF5CAF"/>
    <w:rsid w:val="00C01254"/>
    <w:rsid w:val="00C1573E"/>
    <w:rsid w:val="00C65E9F"/>
    <w:rsid w:val="00CA0358"/>
    <w:rsid w:val="00CB636F"/>
    <w:rsid w:val="00CB6A47"/>
    <w:rsid w:val="00D047C8"/>
    <w:rsid w:val="00D26A94"/>
    <w:rsid w:val="00D711C1"/>
    <w:rsid w:val="00D74505"/>
    <w:rsid w:val="00D811D2"/>
    <w:rsid w:val="00D839D6"/>
    <w:rsid w:val="00DB1BD1"/>
    <w:rsid w:val="00DC38EF"/>
    <w:rsid w:val="00DD166E"/>
    <w:rsid w:val="00DD6E15"/>
    <w:rsid w:val="00DE6102"/>
    <w:rsid w:val="00DF2409"/>
    <w:rsid w:val="00E717CD"/>
    <w:rsid w:val="00E93D68"/>
    <w:rsid w:val="00EA05B6"/>
    <w:rsid w:val="00F143C9"/>
    <w:rsid w:val="00F476B3"/>
    <w:rsid w:val="00F774E5"/>
    <w:rsid w:val="00FA50EF"/>
    <w:rsid w:val="00FB76F7"/>
    <w:rsid w:val="00FD227C"/>
    <w:rsid w:val="00FD2485"/>
    <w:rsid w:val="00FE2B56"/>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iPriority="99" w:name="Normal Table"/>
    <w:lsdException w:qFormat="1" w:unhideWhenUsed="0" w:uiPriority="99" w:name="Placeholder Text"/>
  </w:latentStyles>
  <w:style w:type="character" w:default="1" w:styleId="1">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3">
    <w:name w:val="Placeholder Text"/>
    <w:basedOn w:val="1"/>
    <w:semiHidden/>
    <w:qFormat/>
    <w:uiPriority w:val="99"/>
  </w:style>
  <w:style w:type="paragraph" w:customStyle="1" w:styleId="4">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1A71D">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180E8"/>
    <w:multiLevelType w:val="singleLevel"/>
    <w:tmpl w:val="908180E8"/>
    <w:lvl w:ilvl="0" w:tentative="0">
      <w:start w:val="1"/>
      <w:numFmt w:val="chineseCounting"/>
      <w:suff w:val="nothing"/>
      <w:lvlText w:val="%1、"/>
      <w:lvlJc w:val="left"/>
      <w:rPr>
        <w:rFonts w:hint="eastAsia"/>
      </w:rPr>
    </w:lvl>
  </w:abstractNum>
  <w:abstractNum w:abstractNumId="1">
    <w:nsid w:val="08ADE1F6"/>
    <w:multiLevelType w:val="singleLevel"/>
    <w:tmpl w:val="08ADE1F6"/>
    <w:lvl w:ilvl="0" w:tentative="0">
      <w:start w:val="2"/>
      <w:numFmt w:val="chineseCounting"/>
      <w:suff w:val="nothing"/>
      <w:lvlText w:val="（%1）"/>
      <w:lvlJc w:val="left"/>
      <w:rPr>
        <w:rFonts w:hint="eastAsia"/>
      </w:rPr>
    </w:lvl>
  </w:abstractNum>
  <w:abstractNum w:abstractNumId="2">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3">
    <w:nsid w:val="648C70B4"/>
    <w:multiLevelType w:val="singleLevel"/>
    <w:tmpl w:val="648C70B4"/>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k0YmFiNTBkNDc2OGNlNjk5NTg3ZWM0YTJiZTNiNjYifQ=="/>
    <w:docVar w:name="Disclosure_Version" w:val="true"/>
    <w:docVar w:name="RemovedBindingXPath" w:val="true"/>
  </w:docVars>
  <w:rsids>
    <w:rsidRoot w:val="008C5DB8"/>
    <w:rsid w:val="00004EF0"/>
    <w:rsid w:val="0000622B"/>
    <w:rsid w:val="00007894"/>
    <w:rsid w:val="00011B58"/>
    <w:rsid w:val="00011D6B"/>
    <w:rsid w:val="00011E7C"/>
    <w:rsid w:val="000121CE"/>
    <w:rsid w:val="000134A9"/>
    <w:rsid w:val="00013C7A"/>
    <w:rsid w:val="000146D4"/>
    <w:rsid w:val="00014DAA"/>
    <w:rsid w:val="0001513D"/>
    <w:rsid w:val="00016A68"/>
    <w:rsid w:val="000209EB"/>
    <w:rsid w:val="000227A0"/>
    <w:rsid w:val="00023FE2"/>
    <w:rsid w:val="00024791"/>
    <w:rsid w:val="00024B0F"/>
    <w:rsid w:val="000316A0"/>
    <w:rsid w:val="000316DE"/>
    <w:rsid w:val="000320FF"/>
    <w:rsid w:val="00036E39"/>
    <w:rsid w:val="000415E2"/>
    <w:rsid w:val="00041AFF"/>
    <w:rsid w:val="00041B70"/>
    <w:rsid w:val="0005296D"/>
    <w:rsid w:val="0005330F"/>
    <w:rsid w:val="000552DE"/>
    <w:rsid w:val="00055BB1"/>
    <w:rsid w:val="00055D12"/>
    <w:rsid w:val="0005649D"/>
    <w:rsid w:val="00057954"/>
    <w:rsid w:val="00057AAF"/>
    <w:rsid w:val="0006154D"/>
    <w:rsid w:val="00061AC9"/>
    <w:rsid w:val="000657A0"/>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5346"/>
    <w:rsid w:val="000A5748"/>
    <w:rsid w:val="000A581B"/>
    <w:rsid w:val="000A777E"/>
    <w:rsid w:val="000A779D"/>
    <w:rsid w:val="000B1C0F"/>
    <w:rsid w:val="000B26F4"/>
    <w:rsid w:val="000B5402"/>
    <w:rsid w:val="000B59CC"/>
    <w:rsid w:val="000B61DD"/>
    <w:rsid w:val="000B6EFB"/>
    <w:rsid w:val="000C126A"/>
    <w:rsid w:val="000C1CD5"/>
    <w:rsid w:val="000C26F1"/>
    <w:rsid w:val="000C2BA7"/>
    <w:rsid w:val="000C4D9C"/>
    <w:rsid w:val="000C4F6E"/>
    <w:rsid w:val="000D00E5"/>
    <w:rsid w:val="000D0554"/>
    <w:rsid w:val="000D408E"/>
    <w:rsid w:val="000D4135"/>
    <w:rsid w:val="000D46D2"/>
    <w:rsid w:val="000D564D"/>
    <w:rsid w:val="000D70E1"/>
    <w:rsid w:val="000D71C2"/>
    <w:rsid w:val="000E0AFB"/>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3A27"/>
    <w:rsid w:val="00123CD7"/>
    <w:rsid w:val="0013329D"/>
    <w:rsid w:val="001345D6"/>
    <w:rsid w:val="00135412"/>
    <w:rsid w:val="00136B4D"/>
    <w:rsid w:val="00142572"/>
    <w:rsid w:val="00142BE7"/>
    <w:rsid w:val="00144A2D"/>
    <w:rsid w:val="00145AE4"/>
    <w:rsid w:val="00146AE6"/>
    <w:rsid w:val="00147BA3"/>
    <w:rsid w:val="001509BD"/>
    <w:rsid w:val="001511D5"/>
    <w:rsid w:val="00154ECD"/>
    <w:rsid w:val="00154F63"/>
    <w:rsid w:val="001627BA"/>
    <w:rsid w:val="001635C5"/>
    <w:rsid w:val="001656ED"/>
    <w:rsid w:val="001745A0"/>
    <w:rsid w:val="00174FAC"/>
    <w:rsid w:val="001763D0"/>
    <w:rsid w:val="00183AD3"/>
    <w:rsid w:val="00186AC7"/>
    <w:rsid w:val="0019044B"/>
    <w:rsid w:val="00191AE4"/>
    <w:rsid w:val="00192312"/>
    <w:rsid w:val="00192FA9"/>
    <w:rsid w:val="001953C1"/>
    <w:rsid w:val="00196816"/>
    <w:rsid w:val="001A2E2D"/>
    <w:rsid w:val="001A3084"/>
    <w:rsid w:val="001A4B40"/>
    <w:rsid w:val="001A5AD2"/>
    <w:rsid w:val="001A6EA4"/>
    <w:rsid w:val="001B0753"/>
    <w:rsid w:val="001B0861"/>
    <w:rsid w:val="001B0FAE"/>
    <w:rsid w:val="001B11FC"/>
    <w:rsid w:val="001B3894"/>
    <w:rsid w:val="001B39F3"/>
    <w:rsid w:val="001C0B03"/>
    <w:rsid w:val="001C1F7E"/>
    <w:rsid w:val="001C2826"/>
    <w:rsid w:val="001C3E4D"/>
    <w:rsid w:val="001C3E6D"/>
    <w:rsid w:val="001C61C9"/>
    <w:rsid w:val="001C6DB0"/>
    <w:rsid w:val="001D05A4"/>
    <w:rsid w:val="001D157D"/>
    <w:rsid w:val="001D269D"/>
    <w:rsid w:val="001D5AFC"/>
    <w:rsid w:val="001D5BCD"/>
    <w:rsid w:val="001D6ABC"/>
    <w:rsid w:val="001E1D88"/>
    <w:rsid w:val="001E6D93"/>
    <w:rsid w:val="001E75C4"/>
    <w:rsid w:val="001F2083"/>
    <w:rsid w:val="001F422F"/>
    <w:rsid w:val="001F5A94"/>
    <w:rsid w:val="001F6B2B"/>
    <w:rsid w:val="00202534"/>
    <w:rsid w:val="002048A3"/>
    <w:rsid w:val="00206BC7"/>
    <w:rsid w:val="00207652"/>
    <w:rsid w:val="00207743"/>
    <w:rsid w:val="00213781"/>
    <w:rsid w:val="00214ACE"/>
    <w:rsid w:val="00215E68"/>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64FA"/>
    <w:rsid w:val="0026718A"/>
    <w:rsid w:val="00272C91"/>
    <w:rsid w:val="00272F07"/>
    <w:rsid w:val="00275078"/>
    <w:rsid w:val="00276EB0"/>
    <w:rsid w:val="00277C1E"/>
    <w:rsid w:val="00281CD4"/>
    <w:rsid w:val="002820C2"/>
    <w:rsid w:val="0028573B"/>
    <w:rsid w:val="002857EA"/>
    <w:rsid w:val="002859DB"/>
    <w:rsid w:val="00290FC6"/>
    <w:rsid w:val="002930BD"/>
    <w:rsid w:val="002948E5"/>
    <w:rsid w:val="00295147"/>
    <w:rsid w:val="00295A30"/>
    <w:rsid w:val="00296537"/>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7A46"/>
    <w:rsid w:val="002E0F85"/>
    <w:rsid w:val="002E17BB"/>
    <w:rsid w:val="002E29D6"/>
    <w:rsid w:val="002E3CFE"/>
    <w:rsid w:val="002E5862"/>
    <w:rsid w:val="002E6FED"/>
    <w:rsid w:val="002F0218"/>
    <w:rsid w:val="002F4615"/>
    <w:rsid w:val="002F7887"/>
    <w:rsid w:val="00300E0C"/>
    <w:rsid w:val="0030428E"/>
    <w:rsid w:val="003068DE"/>
    <w:rsid w:val="00306CA5"/>
    <w:rsid w:val="003071F3"/>
    <w:rsid w:val="00317BC2"/>
    <w:rsid w:val="003216A9"/>
    <w:rsid w:val="0032367F"/>
    <w:rsid w:val="00323A21"/>
    <w:rsid w:val="0032458D"/>
    <w:rsid w:val="003253F1"/>
    <w:rsid w:val="00325654"/>
    <w:rsid w:val="0032604F"/>
    <w:rsid w:val="00331C12"/>
    <w:rsid w:val="00335113"/>
    <w:rsid w:val="0033790F"/>
    <w:rsid w:val="00337BE0"/>
    <w:rsid w:val="003402FE"/>
    <w:rsid w:val="003428F3"/>
    <w:rsid w:val="0034755D"/>
    <w:rsid w:val="00352FEF"/>
    <w:rsid w:val="0035344A"/>
    <w:rsid w:val="00353872"/>
    <w:rsid w:val="00355E1B"/>
    <w:rsid w:val="00356E10"/>
    <w:rsid w:val="00357EA0"/>
    <w:rsid w:val="00361700"/>
    <w:rsid w:val="003645E6"/>
    <w:rsid w:val="003651DF"/>
    <w:rsid w:val="00366CCD"/>
    <w:rsid w:val="00367453"/>
    <w:rsid w:val="00370B90"/>
    <w:rsid w:val="00374A19"/>
    <w:rsid w:val="00375B9C"/>
    <w:rsid w:val="00376606"/>
    <w:rsid w:val="003766EF"/>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6B4"/>
    <w:rsid w:val="00423B5B"/>
    <w:rsid w:val="004240D4"/>
    <w:rsid w:val="00424E22"/>
    <w:rsid w:val="00425642"/>
    <w:rsid w:val="00426491"/>
    <w:rsid w:val="00426FB8"/>
    <w:rsid w:val="00427543"/>
    <w:rsid w:val="00430B69"/>
    <w:rsid w:val="0043754A"/>
    <w:rsid w:val="00437CE1"/>
    <w:rsid w:val="0044168F"/>
    <w:rsid w:val="004417C6"/>
    <w:rsid w:val="00442A1B"/>
    <w:rsid w:val="004443A8"/>
    <w:rsid w:val="00444D15"/>
    <w:rsid w:val="004452CF"/>
    <w:rsid w:val="004462D1"/>
    <w:rsid w:val="00447880"/>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A1747"/>
    <w:rsid w:val="004A1FDB"/>
    <w:rsid w:val="004A29CA"/>
    <w:rsid w:val="004A2D0E"/>
    <w:rsid w:val="004A330D"/>
    <w:rsid w:val="004A3F7D"/>
    <w:rsid w:val="004A4FC9"/>
    <w:rsid w:val="004A6E8A"/>
    <w:rsid w:val="004B1154"/>
    <w:rsid w:val="004B1C50"/>
    <w:rsid w:val="004B35E5"/>
    <w:rsid w:val="004B5FDB"/>
    <w:rsid w:val="004B6EAD"/>
    <w:rsid w:val="004B72D1"/>
    <w:rsid w:val="004B735F"/>
    <w:rsid w:val="004B744D"/>
    <w:rsid w:val="004C2C49"/>
    <w:rsid w:val="004C7913"/>
    <w:rsid w:val="004D2D6C"/>
    <w:rsid w:val="004D2FF1"/>
    <w:rsid w:val="004D4A66"/>
    <w:rsid w:val="004D55A9"/>
    <w:rsid w:val="004D6C6D"/>
    <w:rsid w:val="004D6D5C"/>
    <w:rsid w:val="004D76A4"/>
    <w:rsid w:val="004E181A"/>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6CDB"/>
    <w:rsid w:val="00507910"/>
    <w:rsid w:val="0051261C"/>
    <w:rsid w:val="0051318F"/>
    <w:rsid w:val="00513AA2"/>
    <w:rsid w:val="005173B0"/>
    <w:rsid w:val="00521184"/>
    <w:rsid w:val="00526671"/>
    <w:rsid w:val="00530B9D"/>
    <w:rsid w:val="00530BC3"/>
    <w:rsid w:val="0053277A"/>
    <w:rsid w:val="00533839"/>
    <w:rsid w:val="0053497E"/>
    <w:rsid w:val="00536579"/>
    <w:rsid w:val="00536BBF"/>
    <w:rsid w:val="00537CD7"/>
    <w:rsid w:val="00541D93"/>
    <w:rsid w:val="00543EA5"/>
    <w:rsid w:val="00543F21"/>
    <w:rsid w:val="00544318"/>
    <w:rsid w:val="005443EB"/>
    <w:rsid w:val="00545344"/>
    <w:rsid w:val="005465C2"/>
    <w:rsid w:val="00547C23"/>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99D"/>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1687"/>
    <w:rsid w:val="005F24D8"/>
    <w:rsid w:val="005F5073"/>
    <w:rsid w:val="005F6043"/>
    <w:rsid w:val="006026D7"/>
    <w:rsid w:val="00603347"/>
    <w:rsid w:val="00604BA9"/>
    <w:rsid w:val="00606026"/>
    <w:rsid w:val="0060615A"/>
    <w:rsid w:val="00607A44"/>
    <w:rsid w:val="00610692"/>
    <w:rsid w:val="00610DA7"/>
    <w:rsid w:val="00611348"/>
    <w:rsid w:val="0061325A"/>
    <w:rsid w:val="006136ED"/>
    <w:rsid w:val="006149BA"/>
    <w:rsid w:val="00617BE8"/>
    <w:rsid w:val="006208E7"/>
    <w:rsid w:val="00621CB3"/>
    <w:rsid w:val="00622196"/>
    <w:rsid w:val="00624BC4"/>
    <w:rsid w:val="00630145"/>
    <w:rsid w:val="00630F57"/>
    <w:rsid w:val="006310D7"/>
    <w:rsid w:val="006315A8"/>
    <w:rsid w:val="00633C00"/>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6268"/>
    <w:rsid w:val="00692118"/>
    <w:rsid w:val="00692532"/>
    <w:rsid w:val="00695C7D"/>
    <w:rsid w:val="0069742F"/>
    <w:rsid w:val="006A0A03"/>
    <w:rsid w:val="006A2470"/>
    <w:rsid w:val="006A2D38"/>
    <w:rsid w:val="006A7E6C"/>
    <w:rsid w:val="006B3409"/>
    <w:rsid w:val="006B56A9"/>
    <w:rsid w:val="006B5AA8"/>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E7B87"/>
    <w:rsid w:val="006F42F8"/>
    <w:rsid w:val="006F53B5"/>
    <w:rsid w:val="006F56FF"/>
    <w:rsid w:val="006F6D69"/>
    <w:rsid w:val="006F7462"/>
    <w:rsid w:val="00700132"/>
    <w:rsid w:val="00702F53"/>
    <w:rsid w:val="00703E29"/>
    <w:rsid w:val="0070411A"/>
    <w:rsid w:val="00704EED"/>
    <w:rsid w:val="0070522C"/>
    <w:rsid w:val="00707527"/>
    <w:rsid w:val="0071102F"/>
    <w:rsid w:val="00713304"/>
    <w:rsid w:val="007138A7"/>
    <w:rsid w:val="007138E6"/>
    <w:rsid w:val="00715DED"/>
    <w:rsid w:val="0072567D"/>
    <w:rsid w:val="007258B1"/>
    <w:rsid w:val="00730012"/>
    <w:rsid w:val="007303A5"/>
    <w:rsid w:val="007313FD"/>
    <w:rsid w:val="00731F0D"/>
    <w:rsid w:val="007324A9"/>
    <w:rsid w:val="00735D54"/>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91848"/>
    <w:rsid w:val="00792640"/>
    <w:rsid w:val="00792C7B"/>
    <w:rsid w:val="007951BF"/>
    <w:rsid w:val="0079698F"/>
    <w:rsid w:val="007A02EA"/>
    <w:rsid w:val="007A1462"/>
    <w:rsid w:val="007A1EA2"/>
    <w:rsid w:val="007A4620"/>
    <w:rsid w:val="007A4CF8"/>
    <w:rsid w:val="007A580E"/>
    <w:rsid w:val="007A5EEB"/>
    <w:rsid w:val="007A63DB"/>
    <w:rsid w:val="007B0851"/>
    <w:rsid w:val="007B11DD"/>
    <w:rsid w:val="007B1BBD"/>
    <w:rsid w:val="007B2222"/>
    <w:rsid w:val="007B2AA0"/>
    <w:rsid w:val="007B40F7"/>
    <w:rsid w:val="007B544F"/>
    <w:rsid w:val="007B54AA"/>
    <w:rsid w:val="007C0558"/>
    <w:rsid w:val="007C270D"/>
    <w:rsid w:val="007C28AA"/>
    <w:rsid w:val="007C2908"/>
    <w:rsid w:val="007C3027"/>
    <w:rsid w:val="007C4C7C"/>
    <w:rsid w:val="007C4D82"/>
    <w:rsid w:val="007C5260"/>
    <w:rsid w:val="007D43E7"/>
    <w:rsid w:val="007D6893"/>
    <w:rsid w:val="007E01D7"/>
    <w:rsid w:val="007E0F73"/>
    <w:rsid w:val="007E26F1"/>
    <w:rsid w:val="007E5D35"/>
    <w:rsid w:val="007F1A07"/>
    <w:rsid w:val="007F23D2"/>
    <w:rsid w:val="007F2DFB"/>
    <w:rsid w:val="007F2F92"/>
    <w:rsid w:val="007F3AEE"/>
    <w:rsid w:val="007F4653"/>
    <w:rsid w:val="007F471F"/>
    <w:rsid w:val="007F4E24"/>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160F8"/>
    <w:rsid w:val="008169A3"/>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0060"/>
    <w:rsid w:val="008531D2"/>
    <w:rsid w:val="008573C5"/>
    <w:rsid w:val="00861AE5"/>
    <w:rsid w:val="00862B46"/>
    <w:rsid w:val="00862EC3"/>
    <w:rsid w:val="00865F95"/>
    <w:rsid w:val="00867AD1"/>
    <w:rsid w:val="0087074B"/>
    <w:rsid w:val="00871507"/>
    <w:rsid w:val="0087601E"/>
    <w:rsid w:val="00876218"/>
    <w:rsid w:val="00876CAD"/>
    <w:rsid w:val="008771C2"/>
    <w:rsid w:val="008804AB"/>
    <w:rsid w:val="00882C4D"/>
    <w:rsid w:val="0088305F"/>
    <w:rsid w:val="00885291"/>
    <w:rsid w:val="0088596B"/>
    <w:rsid w:val="00895C85"/>
    <w:rsid w:val="00895E83"/>
    <w:rsid w:val="008A2795"/>
    <w:rsid w:val="008A2A43"/>
    <w:rsid w:val="008A402C"/>
    <w:rsid w:val="008A5DB4"/>
    <w:rsid w:val="008A5F7E"/>
    <w:rsid w:val="008A6969"/>
    <w:rsid w:val="008A7D7C"/>
    <w:rsid w:val="008B379F"/>
    <w:rsid w:val="008B3809"/>
    <w:rsid w:val="008B4297"/>
    <w:rsid w:val="008B4338"/>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26CD"/>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2FF"/>
    <w:rsid w:val="00942575"/>
    <w:rsid w:val="0094357B"/>
    <w:rsid w:val="00945D56"/>
    <w:rsid w:val="00946D24"/>
    <w:rsid w:val="00947FFA"/>
    <w:rsid w:val="00950AAF"/>
    <w:rsid w:val="00951D84"/>
    <w:rsid w:val="009540D5"/>
    <w:rsid w:val="0095546D"/>
    <w:rsid w:val="00955841"/>
    <w:rsid w:val="0095624A"/>
    <w:rsid w:val="00960F98"/>
    <w:rsid w:val="00961884"/>
    <w:rsid w:val="009628E8"/>
    <w:rsid w:val="00965379"/>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874D6"/>
    <w:rsid w:val="0099345F"/>
    <w:rsid w:val="00997254"/>
    <w:rsid w:val="009A1B98"/>
    <w:rsid w:val="009A240C"/>
    <w:rsid w:val="009A5C7D"/>
    <w:rsid w:val="009A5DAF"/>
    <w:rsid w:val="009A6874"/>
    <w:rsid w:val="009A7601"/>
    <w:rsid w:val="009B026F"/>
    <w:rsid w:val="009B3ABD"/>
    <w:rsid w:val="009B7AEF"/>
    <w:rsid w:val="009C16F8"/>
    <w:rsid w:val="009D3111"/>
    <w:rsid w:val="009D334A"/>
    <w:rsid w:val="009D34F9"/>
    <w:rsid w:val="009D6FBE"/>
    <w:rsid w:val="009E13E0"/>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C91"/>
    <w:rsid w:val="009F61D8"/>
    <w:rsid w:val="00A00EF8"/>
    <w:rsid w:val="00A056CC"/>
    <w:rsid w:val="00A06C7A"/>
    <w:rsid w:val="00A10A71"/>
    <w:rsid w:val="00A10C5C"/>
    <w:rsid w:val="00A11286"/>
    <w:rsid w:val="00A11394"/>
    <w:rsid w:val="00A20428"/>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557C8"/>
    <w:rsid w:val="00A62093"/>
    <w:rsid w:val="00A625EC"/>
    <w:rsid w:val="00A670B9"/>
    <w:rsid w:val="00A72546"/>
    <w:rsid w:val="00A74559"/>
    <w:rsid w:val="00A7470B"/>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698"/>
    <w:rsid w:val="00AB6B5F"/>
    <w:rsid w:val="00AC0223"/>
    <w:rsid w:val="00AC0EEE"/>
    <w:rsid w:val="00AC14B1"/>
    <w:rsid w:val="00AC4F9E"/>
    <w:rsid w:val="00AD1B3E"/>
    <w:rsid w:val="00AD1D01"/>
    <w:rsid w:val="00AD2B2A"/>
    <w:rsid w:val="00AD3237"/>
    <w:rsid w:val="00AD4C75"/>
    <w:rsid w:val="00AD5304"/>
    <w:rsid w:val="00AD589B"/>
    <w:rsid w:val="00AD70C1"/>
    <w:rsid w:val="00AE16B6"/>
    <w:rsid w:val="00AE24BF"/>
    <w:rsid w:val="00AE2A96"/>
    <w:rsid w:val="00AE34ED"/>
    <w:rsid w:val="00AF1BCF"/>
    <w:rsid w:val="00AF3530"/>
    <w:rsid w:val="00AF519C"/>
    <w:rsid w:val="00AF6BD7"/>
    <w:rsid w:val="00AF6FA5"/>
    <w:rsid w:val="00AF78B6"/>
    <w:rsid w:val="00B00964"/>
    <w:rsid w:val="00B0118B"/>
    <w:rsid w:val="00B02A59"/>
    <w:rsid w:val="00B03C06"/>
    <w:rsid w:val="00B079F8"/>
    <w:rsid w:val="00B1112F"/>
    <w:rsid w:val="00B128DD"/>
    <w:rsid w:val="00B12B9F"/>
    <w:rsid w:val="00B16B54"/>
    <w:rsid w:val="00B21775"/>
    <w:rsid w:val="00B220C8"/>
    <w:rsid w:val="00B232A4"/>
    <w:rsid w:val="00B2503F"/>
    <w:rsid w:val="00B25514"/>
    <w:rsid w:val="00B25C50"/>
    <w:rsid w:val="00B30E28"/>
    <w:rsid w:val="00B413F2"/>
    <w:rsid w:val="00B423B7"/>
    <w:rsid w:val="00B46BAB"/>
    <w:rsid w:val="00B47730"/>
    <w:rsid w:val="00B47C6F"/>
    <w:rsid w:val="00B47D6F"/>
    <w:rsid w:val="00B47F45"/>
    <w:rsid w:val="00B50D6B"/>
    <w:rsid w:val="00B513D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85599"/>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BF5CAF"/>
    <w:rsid w:val="00BF7BD7"/>
    <w:rsid w:val="00C01659"/>
    <w:rsid w:val="00C02066"/>
    <w:rsid w:val="00C027BB"/>
    <w:rsid w:val="00C034E6"/>
    <w:rsid w:val="00C062AE"/>
    <w:rsid w:val="00C06B3F"/>
    <w:rsid w:val="00C13F3C"/>
    <w:rsid w:val="00C144FC"/>
    <w:rsid w:val="00C154E0"/>
    <w:rsid w:val="00C1607F"/>
    <w:rsid w:val="00C16743"/>
    <w:rsid w:val="00C176BF"/>
    <w:rsid w:val="00C17AE0"/>
    <w:rsid w:val="00C26EC7"/>
    <w:rsid w:val="00C3028C"/>
    <w:rsid w:val="00C30D11"/>
    <w:rsid w:val="00C31861"/>
    <w:rsid w:val="00C3330C"/>
    <w:rsid w:val="00C356F5"/>
    <w:rsid w:val="00C36CB8"/>
    <w:rsid w:val="00C415DA"/>
    <w:rsid w:val="00C446BC"/>
    <w:rsid w:val="00C448F8"/>
    <w:rsid w:val="00C44970"/>
    <w:rsid w:val="00C44C8F"/>
    <w:rsid w:val="00C44CAA"/>
    <w:rsid w:val="00C4655E"/>
    <w:rsid w:val="00C47C71"/>
    <w:rsid w:val="00C50EFF"/>
    <w:rsid w:val="00C52357"/>
    <w:rsid w:val="00C525BD"/>
    <w:rsid w:val="00C52D17"/>
    <w:rsid w:val="00C53580"/>
    <w:rsid w:val="00C54356"/>
    <w:rsid w:val="00C5731A"/>
    <w:rsid w:val="00C57A49"/>
    <w:rsid w:val="00C6058E"/>
    <w:rsid w:val="00C60C47"/>
    <w:rsid w:val="00C6371D"/>
    <w:rsid w:val="00C6533B"/>
    <w:rsid w:val="00C65853"/>
    <w:rsid w:val="00C65A02"/>
    <w:rsid w:val="00C65E9F"/>
    <w:rsid w:val="00C67A0D"/>
    <w:rsid w:val="00C7509C"/>
    <w:rsid w:val="00C76965"/>
    <w:rsid w:val="00C76AE5"/>
    <w:rsid w:val="00C81131"/>
    <w:rsid w:val="00C823BD"/>
    <w:rsid w:val="00C823C0"/>
    <w:rsid w:val="00C82ADF"/>
    <w:rsid w:val="00C85898"/>
    <w:rsid w:val="00C85B23"/>
    <w:rsid w:val="00C85DFC"/>
    <w:rsid w:val="00C87D04"/>
    <w:rsid w:val="00C87EFC"/>
    <w:rsid w:val="00C914B2"/>
    <w:rsid w:val="00C93E0F"/>
    <w:rsid w:val="00C96AA0"/>
    <w:rsid w:val="00C96B4E"/>
    <w:rsid w:val="00C9754C"/>
    <w:rsid w:val="00CA40B0"/>
    <w:rsid w:val="00CA5963"/>
    <w:rsid w:val="00CA5F3C"/>
    <w:rsid w:val="00CA6285"/>
    <w:rsid w:val="00CA62D8"/>
    <w:rsid w:val="00CB23BD"/>
    <w:rsid w:val="00CB3998"/>
    <w:rsid w:val="00CB5618"/>
    <w:rsid w:val="00CB577A"/>
    <w:rsid w:val="00CC2320"/>
    <w:rsid w:val="00CC290D"/>
    <w:rsid w:val="00CC483E"/>
    <w:rsid w:val="00CD0519"/>
    <w:rsid w:val="00CD09B1"/>
    <w:rsid w:val="00CD2075"/>
    <w:rsid w:val="00CD4E82"/>
    <w:rsid w:val="00CD5F14"/>
    <w:rsid w:val="00CD6A04"/>
    <w:rsid w:val="00CE374C"/>
    <w:rsid w:val="00CE4A6D"/>
    <w:rsid w:val="00CE5795"/>
    <w:rsid w:val="00CE5D07"/>
    <w:rsid w:val="00CE63C1"/>
    <w:rsid w:val="00CF1E4D"/>
    <w:rsid w:val="00CF2A56"/>
    <w:rsid w:val="00CF44E4"/>
    <w:rsid w:val="00CF46A3"/>
    <w:rsid w:val="00CF5FE7"/>
    <w:rsid w:val="00CF66D9"/>
    <w:rsid w:val="00D07067"/>
    <w:rsid w:val="00D075AA"/>
    <w:rsid w:val="00D10370"/>
    <w:rsid w:val="00D11861"/>
    <w:rsid w:val="00D11D57"/>
    <w:rsid w:val="00D15067"/>
    <w:rsid w:val="00D16C7C"/>
    <w:rsid w:val="00D16E03"/>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AD0"/>
    <w:rsid w:val="00D72C3E"/>
    <w:rsid w:val="00D72E1C"/>
    <w:rsid w:val="00D74508"/>
    <w:rsid w:val="00D75432"/>
    <w:rsid w:val="00D776E0"/>
    <w:rsid w:val="00D811D2"/>
    <w:rsid w:val="00D81B90"/>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D6E15"/>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07A2A"/>
    <w:rsid w:val="00E163F5"/>
    <w:rsid w:val="00E16CF4"/>
    <w:rsid w:val="00E17AAA"/>
    <w:rsid w:val="00E2023C"/>
    <w:rsid w:val="00E254DE"/>
    <w:rsid w:val="00E279C7"/>
    <w:rsid w:val="00E27F47"/>
    <w:rsid w:val="00E300BC"/>
    <w:rsid w:val="00E337B2"/>
    <w:rsid w:val="00E36046"/>
    <w:rsid w:val="00E368C1"/>
    <w:rsid w:val="00E42686"/>
    <w:rsid w:val="00E44E18"/>
    <w:rsid w:val="00E45713"/>
    <w:rsid w:val="00E5141A"/>
    <w:rsid w:val="00E525EF"/>
    <w:rsid w:val="00E52B61"/>
    <w:rsid w:val="00E542ED"/>
    <w:rsid w:val="00E551C4"/>
    <w:rsid w:val="00E5608B"/>
    <w:rsid w:val="00E564F8"/>
    <w:rsid w:val="00E57237"/>
    <w:rsid w:val="00E57487"/>
    <w:rsid w:val="00E63F39"/>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A3AE2"/>
    <w:rsid w:val="00EA4CD3"/>
    <w:rsid w:val="00EA4FFB"/>
    <w:rsid w:val="00EA6164"/>
    <w:rsid w:val="00EA7A01"/>
    <w:rsid w:val="00EA7CCD"/>
    <w:rsid w:val="00EB154B"/>
    <w:rsid w:val="00EB234D"/>
    <w:rsid w:val="00EB5C44"/>
    <w:rsid w:val="00EB5FE0"/>
    <w:rsid w:val="00EC185B"/>
    <w:rsid w:val="00EC428E"/>
    <w:rsid w:val="00EC50AD"/>
    <w:rsid w:val="00ED0449"/>
    <w:rsid w:val="00ED1087"/>
    <w:rsid w:val="00ED5A7B"/>
    <w:rsid w:val="00ED5DAC"/>
    <w:rsid w:val="00ED769C"/>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735B"/>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2B56"/>
    <w:rsid w:val="00FE4655"/>
    <w:rsid w:val="00FE46A9"/>
    <w:rsid w:val="00FE4A6A"/>
    <w:rsid w:val="00FE6863"/>
    <w:rsid w:val="00FF1D89"/>
    <w:rsid w:val="00FF1E2E"/>
    <w:rsid w:val="00FF22CF"/>
    <w:rsid w:val="00FF2991"/>
    <w:rsid w:val="00FF4DF1"/>
    <w:rsid w:val="00FF5B20"/>
    <w:rsid w:val="00FF5D8D"/>
    <w:rsid w:val="0D0570E0"/>
    <w:rsid w:val="0FC251DB"/>
    <w:rsid w:val="12752696"/>
    <w:rsid w:val="23D264AB"/>
    <w:rsid w:val="2F0D6425"/>
    <w:rsid w:val="32C428D3"/>
    <w:rsid w:val="35A042B7"/>
    <w:rsid w:val="48C16B89"/>
    <w:rsid w:val="4AFB28DB"/>
    <w:rsid w:val="4C4B20A5"/>
    <w:rsid w:val="4DFB3E7C"/>
    <w:rsid w:val="5383446C"/>
    <w:rsid w:val="5DB50FC6"/>
    <w:rsid w:val="6EE7721A"/>
    <w:rsid w:val="72AA078A"/>
    <w:rsid w:val="79B44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eastAsia="宋体"/>
      <w:sz w:val="18"/>
      <w:szCs w:val="18"/>
    </w:rPr>
  </w:style>
  <w:style w:type="paragraph" w:styleId="5">
    <w:name w:val="annotation text"/>
    <w:basedOn w:val="1"/>
    <w:link w:val="28"/>
    <w:semiHidden/>
    <w:unhideWhenUsed/>
    <w:qFormat/>
    <w:uiPriority w:val="99"/>
    <w:pPr>
      <w:jc w:val="left"/>
    </w:pPr>
  </w:style>
  <w:style w:type="paragraph" w:styleId="6">
    <w:name w:val="Balloon Text"/>
    <w:basedOn w:val="1"/>
    <w:link w:val="1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字符"/>
    <w:basedOn w:val="11"/>
    <w:link w:val="6"/>
    <w:semiHidden/>
    <w:qFormat/>
    <w:uiPriority w:val="99"/>
    <w:rPr>
      <w:sz w:val="18"/>
      <w:szCs w:val="18"/>
    </w:rPr>
  </w:style>
  <w:style w:type="character" w:customStyle="1" w:styleId="14">
    <w:name w:val="标题 1 字符"/>
    <w:basedOn w:val="11"/>
    <w:link w:val="2"/>
    <w:qFormat/>
    <w:uiPriority w:val="9"/>
    <w:rPr>
      <w:b/>
      <w:bCs/>
      <w:kern w:val="44"/>
      <w:sz w:val="44"/>
      <w:szCs w:val="44"/>
    </w:rPr>
  </w:style>
  <w:style w:type="paragraph" w:styleId="15">
    <w:name w:val="List Paragraph"/>
    <w:basedOn w:val="1"/>
    <w:qFormat/>
    <w:uiPriority w:val="34"/>
    <w:pPr>
      <w:ind w:firstLine="420" w:firstLineChars="200"/>
    </w:pPr>
  </w:style>
  <w:style w:type="character" w:styleId="16">
    <w:name w:val="Placeholder Text"/>
    <w:basedOn w:val="11"/>
    <w:semiHidden/>
    <w:qFormat/>
    <w:uiPriority w:val="99"/>
    <w:rPr>
      <w:color w:val="auto"/>
    </w:rPr>
  </w:style>
  <w:style w:type="character" w:customStyle="1" w:styleId="17">
    <w:name w:val="页眉 字符"/>
    <w:basedOn w:val="11"/>
    <w:link w:val="8"/>
    <w:qFormat/>
    <w:uiPriority w:val="99"/>
    <w:rPr>
      <w:sz w:val="18"/>
      <w:szCs w:val="18"/>
    </w:rPr>
  </w:style>
  <w:style w:type="character" w:customStyle="1" w:styleId="18">
    <w:name w:val="页脚 字符"/>
    <w:basedOn w:val="11"/>
    <w:link w:val="7"/>
    <w:qFormat/>
    <w:uiPriority w:val="99"/>
    <w:rPr>
      <w:sz w:val="18"/>
      <w:szCs w:val="18"/>
    </w:rPr>
  </w:style>
  <w:style w:type="character" w:customStyle="1" w:styleId="19">
    <w:name w:val="标题 2 字符"/>
    <w:basedOn w:val="11"/>
    <w:link w:val="3"/>
    <w:qFormat/>
    <w:uiPriority w:val="9"/>
    <w:rPr>
      <w:rFonts w:asciiTheme="majorHAnsi" w:hAnsiTheme="majorHAnsi" w:eastAsiaTheme="majorEastAsia" w:cstheme="majorBidi"/>
      <w:b/>
      <w:bCs/>
      <w:sz w:val="32"/>
      <w:szCs w:val="32"/>
    </w:rPr>
  </w:style>
  <w:style w:type="character" w:customStyle="1" w:styleId="20">
    <w:name w:val="文档结构图 字符"/>
    <w:basedOn w:val="11"/>
    <w:link w:val="4"/>
    <w:semiHidden/>
    <w:qFormat/>
    <w:uiPriority w:val="99"/>
    <w:rPr>
      <w:rFonts w:ascii="宋体" w:eastAsia="宋体"/>
      <w:sz w:val="18"/>
      <w:szCs w:val="18"/>
    </w:rPr>
  </w:style>
  <w:style w:type="character" w:customStyle="1" w:styleId="21">
    <w:name w:val="样式1"/>
    <w:qFormat/>
    <w:uiPriority w:val="1"/>
  </w:style>
  <w:style w:type="character" w:customStyle="1" w:styleId="22">
    <w:name w:val="样式2"/>
    <w:basedOn w:val="21"/>
    <w:qFormat/>
    <w:uiPriority w:val="1"/>
  </w:style>
  <w:style w:type="character" w:customStyle="1" w:styleId="23">
    <w:name w:val="样式3"/>
    <w:basedOn w:val="21"/>
    <w:qFormat/>
    <w:uiPriority w:val="1"/>
  </w:style>
  <w:style w:type="character" w:customStyle="1" w:styleId="24">
    <w:name w:val="样式4"/>
    <w:basedOn w:val="21"/>
    <w:qFormat/>
    <w:uiPriority w:val="1"/>
  </w:style>
  <w:style w:type="character" w:customStyle="1" w:styleId="25">
    <w:name w:val="样式5"/>
    <w:basedOn w:val="21"/>
    <w:qFormat/>
    <w:uiPriority w:val="1"/>
  </w:style>
  <w:style w:type="character" w:customStyle="1" w:styleId="26">
    <w:name w:val="样式6"/>
    <w:basedOn w:val="24"/>
    <w:qFormat/>
    <w:uiPriority w:val="1"/>
  </w:style>
  <w:style w:type="character" w:customStyle="1" w:styleId="27">
    <w:name w:val="样式7"/>
    <w:basedOn w:val="24"/>
    <w:qFormat/>
    <w:uiPriority w:val="1"/>
  </w:style>
  <w:style w:type="character" w:customStyle="1" w:styleId="28">
    <w:name w:val="批注文字 字符"/>
    <w:basedOn w:val="11"/>
    <w:link w:val="5"/>
    <w:semiHidden/>
    <w:qFormat/>
    <w:uiPriority w:val="99"/>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