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867</Words>
  <Characters>938</Characters>
  <Lines>7</Lines>
  <Paragraphs>1</Paragraphs>
  <TotalTime>2</TotalTime>
  <ScaleCrop>false</ScaleCrop>
  <LinksUpToDate>false</LinksUpToDate>
  <CharactersWithSpaces>970</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2026-07-12T10:47:00Z</dcterms:created>
  <dc:creator>熊振中</dc:creator>
  <cp:lastModifiedBy>王建茂</cp:lastModifiedBy>
  <cp:lastPrinted>2026-07-12T03:45:00Z</cp:lastPrinted>
  <dcterms:modified xsi:type="dcterms:W3CDTF">2026-07-14T09:38:16Z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</vt:lpwstr>
  </property>
  <property fmtid="{D5CDD505-2E9C-101B-9397-08002B2CF9AE}" pid="3" name="KSOTemplateDocerSaveRecord">
    <vt:lpwstr>eyJoZGlkIjoiMTJmNjI5ZDMzZDJmMmM0Njk4MWYzM2M0OTIxMDExMjIiLCJ1c2VySWQiOiIxNDc5NjU3MTM3In0=</vt:lpwstr>
  </property>
  <property fmtid="{D5CDD505-2E9C-101B-9397-08002B2CF9AE}" pid="4" name="KSOProductBuildVer">
    <vt:lpwstr>2052-12.1.0.17440</vt:lpwstr>
  </property>
  <property fmtid="{D5CDD505-2E9C-101B-9397-08002B2CF9AE}" pid="5" name="ICV">
    <vt:lpwstr>93E115F2FAE5425992AF5D020FC2634F_12</vt:lpwstr>
  </property>
</Properti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564D3">
      <w:pPr>
        <w:spacing w:line="360" w:lineRule="auto"/>
        <w:jc w:val="center"/>
        <w:rPr>
          <w:rFonts w:hint="default" w:eastAsia="黑体"/>
          <w:color w:val="000000"/>
          <w:szCs w:val="20"/>
          <w:lang w:val="en-US" w:eastAsia="zh-CN"/>
        </w:rPr>
      </w:pPr>
      <w:r>
        <w:rPr>
          <w:rFonts w:hint="eastAsia" w:eastAsia="黑体"/>
          <w:color w:val="000000"/>
          <w:szCs w:val="20"/>
        </w:rPr>
        <w:t>股票代码：</w:t>
      </w:r>
      <w:r>
        <w:rPr>
          <w:rFonts w:eastAsia="黑体"/>
          <w:color w:val="000000"/>
          <w:szCs w:val="20"/>
        </w:rPr>
        <w:t>600188</w:t>
      </w:r>
      <w:r>
        <w:rPr>
          <w:rFonts w:hint="eastAsia" w:eastAsia="黑体"/>
          <w:color w:val="000000"/>
          <w:szCs w:val="20"/>
        </w:rPr>
        <w:t xml:space="preserve">     </w:t>
      </w:r>
      <w:r>
        <w:rPr>
          <w:rFonts w:eastAsia="黑体"/>
          <w:color w:val="000000"/>
          <w:szCs w:val="20"/>
        </w:rPr>
        <w:t xml:space="preserve"> </w:t>
      </w:r>
      <w:r>
        <w:rPr>
          <w:rFonts w:hint="eastAsia" w:eastAsia="黑体"/>
          <w:color w:val="000000"/>
          <w:szCs w:val="20"/>
        </w:rPr>
        <w:t xml:space="preserve">        股票简称： 兖矿能源      </w:t>
      </w:r>
      <w:r>
        <w:rPr>
          <w:rFonts w:eastAsia="黑体"/>
          <w:color w:val="000000"/>
          <w:szCs w:val="20"/>
        </w:rPr>
        <w:t xml:space="preserve">   </w:t>
      </w:r>
      <w:r>
        <w:rPr>
          <w:rFonts w:hint="eastAsia" w:eastAsia="黑体"/>
          <w:color w:val="000000"/>
          <w:szCs w:val="20"/>
        </w:rPr>
        <w:t xml:space="preserve">  编号：临202</w:t>
      </w:r>
      <w:r>
        <w:rPr>
          <w:rFonts w:eastAsia="黑体"/>
          <w:color w:val="000000"/>
          <w:szCs w:val="20"/>
        </w:rPr>
        <w:t>6</w:t>
      </w:r>
      <w:r>
        <w:rPr>
          <w:rFonts w:hint="eastAsia" w:eastAsia="黑体"/>
          <w:color w:val="000000"/>
          <w:szCs w:val="20"/>
        </w:rPr>
        <w:t>-</w:t>
      </w:r>
      <w:r>
        <w:rPr>
          <w:rFonts w:hint="eastAsia" w:eastAsia="黑体"/>
          <w:color w:val="000000"/>
          <w:szCs w:val="20"/>
          <w:lang w:val="en-US" w:eastAsia="zh-CN"/>
        </w:rPr>
        <w:t>060</w:t>
      </w:r>
    </w:p>
    <w:p w14:paraId="0EF6DE24">
      <w:pPr>
        <w:spacing w:line="560" w:lineRule="exact"/>
        <w:jc w:val="center"/>
        <w:rPr>
          <w:rFonts w:ascii="黑体" w:eastAsia="黑体"/>
          <w:b/>
          <w:bCs/>
          <w:color w:val="FF0000"/>
          <w:sz w:val="36"/>
          <w:szCs w:val="36"/>
        </w:rPr>
      </w:pPr>
    </w:p>
    <w:p w14:paraId="103484F8">
      <w:pPr>
        <w:spacing w:line="560" w:lineRule="exact"/>
        <w:jc w:val="center"/>
        <w:rPr>
          <w:rFonts w:ascii="黑体" w:eastAsia="黑体"/>
          <w:b/>
          <w:bCs/>
          <w:color w:val="FF0000"/>
          <w:sz w:val="36"/>
          <w:szCs w:val="36"/>
        </w:rPr>
      </w:pPr>
      <w:r>
        <w:rPr>
          <w:rFonts w:hint="eastAsia" w:ascii="黑体" w:eastAsia="黑体"/>
          <w:b/>
          <w:bCs/>
          <w:color w:val="FF0000"/>
          <w:sz w:val="36"/>
          <w:szCs w:val="36"/>
        </w:rPr>
        <w:t>兖矿能源集团股份有限公司</w:t>
      </w:r>
    </w:p>
    <w:p w14:paraId="1257EB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eastAsia="黑体"/>
          <w:b/>
          <w:bCs/>
          <w:color w:val="FF0000"/>
          <w:sz w:val="36"/>
          <w:szCs w:val="36"/>
        </w:rPr>
      </w:pPr>
      <w:r>
        <w:rPr>
          <w:rFonts w:hint="eastAsia" w:ascii="黑体" w:eastAsia="黑体"/>
          <w:b/>
          <w:bCs/>
          <w:color w:val="FF0000"/>
          <w:sz w:val="36"/>
          <w:szCs w:val="36"/>
        </w:rPr>
        <w:t>2026年半年度业绩预增公告</w:t>
      </w:r>
    </w:p>
    <w:p w14:paraId="511AA4C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黑体" w:eastAsia="黑体"/>
          <w:b/>
          <w:bCs/>
          <w:color w:val="FF0000"/>
          <w:sz w:val="36"/>
          <w:szCs w:val="36"/>
        </w:rPr>
      </w:pPr>
    </w:p>
    <w:p w14:paraId="3083CC9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heme="minorEastAsia" w:hAnsiTheme="minorEastAsia"/>
          <w:b/>
          <w:bCs/>
          <w:sz w:val="28"/>
          <w:szCs w:val="28"/>
        </w:rPr>
      </w:pPr>
      <w:r>
        <w:rPr>
          <w:b/>
          <w:bCs/>
          <w:color w:val="000000"/>
          <w:sz w:val="28"/>
          <w:szCs w:val="20"/>
        </w:rPr>
        <mc:AlternateContent>
          <mc:Choice Requires="wps">
            <w:drawing>
              <wp:anchor distT="0" distB="0" distL="114300" distR="114300" simplePos="0" relativeHeight="251659264" behindDoc="0" locked="0" layoutInCell="1" allowOverlap="1">
                <wp:simplePos x="0" y="0"/>
                <wp:positionH relativeFrom="column">
                  <wp:posOffset>-59055</wp:posOffset>
                </wp:positionH>
                <wp:positionV relativeFrom="paragraph">
                  <wp:posOffset>66675</wp:posOffset>
                </wp:positionV>
                <wp:extent cx="5372100" cy="980440"/>
                <wp:effectExtent l="4445" t="4445" r="18415" b="5715"/>
                <wp:wrapTopAndBottom/>
                <wp:docPr id="1" name="Text Box 2"/>
                <wp:cNvGraphicFramePr/>
                <a:graphic xmlns:a="http://schemas.openxmlformats.org/drawingml/2006/main">
                  <a:graphicData uri="http://schemas.microsoft.com/office/word/2010/wordprocessingShape">
                    <wps:wsp>
                      <wps:cNvSpPr txBox="1">
                        <a:spLocks noChangeArrowheads="1"/>
                      </wps:cNvSpPr>
                      <wps:spPr bwMode="auto">
                        <a:xfrm>
                          <a:off x="1114425" y="2428875"/>
                          <a:ext cx="5372100" cy="980440"/>
                        </a:xfrm>
                        <a:prstGeom prst="rect">
                          <a:avLst/>
                        </a:prstGeom>
                        <a:solidFill>
                          <a:srgbClr val="FFFFFF"/>
                        </a:solidFill>
                        <a:ln w="9525">
                          <a:solidFill>
                            <a:srgbClr val="000000"/>
                          </a:solidFill>
                          <a:miter lim="800000"/>
                        </a:ln>
                      </wps:spPr>
                      <wps:txbx>
                        <w:txbxContent>
                          <w:p w14:paraId="544D3F1B">
                            <w:pPr>
                              <w:adjustRightInd w:val="0"/>
                              <w:snapToGrid w:val="0"/>
                              <w:spacing w:line="480" w:lineRule="exact"/>
                              <w:ind w:firstLine="560" w:firstLineChars="200"/>
                              <w:rPr>
                                <w:sz w:val="28"/>
                                <w:szCs w:val="20"/>
                              </w:rPr>
                            </w:pPr>
                            <w:r>
                              <w:rPr>
                                <w:rFonts w:hint="eastAsia"/>
                                <w:sz w:val="28"/>
                                <w:szCs w:val="20"/>
                              </w:rPr>
                              <w:t>本公司董事会及全体董事保证本公告内容不存在任何虚假记载、误导性陈述或者重大遗漏，并对其内容的真实性、准确性和完整性承担法律责任。</w:t>
                            </w:r>
                          </w:p>
                          <w:p w14:paraId="7964C708">
                            <w:pPr>
                              <w:adjustRightInd w:val="0"/>
                              <w:snapToGrid w:val="0"/>
                              <w:spacing w:line="480" w:lineRule="exact"/>
                              <w:ind w:firstLine="560" w:firstLineChars="200"/>
                              <w:rPr>
                                <w:sz w:val="28"/>
                                <w:szCs w:val="20"/>
                              </w:rPr>
                            </w:pPr>
                            <w:r>
                              <w:rPr>
                                <w:rFonts w:hint="eastAsia"/>
                                <w:sz w:val="28"/>
                                <w:szCs w:val="20"/>
                              </w:rPr>
                              <w:t>。</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4.65pt;margin-top:5.25pt;height:77.2pt;width:423pt;mso-wrap-distance-bottom:0pt;mso-wrap-distance-top:0pt;z-index:251659264;mso-width-relative:page;mso-height-relative:page;" fillcolor="#FFFFFF" filled="t" stroked="t" coordsize="21600,21600" o:gfxdata="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vkoGHWAAAACQEAAA8AAAAAAAAAAQAgAAAAIgAAAGRycy9kb3du&#10;cmV2LnhtbFBLAQIUABQAAAAIAIdO4kA0BjOBOgIAAJIEAAAOAAAAAAAAAAEAIAAAACUBAABkcnMv&#10;ZTJvRG9jLnhtbFBLBQYAAAAABgAGAFkBAADRBQAAAAA=&#10;">
                <v:fill on="t" focussize="0,0"/>
                <v:stroke color="#000000" miterlimit="8" joinstyle="miter"/>
                <v:imagedata o:title=""/>
                <o:lock v:ext="edit" aspectratio="f"/>
                <v:textbox>
                  <w:txbxContent>
                    <w:p w14:paraId="544D3F1B">
                      <w:pPr>
                        <w:adjustRightInd w:val="0"/>
                        <w:snapToGrid w:val="0"/>
                        <w:spacing w:line="480" w:lineRule="exact"/>
                        <w:ind w:firstLine="560" w:firstLineChars="200"/>
                        <w:rPr>
                          <w:sz w:val="28"/>
                          <w:szCs w:val="20"/>
                        </w:rPr>
                      </w:pPr>
                      <w:r>
                        <w:rPr>
                          <w:rFonts w:hint="eastAsia"/>
                          <w:sz w:val="28"/>
                          <w:szCs w:val="20"/>
                        </w:rPr>
                        <w:t>本公司董事会及全体董事保证本公告内容不存在任何虚假记载、误导性陈述或者重大遗漏，并对其内容的真实性、准确性和完整性承担法律责任。</w:t>
                      </w:r>
                    </w:p>
                    <w:p w14:paraId="7964C708">
                      <w:pPr>
                        <w:adjustRightInd w:val="0"/>
                        <w:snapToGrid w:val="0"/>
                        <w:spacing w:line="480" w:lineRule="exact"/>
                        <w:ind w:firstLine="560" w:firstLineChars="200"/>
                        <w:rPr>
                          <w:sz w:val="28"/>
                          <w:szCs w:val="20"/>
                        </w:rPr>
                      </w:pPr>
                      <w:r>
                        <w:rPr>
                          <w:rFonts w:hint="eastAsia"/>
                          <w:sz w:val="28"/>
                          <w:szCs w:val="20"/>
                        </w:rPr>
                        <w:t>。</w:t>
                      </w:r>
                    </w:p>
                  </w:txbxContent>
                </v:textbox>
                <w10:wrap type="topAndBottom"/>
              </v:shape>
            </w:pict>
          </mc:Fallback>
        </mc:AlternateContent>
      </w:r>
    </w:p>
    <w:p w14:paraId="238DF2E0">
      <w:pPr>
        <w:spacing w:line="360" w:lineRule="auto"/>
        <w:ind w:firstLine="562" w:firstLineChars="200"/>
        <w:rPr>
          <w:rFonts w:asciiTheme="minorEastAsia" w:hAnsiTheme="minorEastAsia"/>
          <w:b/>
          <w:bCs/>
          <w:sz w:val="28"/>
          <w:szCs w:val="28"/>
        </w:rPr>
      </w:pPr>
      <w:r>
        <w:rPr>
          <w:rFonts w:hint="eastAsia" w:asciiTheme="minorEastAsia" w:hAnsiTheme="minorEastAsia"/>
          <w:b/>
          <w:bCs/>
          <w:sz w:val="28"/>
          <w:szCs w:val="28"/>
        </w:rPr>
        <w:t>重要内容提示：</w:t>
      </w:r>
    </w:p>
    <w:p w14:paraId="00B4ED5F">
      <w:pPr>
        <w:numPr>
          <w:ilvl w:val="0"/>
          <w:numId w:val="1"/>
        </w:numPr>
        <w:snapToGrid w:val="0"/>
        <w:spacing w:line="520" w:lineRule="exact"/>
        <w:rPr>
          <w:rFonts w:ascii="宋体" w:hAnsi="宋体"/>
          <w:sz w:val="28"/>
          <w:szCs w:val="28"/>
        </w:rPr>
      </w:pPr>
      <w:r>
        <w:rPr>
          <w:rFonts w:hint="eastAsia" w:ascii="宋体" w:hAnsi="宋体"/>
          <w:sz w:val="28"/>
          <w:szCs w:val="28"/>
        </w:rPr>
        <w:t>本期业绩预告适用“实现盈利，且净利润与上年同期相比上升50%以上”的情形。</w:t>
      </w:r>
    </w:p>
    <w:p w14:paraId="2F34A861">
      <w:pPr>
        <w:numPr>
          <w:ilvl w:val="0"/>
          <w:numId w:val="1"/>
        </w:numPr>
        <w:snapToGrid w:val="0"/>
        <w:spacing w:line="520" w:lineRule="exact"/>
        <w:rPr>
          <w:rFonts w:ascii="宋体" w:hAnsi="宋体"/>
          <w:sz w:val="28"/>
          <w:szCs w:val="28"/>
        </w:rPr>
      </w:pPr>
      <w:r>
        <w:rPr>
          <w:rFonts w:hint="eastAsia" w:ascii="宋体" w:hAnsi="宋体"/>
          <w:sz w:val="28"/>
          <w:szCs w:val="28"/>
        </w:rPr>
        <w:t>按中国会计准则初步测算，兖矿能源集团股份有限公司（“公司”“本公司”）预计2026年半年度实现归属于上市公司股东的净利润约</w:t>
      </w:r>
      <w:r>
        <w:rPr>
          <w:rFonts w:ascii="宋体" w:hAnsi="宋体"/>
          <w:sz w:val="28"/>
          <w:szCs w:val="28"/>
        </w:rPr>
        <w:t>72</w:t>
      </w:r>
      <w:r>
        <w:rPr>
          <w:rFonts w:hint="eastAsia" w:ascii="宋体" w:hAnsi="宋体"/>
          <w:sz w:val="28"/>
          <w:szCs w:val="28"/>
        </w:rPr>
        <w:t>亿元，与上年同期披露数据相比，</w:t>
      </w:r>
      <w:bookmarkStart w:id="0" w:name="_Hlk99396991"/>
      <w:r>
        <w:rPr>
          <w:rFonts w:hint="eastAsia" w:ascii="宋体" w:hAnsi="宋体"/>
          <w:sz w:val="28"/>
          <w:szCs w:val="28"/>
        </w:rPr>
        <w:t>增加约</w:t>
      </w:r>
      <w:r>
        <w:rPr>
          <w:rFonts w:ascii="宋体" w:hAnsi="宋体"/>
          <w:sz w:val="28"/>
          <w:szCs w:val="28"/>
        </w:rPr>
        <w:t>25</w:t>
      </w:r>
      <w:r>
        <w:rPr>
          <w:rFonts w:hint="eastAsia" w:ascii="宋体" w:hAnsi="宋体"/>
          <w:sz w:val="28"/>
          <w:szCs w:val="28"/>
        </w:rPr>
        <w:t>亿元或</w:t>
      </w:r>
      <w:r>
        <w:rPr>
          <w:rFonts w:ascii="宋体" w:hAnsi="宋体"/>
          <w:sz w:val="28"/>
          <w:szCs w:val="28"/>
        </w:rPr>
        <w:t>53</w:t>
      </w:r>
      <w:r>
        <w:rPr>
          <w:rFonts w:hint="eastAsia" w:ascii="宋体" w:hAnsi="宋体"/>
          <w:sz w:val="28"/>
          <w:szCs w:val="28"/>
        </w:rPr>
        <w:t>%</w:t>
      </w:r>
      <w:bookmarkEnd w:id="0"/>
      <w:r>
        <w:rPr>
          <w:rFonts w:hint="eastAsia" w:ascii="宋体" w:hAnsi="宋体"/>
          <w:sz w:val="28"/>
          <w:szCs w:val="28"/>
        </w:rPr>
        <w:t>；预计2026年半年度实现归属于上市公司股东的扣除非经常性损益的净利润约</w:t>
      </w:r>
      <w:r>
        <w:rPr>
          <w:rFonts w:ascii="宋体" w:hAnsi="宋体"/>
          <w:sz w:val="28"/>
          <w:szCs w:val="28"/>
        </w:rPr>
        <w:t>45</w:t>
      </w:r>
      <w:r>
        <w:rPr>
          <w:rFonts w:hint="eastAsia" w:ascii="宋体" w:hAnsi="宋体"/>
          <w:sz w:val="28"/>
          <w:szCs w:val="28"/>
        </w:rPr>
        <w:t>亿元，与上年同期披露数据相比，增加约</w:t>
      </w:r>
      <w:r>
        <w:rPr>
          <w:rFonts w:ascii="宋体" w:hAnsi="宋体"/>
          <w:sz w:val="28"/>
          <w:szCs w:val="28"/>
        </w:rPr>
        <w:t>1</w:t>
      </w:r>
      <w:r>
        <w:rPr>
          <w:rFonts w:hint="eastAsia" w:ascii="宋体" w:hAnsi="宋体"/>
          <w:sz w:val="28"/>
          <w:szCs w:val="28"/>
        </w:rPr>
        <w:t>亿元或</w:t>
      </w:r>
      <w:r>
        <w:rPr>
          <w:rFonts w:ascii="宋体" w:hAnsi="宋体"/>
          <w:sz w:val="28"/>
          <w:szCs w:val="28"/>
        </w:rPr>
        <w:t>2</w:t>
      </w:r>
      <w:r>
        <w:rPr>
          <w:rFonts w:hint="eastAsia" w:ascii="宋体" w:hAnsi="宋体"/>
          <w:sz w:val="28"/>
          <w:szCs w:val="28"/>
        </w:rPr>
        <w:t>%。</w:t>
      </w:r>
    </w:p>
    <w:p w14:paraId="233BCA0F">
      <w:pPr>
        <w:snapToGrid w:val="0"/>
        <w:spacing w:line="520" w:lineRule="exact"/>
        <w:ind w:left="560"/>
        <w:rPr>
          <w:rFonts w:asciiTheme="minorEastAsia" w:hAnsiTheme="minorEastAsia"/>
          <w:b/>
          <w:bCs/>
          <w:sz w:val="24"/>
        </w:rPr>
      </w:pPr>
    </w:p>
    <w:p w14:paraId="31A788D6">
      <w:pPr>
        <w:snapToGrid w:val="0"/>
        <w:spacing w:line="520" w:lineRule="exact"/>
        <w:ind w:firstLine="562" w:firstLineChars="200"/>
        <w:rPr>
          <w:rFonts w:ascii="宋体" w:hAnsi="宋体"/>
          <w:b/>
          <w:bCs/>
          <w:sz w:val="28"/>
          <w:szCs w:val="28"/>
        </w:rPr>
      </w:pPr>
      <w:r>
        <w:rPr>
          <w:rFonts w:hint="eastAsia" w:ascii="宋体" w:hAnsi="宋体"/>
          <w:b/>
          <w:bCs/>
          <w:sz w:val="28"/>
          <w:szCs w:val="28"/>
        </w:rPr>
        <w:t>一、本期业绩预告情况（按中国会计准则计算）</w:t>
      </w:r>
    </w:p>
    <w:p w14:paraId="3DB9EEAF">
      <w:pPr>
        <w:snapToGrid w:val="0"/>
        <w:spacing w:line="520" w:lineRule="exact"/>
        <w:ind w:firstLine="560" w:firstLineChars="200"/>
        <w:rPr>
          <w:rFonts w:ascii="宋体" w:hAnsi="宋体"/>
          <w:sz w:val="28"/>
          <w:szCs w:val="28"/>
        </w:rPr>
      </w:pPr>
      <w:r>
        <w:rPr>
          <w:rFonts w:hint="eastAsia" w:ascii="宋体" w:hAnsi="宋体"/>
          <w:sz w:val="28"/>
          <w:szCs w:val="28"/>
        </w:rPr>
        <w:t>（一）业绩预告期间</w:t>
      </w:r>
    </w:p>
    <w:p w14:paraId="0E8DCCCD">
      <w:pPr>
        <w:snapToGrid w:val="0"/>
        <w:spacing w:line="520" w:lineRule="exact"/>
        <w:ind w:firstLine="560" w:firstLineChars="200"/>
        <w:rPr>
          <w:rFonts w:ascii="宋体" w:hAnsi="宋体"/>
          <w:sz w:val="28"/>
          <w:szCs w:val="28"/>
        </w:rPr>
      </w:pPr>
      <w:r>
        <w:rPr>
          <w:rFonts w:hint="eastAsia" w:ascii="宋体" w:hAnsi="宋体"/>
          <w:sz w:val="28"/>
          <w:szCs w:val="28"/>
        </w:rPr>
        <w:t>2026年1月1日至2026年</w:t>
      </w:r>
      <w:r>
        <w:rPr>
          <w:rFonts w:ascii="宋体" w:hAnsi="宋体"/>
          <w:sz w:val="28"/>
          <w:szCs w:val="28"/>
        </w:rPr>
        <w:t>6</w:t>
      </w:r>
      <w:r>
        <w:rPr>
          <w:rFonts w:hint="eastAsia" w:ascii="宋体" w:hAnsi="宋体"/>
          <w:sz w:val="28"/>
          <w:szCs w:val="28"/>
        </w:rPr>
        <w:t>月3</w:t>
      </w:r>
      <w:r>
        <w:rPr>
          <w:rFonts w:ascii="宋体" w:hAnsi="宋体"/>
          <w:sz w:val="28"/>
          <w:szCs w:val="28"/>
        </w:rPr>
        <w:t>0</w:t>
      </w:r>
      <w:r>
        <w:rPr>
          <w:rFonts w:hint="eastAsia" w:ascii="宋体" w:hAnsi="宋体"/>
          <w:sz w:val="28"/>
          <w:szCs w:val="28"/>
        </w:rPr>
        <w:t>日。</w:t>
      </w:r>
    </w:p>
    <w:p w14:paraId="60DA1276">
      <w:pPr>
        <w:snapToGrid w:val="0"/>
        <w:spacing w:line="520" w:lineRule="exact"/>
        <w:ind w:firstLine="560" w:firstLineChars="200"/>
        <w:rPr>
          <w:rFonts w:ascii="宋体" w:hAnsi="宋体"/>
          <w:sz w:val="28"/>
          <w:szCs w:val="28"/>
        </w:rPr>
      </w:pPr>
      <w:r>
        <w:rPr>
          <w:rFonts w:hint="eastAsia" w:ascii="宋体" w:hAnsi="宋体"/>
          <w:sz w:val="28"/>
          <w:szCs w:val="28"/>
        </w:rPr>
        <w:t>（二）业绩预告情况</w:t>
      </w:r>
    </w:p>
    <w:p w14:paraId="026908FE">
      <w:pPr>
        <w:snapToGrid w:val="0"/>
        <w:spacing w:line="520" w:lineRule="exact"/>
        <w:ind w:firstLine="560" w:firstLineChars="200"/>
        <w:rPr>
          <w:rFonts w:ascii="宋体" w:hAnsi="宋体"/>
          <w:sz w:val="28"/>
          <w:szCs w:val="28"/>
        </w:rPr>
      </w:pPr>
      <w:r>
        <w:rPr>
          <w:rFonts w:hint="eastAsia" w:ascii="宋体" w:hAnsi="宋体"/>
          <w:sz w:val="28"/>
          <w:szCs w:val="28"/>
        </w:rPr>
        <w:t>经公司财务部门初步测算，预计2026年半年度实现归属于上市公司股东的净利润约</w:t>
      </w:r>
      <w:r>
        <w:rPr>
          <w:rFonts w:ascii="宋体" w:hAnsi="宋体"/>
          <w:sz w:val="28"/>
          <w:szCs w:val="28"/>
        </w:rPr>
        <w:t>72</w:t>
      </w:r>
      <w:r>
        <w:rPr>
          <w:rFonts w:hint="eastAsia" w:ascii="宋体" w:hAnsi="宋体"/>
          <w:sz w:val="28"/>
          <w:szCs w:val="28"/>
        </w:rPr>
        <w:t>亿元，与上年同期（法定披露数据）相比，增加</w:t>
      </w:r>
      <w:bookmarkStart w:id="1" w:name="_Hlk234767752"/>
      <w:r>
        <w:rPr>
          <w:rFonts w:hint="eastAsia" w:ascii="宋体" w:hAnsi="宋体"/>
          <w:sz w:val="28"/>
          <w:szCs w:val="28"/>
        </w:rPr>
        <w:t>约</w:t>
      </w:r>
      <w:bookmarkEnd w:id="1"/>
      <w:r>
        <w:rPr>
          <w:rFonts w:ascii="宋体" w:hAnsi="宋体"/>
          <w:sz w:val="28"/>
          <w:szCs w:val="28"/>
        </w:rPr>
        <w:t>25</w:t>
      </w:r>
      <w:r>
        <w:rPr>
          <w:rFonts w:hint="eastAsia" w:ascii="宋体" w:hAnsi="宋体"/>
          <w:sz w:val="28"/>
          <w:szCs w:val="28"/>
        </w:rPr>
        <w:t>亿元，同比增加约</w:t>
      </w:r>
      <w:r>
        <w:rPr>
          <w:rFonts w:ascii="宋体" w:hAnsi="宋体"/>
          <w:sz w:val="28"/>
          <w:szCs w:val="28"/>
        </w:rPr>
        <w:t>53</w:t>
      </w:r>
      <w:r>
        <w:rPr>
          <w:rFonts w:hint="eastAsia" w:ascii="宋体" w:hAnsi="宋体"/>
          <w:sz w:val="28"/>
          <w:szCs w:val="28"/>
        </w:rPr>
        <w:t>%；与上年同期（追溯调整后数据）相比，增加约</w:t>
      </w:r>
      <w:r>
        <w:rPr>
          <w:rFonts w:ascii="宋体" w:hAnsi="宋体"/>
          <w:sz w:val="28"/>
          <w:szCs w:val="28"/>
        </w:rPr>
        <w:t>24</w:t>
      </w:r>
      <w:r>
        <w:rPr>
          <w:rFonts w:hint="eastAsia" w:ascii="宋体" w:hAnsi="宋体"/>
          <w:sz w:val="28"/>
          <w:szCs w:val="28"/>
        </w:rPr>
        <w:t>亿元，同比增加约</w:t>
      </w:r>
      <w:r>
        <w:rPr>
          <w:rFonts w:ascii="宋体" w:hAnsi="宋体"/>
          <w:sz w:val="28"/>
          <w:szCs w:val="28"/>
        </w:rPr>
        <w:t>49</w:t>
      </w:r>
      <w:r>
        <w:rPr>
          <w:rFonts w:hint="eastAsia" w:ascii="宋体" w:hAnsi="宋体"/>
          <w:sz w:val="28"/>
          <w:szCs w:val="28"/>
        </w:rPr>
        <w:t>%。</w:t>
      </w:r>
    </w:p>
    <w:p w14:paraId="213CD16A">
      <w:pPr>
        <w:snapToGrid w:val="0"/>
        <w:spacing w:line="520" w:lineRule="exact"/>
        <w:ind w:firstLine="560" w:firstLineChars="200"/>
        <w:rPr>
          <w:rFonts w:ascii="宋体" w:hAnsi="宋体"/>
          <w:sz w:val="28"/>
          <w:szCs w:val="28"/>
        </w:rPr>
      </w:pPr>
      <w:r>
        <w:rPr>
          <w:rFonts w:hint="eastAsia" w:ascii="宋体" w:hAnsi="宋体"/>
          <w:sz w:val="28"/>
          <w:szCs w:val="28"/>
        </w:rPr>
        <w:t>预计2026年半年度实现归属于上市公司股东的扣除非经常性损益的净利润约</w:t>
      </w:r>
      <w:r>
        <w:rPr>
          <w:rFonts w:ascii="宋体" w:hAnsi="宋体"/>
          <w:sz w:val="28"/>
          <w:szCs w:val="28"/>
        </w:rPr>
        <w:t>45</w:t>
      </w:r>
      <w:r>
        <w:rPr>
          <w:rFonts w:hint="eastAsia" w:ascii="宋体" w:hAnsi="宋体"/>
          <w:sz w:val="28"/>
          <w:szCs w:val="28"/>
        </w:rPr>
        <w:t>亿元，与上年同期（法定披露数据）相比，增加约1亿元，同比增加约</w:t>
      </w:r>
      <w:r>
        <w:rPr>
          <w:rFonts w:ascii="宋体" w:hAnsi="宋体"/>
          <w:sz w:val="28"/>
          <w:szCs w:val="28"/>
        </w:rPr>
        <w:t>2</w:t>
      </w:r>
      <w:r>
        <w:rPr>
          <w:rFonts w:hint="eastAsia" w:ascii="宋体" w:hAnsi="宋体"/>
          <w:sz w:val="28"/>
          <w:szCs w:val="28"/>
        </w:rPr>
        <w:t>%；与上年同期（追溯调整后数据）相比，增加约</w:t>
      </w:r>
      <w:r>
        <w:rPr>
          <w:rFonts w:ascii="宋体" w:hAnsi="宋体"/>
          <w:sz w:val="28"/>
          <w:szCs w:val="28"/>
        </w:rPr>
        <w:t>1</w:t>
      </w:r>
      <w:r>
        <w:rPr>
          <w:rFonts w:hint="eastAsia" w:ascii="宋体" w:hAnsi="宋体"/>
          <w:sz w:val="28"/>
          <w:szCs w:val="28"/>
        </w:rPr>
        <w:t>亿元，同比增加约</w:t>
      </w:r>
      <w:r>
        <w:rPr>
          <w:rFonts w:ascii="宋体" w:hAnsi="宋体"/>
          <w:sz w:val="28"/>
          <w:szCs w:val="28"/>
        </w:rPr>
        <w:t>2</w:t>
      </w:r>
      <w:r>
        <w:rPr>
          <w:rFonts w:hint="eastAsia" w:ascii="宋体" w:hAnsi="宋体"/>
          <w:sz w:val="28"/>
          <w:szCs w:val="28"/>
        </w:rPr>
        <w:t>%。</w:t>
      </w:r>
    </w:p>
    <w:p w14:paraId="171DFD79">
      <w:pPr>
        <w:snapToGrid w:val="0"/>
        <w:spacing w:line="520" w:lineRule="exact"/>
        <w:ind w:firstLine="560" w:firstLineChars="200"/>
        <w:rPr>
          <w:rFonts w:ascii="宋体" w:hAnsi="宋体"/>
          <w:sz w:val="28"/>
          <w:szCs w:val="28"/>
        </w:rPr>
      </w:pPr>
      <w:r>
        <w:rPr>
          <w:rFonts w:hint="eastAsia" w:ascii="宋体" w:hAnsi="宋体"/>
          <w:sz w:val="28"/>
          <w:szCs w:val="28"/>
        </w:rPr>
        <w:t>（三）本期业绩预告数据未经注册会计师审计。</w:t>
      </w:r>
    </w:p>
    <w:p w14:paraId="24907100">
      <w:pPr>
        <w:snapToGrid w:val="0"/>
        <w:spacing w:line="520" w:lineRule="exact"/>
        <w:ind w:firstLine="562" w:firstLineChars="200"/>
        <w:rPr>
          <w:rFonts w:ascii="宋体" w:hAnsi="宋体"/>
          <w:b/>
          <w:bCs/>
          <w:sz w:val="28"/>
          <w:szCs w:val="28"/>
        </w:rPr>
      </w:pPr>
      <w:r>
        <w:rPr>
          <w:rFonts w:hint="eastAsia" w:ascii="宋体" w:hAnsi="宋体"/>
          <w:b/>
          <w:bCs/>
          <w:sz w:val="28"/>
          <w:szCs w:val="28"/>
        </w:rPr>
        <w:t>二、上年同期经营业绩和财务状况（法定披露数据，按中国会计准则计算）</w:t>
      </w:r>
    </w:p>
    <w:p w14:paraId="2A984658">
      <w:pPr>
        <w:snapToGrid w:val="0"/>
        <w:spacing w:line="520" w:lineRule="exact"/>
        <w:ind w:firstLine="560" w:firstLineChars="200"/>
        <w:rPr>
          <w:rFonts w:ascii="宋体" w:hAnsi="宋体"/>
          <w:sz w:val="28"/>
          <w:szCs w:val="28"/>
        </w:rPr>
      </w:pPr>
      <w:r>
        <w:rPr>
          <w:rFonts w:hint="eastAsia" w:ascii="宋体" w:hAnsi="宋体"/>
          <w:sz w:val="28"/>
          <w:szCs w:val="28"/>
        </w:rPr>
        <w:t>（一）利润总额：</w:t>
      </w:r>
      <w:r>
        <w:rPr>
          <w:rFonts w:ascii="宋体" w:hAnsi="宋体"/>
          <w:sz w:val="28"/>
          <w:szCs w:val="28"/>
        </w:rPr>
        <w:t>84</w:t>
      </w:r>
      <w:r>
        <w:rPr>
          <w:rFonts w:hint="eastAsia" w:ascii="宋体" w:hAnsi="宋体"/>
          <w:sz w:val="28"/>
          <w:szCs w:val="28"/>
        </w:rPr>
        <w:t>亿元。归属于上市公司股东的净利润：</w:t>
      </w:r>
      <w:r>
        <w:rPr>
          <w:rFonts w:ascii="宋体" w:hAnsi="宋体"/>
          <w:sz w:val="28"/>
          <w:szCs w:val="28"/>
        </w:rPr>
        <w:t>47</w:t>
      </w:r>
      <w:r>
        <w:rPr>
          <w:rFonts w:hint="eastAsia" w:ascii="宋体" w:hAnsi="宋体"/>
          <w:sz w:val="28"/>
          <w:szCs w:val="28"/>
        </w:rPr>
        <w:t>亿元。归属于上市公司股东的扣除非经常性损益的净利润：</w:t>
      </w:r>
      <w:r>
        <w:rPr>
          <w:rFonts w:ascii="宋体" w:hAnsi="宋体"/>
          <w:sz w:val="28"/>
          <w:szCs w:val="28"/>
        </w:rPr>
        <w:t>44</w:t>
      </w:r>
      <w:r>
        <w:rPr>
          <w:rFonts w:hint="eastAsia" w:ascii="宋体" w:hAnsi="宋体"/>
          <w:sz w:val="28"/>
          <w:szCs w:val="28"/>
        </w:rPr>
        <w:t>亿元。</w:t>
      </w:r>
    </w:p>
    <w:p w14:paraId="5047920A">
      <w:pPr>
        <w:snapToGrid w:val="0"/>
        <w:spacing w:line="520" w:lineRule="exact"/>
        <w:ind w:firstLine="560" w:firstLineChars="200"/>
        <w:rPr>
          <w:rFonts w:ascii="宋体" w:hAnsi="宋体"/>
          <w:sz w:val="28"/>
          <w:szCs w:val="28"/>
        </w:rPr>
      </w:pPr>
      <w:r>
        <w:rPr>
          <w:rFonts w:hint="eastAsia" w:ascii="宋体" w:hAnsi="宋体"/>
          <w:sz w:val="28"/>
          <w:szCs w:val="28"/>
        </w:rPr>
        <w:t>（二）每股收益：</w:t>
      </w:r>
      <w:r>
        <w:rPr>
          <w:rFonts w:ascii="宋体" w:hAnsi="宋体"/>
          <w:sz w:val="28"/>
          <w:szCs w:val="28"/>
        </w:rPr>
        <w:t>0.46</w:t>
      </w:r>
      <w:r>
        <w:rPr>
          <w:rFonts w:hint="eastAsia" w:ascii="宋体" w:hAnsi="宋体"/>
          <w:sz w:val="28"/>
          <w:szCs w:val="28"/>
        </w:rPr>
        <w:t>元。</w:t>
      </w:r>
    </w:p>
    <w:p w14:paraId="44BDEF80">
      <w:pPr>
        <w:snapToGrid w:val="0"/>
        <w:spacing w:line="520" w:lineRule="exact"/>
        <w:ind w:firstLine="562" w:firstLineChars="200"/>
        <w:rPr>
          <w:rFonts w:ascii="宋体" w:hAnsi="宋体"/>
          <w:b/>
          <w:bCs/>
          <w:sz w:val="28"/>
          <w:szCs w:val="28"/>
        </w:rPr>
      </w:pPr>
      <w:r>
        <w:rPr>
          <w:rFonts w:hint="eastAsia" w:ascii="宋体" w:hAnsi="宋体"/>
          <w:b/>
          <w:bCs/>
          <w:sz w:val="28"/>
          <w:szCs w:val="28"/>
        </w:rPr>
        <w:t>三、本期业绩预增的主要原因</w:t>
      </w:r>
    </w:p>
    <w:p w14:paraId="6CA5C2C7">
      <w:pPr>
        <w:autoSpaceDE w:val="0"/>
        <w:autoSpaceDN w:val="0"/>
        <w:adjustRightInd w:val="0"/>
        <w:snapToGrid w:val="0"/>
        <w:spacing w:line="520" w:lineRule="exact"/>
        <w:ind w:firstLine="560" w:firstLineChars="200"/>
        <w:rPr>
          <w:rFonts w:ascii="宋体" w:hAnsi="宋体"/>
          <w:color w:val="000000"/>
          <w:sz w:val="28"/>
          <w:szCs w:val="28"/>
        </w:rPr>
      </w:pPr>
      <w:r>
        <w:rPr>
          <w:rFonts w:ascii="宋体" w:hAnsi="宋体"/>
          <w:color w:val="000000"/>
          <w:sz w:val="28"/>
          <w:szCs w:val="28"/>
        </w:rPr>
        <w:t>公司202</w:t>
      </w:r>
      <w:r>
        <w:rPr>
          <w:rFonts w:hint="eastAsia" w:ascii="宋体" w:hAnsi="宋体"/>
          <w:color w:val="000000"/>
          <w:sz w:val="28"/>
          <w:szCs w:val="28"/>
        </w:rPr>
        <w:t>6</w:t>
      </w:r>
      <w:r>
        <w:rPr>
          <w:rFonts w:ascii="宋体" w:hAnsi="宋体"/>
          <w:color w:val="000000"/>
          <w:sz w:val="28"/>
          <w:szCs w:val="28"/>
        </w:rPr>
        <w:t>年</w:t>
      </w:r>
      <w:r>
        <w:rPr>
          <w:rFonts w:hint="eastAsia" w:ascii="宋体" w:hAnsi="宋体"/>
          <w:color w:val="000000"/>
          <w:sz w:val="28"/>
          <w:szCs w:val="28"/>
        </w:rPr>
        <w:t>上半年</w:t>
      </w:r>
      <w:r>
        <w:rPr>
          <w:rFonts w:ascii="宋体" w:hAnsi="宋体"/>
          <w:color w:val="000000"/>
          <w:sz w:val="28"/>
          <w:szCs w:val="28"/>
        </w:rPr>
        <w:t>业绩较上年同期提升，主要是由于：</w:t>
      </w:r>
      <w:r>
        <w:rPr>
          <w:rFonts w:hint="eastAsia" w:ascii="宋体" w:hAnsi="宋体"/>
          <w:color w:val="000000"/>
          <w:sz w:val="28"/>
          <w:szCs w:val="28"/>
        </w:rPr>
        <w:t>公司报告期内煤炭、煤化工产品价格上涨，经营业绩改善等；公开挂牌转让内蒙古鑫泰煤炭有限公司100%股权，产生较高投资收益；确认外汇套期损失、资产减值，以及预提涉税诉讼损失和缴纳消费税等，影响</w:t>
      </w:r>
      <w:bookmarkStart w:id="2" w:name="_Hlk234767803"/>
      <w:r>
        <w:rPr>
          <w:rFonts w:hint="eastAsia" w:ascii="宋体" w:hAnsi="宋体"/>
          <w:color w:val="000000"/>
          <w:sz w:val="28"/>
          <w:szCs w:val="28"/>
        </w:rPr>
        <w:t>归属于上市公司股东的净利润</w:t>
      </w:r>
      <w:bookmarkEnd w:id="2"/>
      <w:r>
        <w:rPr>
          <w:rFonts w:hint="eastAsia" w:ascii="宋体" w:hAnsi="宋体"/>
          <w:color w:val="000000"/>
          <w:sz w:val="28"/>
          <w:szCs w:val="28"/>
        </w:rPr>
        <w:t>减少。</w:t>
      </w:r>
    </w:p>
    <w:p w14:paraId="39576B33">
      <w:pPr>
        <w:snapToGrid w:val="0"/>
        <w:spacing w:line="520" w:lineRule="exact"/>
        <w:ind w:firstLine="562" w:firstLineChars="200"/>
        <w:rPr>
          <w:rFonts w:ascii="宋体" w:hAnsi="宋体"/>
          <w:b/>
          <w:bCs/>
          <w:sz w:val="28"/>
          <w:szCs w:val="28"/>
        </w:rPr>
      </w:pPr>
      <w:r>
        <w:rPr>
          <w:rFonts w:hint="eastAsia" w:ascii="宋体" w:hAnsi="宋体"/>
          <w:b/>
          <w:bCs/>
          <w:sz w:val="28"/>
          <w:szCs w:val="28"/>
        </w:rPr>
        <w:t xml:space="preserve">四、风险提示 </w:t>
      </w:r>
    </w:p>
    <w:p w14:paraId="3DF4A0F0">
      <w:pPr>
        <w:snapToGrid w:val="0"/>
        <w:spacing w:line="520" w:lineRule="exact"/>
        <w:ind w:firstLine="560" w:firstLineChars="200"/>
        <w:rPr>
          <w:rFonts w:ascii="宋体" w:hAnsi="宋体"/>
          <w:sz w:val="28"/>
          <w:szCs w:val="28"/>
        </w:rPr>
      </w:pPr>
      <w:r>
        <w:rPr>
          <w:rFonts w:hint="eastAsia" w:ascii="宋体" w:hAnsi="宋体"/>
          <w:sz w:val="28"/>
          <w:szCs w:val="28"/>
        </w:rPr>
        <w:t>截至目前公司不存在影响本次业绩预告内容准确性的重大不确定因素。</w:t>
      </w:r>
    </w:p>
    <w:p w14:paraId="51067980">
      <w:pPr>
        <w:snapToGrid w:val="0"/>
        <w:spacing w:line="520" w:lineRule="exact"/>
        <w:ind w:firstLine="562" w:firstLineChars="200"/>
        <w:rPr>
          <w:rFonts w:ascii="宋体" w:hAnsi="宋体"/>
          <w:b/>
          <w:bCs/>
          <w:sz w:val="28"/>
          <w:szCs w:val="28"/>
        </w:rPr>
      </w:pPr>
      <w:r>
        <w:rPr>
          <w:rFonts w:hint="eastAsia" w:ascii="宋体" w:hAnsi="宋体"/>
          <w:b/>
          <w:bCs/>
          <w:sz w:val="28"/>
          <w:szCs w:val="28"/>
        </w:rPr>
        <w:t>五、其他说明事项</w:t>
      </w:r>
    </w:p>
    <w:p w14:paraId="01DD826B">
      <w:pPr>
        <w:snapToGrid w:val="0"/>
        <w:spacing w:line="520" w:lineRule="exact"/>
        <w:ind w:firstLine="560" w:firstLineChars="200"/>
        <w:rPr>
          <w:rFonts w:ascii="宋体" w:hAnsi="宋体"/>
          <w:sz w:val="28"/>
          <w:szCs w:val="28"/>
        </w:rPr>
      </w:pPr>
      <w:r>
        <w:rPr>
          <w:rFonts w:hint="eastAsia" w:ascii="宋体" w:hAnsi="宋体"/>
          <w:sz w:val="28"/>
          <w:szCs w:val="28"/>
        </w:rPr>
        <w:t>以上预告数据仅为初步核算数据，具体准确的财务数据以公司正式披露的2026年半年度报告为准，敬请广大投资者注意投资风险。</w:t>
      </w:r>
    </w:p>
    <w:p w14:paraId="57FFC62A">
      <w:pPr>
        <w:snapToGrid w:val="0"/>
        <w:spacing w:line="520" w:lineRule="exact"/>
        <w:ind w:firstLine="560" w:firstLineChars="200"/>
        <w:rPr>
          <w:rFonts w:ascii="宋体" w:hAnsi="宋体"/>
          <w:color w:val="000000"/>
          <w:sz w:val="28"/>
          <w:szCs w:val="28"/>
        </w:rPr>
      </w:pPr>
    </w:p>
    <w:p w14:paraId="46912AFD">
      <w:pPr>
        <w:snapToGrid w:val="0"/>
        <w:spacing w:line="520" w:lineRule="exact"/>
        <w:ind w:firstLine="560" w:firstLineChars="200"/>
        <w:rPr>
          <w:rFonts w:ascii="宋体" w:hAnsi="宋体"/>
          <w:sz w:val="28"/>
          <w:szCs w:val="28"/>
        </w:rPr>
      </w:pPr>
      <w:r>
        <w:rPr>
          <w:rFonts w:hint="eastAsia" w:ascii="宋体" w:hAnsi="宋体"/>
          <w:sz w:val="28"/>
          <w:szCs w:val="28"/>
        </w:rPr>
        <w:t>特此公告。</w:t>
      </w:r>
    </w:p>
    <w:p w14:paraId="748537EE">
      <w:pPr>
        <w:snapToGrid w:val="0"/>
        <w:spacing w:line="520" w:lineRule="exact"/>
        <w:ind w:firstLine="560" w:firstLineChars="200"/>
        <w:rPr>
          <w:rFonts w:ascii="宋体" w:hAnsi="宋体"/>
          <w:sz w:val="28"/>
          <w:szCs w:val="28"/>
        </w:rPr>
      </w:pPr>
    </w:p>
    <w:p w14:paraId="516194B3">
      <w:pPr>
        <w:snapToGrid w:val="0"/>
        <w:spacing w:line="520" w:lineRule="exact"/>
        <w:jc w:val="right"/>
        <w:rPr>
          <w:rFonts w:ascii="宋体" w:hAnsi="宋体"/>
          <w:sz w:val="28"/>
          <w:szCs w:val="28"/>
        </w:rPr>
      </w:pPr>
    </w:p>
    <w:p w14:paraId="0E136614">
      <w:pPr>
        <w:snapToGrid w:val="0"/>
        <w:spacing w:line="520" w:lineRule="exact"/>
        <w:ind w:firstLine="560" w:firstLineChars="200"/>
        <w:jc w:val="right"/>
        <w:rPr>
          <w:rFonts w:ascii="宋体" w:hAnsi="宋体"/>
          <w:sz w:val="28"/>
          <w:szCs w:val="28"/>
        </w:rPr>
      </w:pPr>
      <w:r>
        <w:rPr>
          <w:rFonts w:hint="eastAsia" w:ascii="宋体" w:hAnsi="宋体"/>
          <w:sz w:val="28"/>
          <w:szCs w:val="28"/>
        </w:rPr>
        <w:t>兖矿能源集团股份有限公司董事会</w:t>
      </w:r>
    </w:p>
    <w:p w14:paraId="7ED38FE0">
      <w:pPr>
        <w:snapToGrid w:val="0"/>
        <w:spacing w:line="520" w:lineRule="exact"/>
        <w:ind w:right="560" w:firstLine="560" w:firstLineChars="200"/>
        <w:jc w:val="right"/>
        <w:rPr>
          <w:rFonts w:ascii="宋体" w:hAnsi="宋体"/>
          <w:sz w:val="28"/>
          <w:szCs w:val="28"/>
        </w:rPr>
      </w:pPr>
      <w:r>
        <w:rPr>
          <w:rFonts w:hint="eastAsia" w:ascii="宋体" w:hAnsi="宋体"/>
          <w:sz w:val="28"/>
          <w:szCs w:val="28"/>
        </w:rPr>
        <w:t>2026年</w:t>
      </w:r>
      <w:r>
        <w:rPr>
          <w:rFonts w:ascii="宋体" w:hAnsi="宋体"/>
          <w:sz w:val="28"/>
          <w:szCs w:val="28"/>
        </w:rPr>
        <w:t>7</w:t>
      </w:r>
      <w:r>
        <w:rPr>
          <w:rFonts w:hint="eastAsia" w:ascii="宋体" w:hAnsi="宋体"/>
          <w:sz w:val="28"/>
          <w:szCs w:val="28"/>
        </w:rPr>
        <w:t>月1</w:t>
      </w:r>
      <w:r>
        <w:rPr>
          <w:rFonts w:ascii="宋体" w:hAnsi="宋体"/>
          <w:sz w:val="28"/>
          <w:szCs w:val="28"/>
        </w:rPr>
        <w:t>4</w:t>
      </w:r>
      <w:r>
        <w:rPr>
          <w:rFonts w:hint="eastAsia" w:ascii="宋体" w:hAnsi="宋体"/>
          <w:sz w:val="28"/>
          <w:szCs w:val="28"/>
        </w:rPr>
        <w:t>日</w:t>
      </w:r>
      <w:bookmarkStart w:id="3" w:name="_GoBack"/>
      <w:r>
        <w:rPr>
          <w:rFonts w:hint="eastAsia" w:ascii="宋体" w:hAnsi="宋体"/>
          <w:sz w:val="28"/>
          <w:szCs w:val="28"/>
        </w:rPr>
        <w:t xml:space="preserve"> </w:t>
      </w:r>
      <w:r>
        <w:rPr>
          <w:rFonts w:ascii="宋体" w:hAnsi="宋体"/>
          <w:sz w:val="28"/>
          <w:szCs w:val="28"/>
        </w:rPr>
        <w:t xml:space="preserve">    </w:t>
      </w:r>
    </w:p>
    <w:bookmarkEnd w:id="3"/>
    <w:sectPr>
      <w:headerReference r:id="rId3" w:type="default"/>
      <w:footerReference r:id="rId5" w:type="default"/>
      <w:head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2984120"/>
    </w:sdtPr>
    <w:sdtContent>
      <w:p w14:paraId="76914825">
        <w:pPr>
          <w:pStyle w:val="4"/>
          <w:jc w:val="center"/>
        </w:pPr>
        <w:r>
          <w:fldChar w:fldCharType="begin"/>
        </w:r>
        <w:r>
          <w:instrText xml:space="preserve">PAGE   \* MERGEFORMAT</w:instrText>
        </w:r>
        <w:r>
          <w:fldChar w:fldCharType="separate"/>
        </w:r>
        <w:r>
          <w:rPr>
            <w:lang w:val="zh-CN"/>
          </w:rPr>
          <w:t>3</w:t>
        </w:r>
        <w:r>
          <w:fldChar w:fldCharType="end"/>
        </w:r>
      </w:p>
    </w:sdtContent>
  </w:sdt>
  <w:p w14:paraId="4363D30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8CEDB">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5A5DF">
    <w:pPr>
      <w:pStyle w:val="5"/>
      <w:framePr w:wrap="around" w:vAnchor="text" w:hAnchor="margin" w:xAlign="right" w:y="1"/>
      <w:rPr>
        <w:rStyle w:val="9"/>
      </w:rPr>
    </w:pPr>
    <w:r>
      <w:fldChar w:fldCharType="begin"/>
    </w:r>
    <w:r>
      <w:rPr>
        <w:rStyle w:val="9"/>
      </w:rPr>
      <w:instrText xml:space="preserve">PAGE  </w:instrText>
    </w:r>
    <w:r>
      <w:fldChar w:fldCharType="separate"/>
    </w:r>
    <w:r>
      <w:rPr>
        <w:rStyle w:val="9"/>
      </w:rPr>
      <w:t>1</w:t>
    </w:r>
    <w:r>
      <w:fldChar w:fldCharType="end"/>
    </w:r>
  </w:p>
  <w:p w14:paraId="688EEDC5">
    <w:pPr>
      <w:pStyle w:val="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0002C"/>
    <w:multiLevelType w:val="multilevel"/>
    <w:tmpl w:val="74A0002C"/>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wZjIwZWI2YWMzYzQ2NTIwYzE2MmRjNTk1ODY2YWQifQ=="/>
  </w:docVars>
  <w:rsids>
    <w:rsidRoot w:val="00000000"/>
    <w:rsid w:val="4F645B70"/>
    <w:rsid w:val="712E3CA4"/>
    <w:rsid w:val="73A1102C"/>
    <w:rsid w:val="7FC86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
    <w:pPr>
      <w:keepNext/>
      <w:keepLines/>
      <w:spacing w:before="220" w:after="210"/>
      <w:ind w:firstLine="200" w:firstLineChars="200"/>
      <w:outlineLvl w:val="0"/>
    </w:pPr>
    <w:rPr>
      <w:rFonts w:ascii="Calibri" w:hAnsi="Calibri"/>
      <w:b/>
      <w:bCs/>
      <w:kern w:val="44"/>
      <w:sz w:val="2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标题 1 字符"/>
    <w:basedOn w:val="8"/>
    <w:link w:val="2"/>
    <w:qFormat/>
    <w:uiPriority w:val="9"/>
    <w:rPr>
      <w:rFonts w:ascii="Calibri" w:hAnsi="Calibri" w:eastAsia="宋体" w:cs="Times New Roman"/>
      <w:b/>
      <w:bCs/>
      <w:kern w:val="44"/>
      <w:sz w:val="24"/>
      <w:szCs w:val="44"/>
    </w:rPr>
  </w:style>
  <w:style w:type="character" w:customStyle="1" w:styleId="11">
    <w:name w:val="页脚 字符"/>
    <w:basedOn w:val="8"/>
    <w:link w:val="4"/>
    <w:qFormat/>
    <w:uiPriority w:val="99"/>
    <w:rPr>
      <w:rFonts w:ascii="Times New Roman" w:hAnsi="Times New Roman" w:eastAsia="宋体" w:cs="Times New Roman"/>
      <w:sz w:val="18"/>
      <w:szCs w:val="18"/>
    </w:rPr>
  </w:style>
  <w:style w:type="character" w:customStyle="1" w:styleId="12">
    <w:name w:val="页眉 字符"/>
    <w:basedOn w:val="8"/>
    <w:link w:val="5"/>
    <w:qFormat/>
    <w:uiPriority w:val="99"/>
    <w:rPr>
      <w:rFonts w:ascii="Times New Roman" w:hAnsi="Times New Roman" w:eastAsia="宋体" w:cs="Times New Roman"/>
      <w:sz w:val="18"/>
      <w:szCs w:val="18"/>
    </w:rPr>
  </w:style>
  <w:style w:type="paragraph" w:styleId="13">
    <w:name w:val="List Paragraph"/>
    <w:basedOn w:val="1"/>
    <w:unhideWhenUsed/>
    <w:qFormat/>
    <w:uiPriority w:val="99"/>
    <w:pPr>
      <w:ind w:firstLine="420" w:firstLineChars="200"/>
    </w:pPr>
  </w:style>
  <w:style w:type="table" w:customStyle="1" w:styleId="14">
    <w:name w:val="网格型1"/>
    <w:basedOn w:val="6"/>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批注框文本 字符"/>
    <w:basedOn w:val="8"/>
    <w:link w:val="3"/>
    <w:semiHidden/>
    <w:qFormat/>
    <w:uiPriority w:val="99"/>
    <w:rPr>
      <w:rFonts w:ascii="Times New Roman" w:hAnsi="Times New Roman" w:eastAsia="宋体" w:cs="Times New Roman"/>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7">
    <w:name w:val="Revision"/>
    <w:hidden/>
    <w:semiHidden/>
    <w:qFormat/>
    <w:uiPriority w:val="99"/>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