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48AFE">
      <w:pPr>
        <w:spacing w:line="520" w:lineRule="exact"/>
        <w:jc w:val="center"/>
        <w:rPr>
          <w:rFonts w:hint="default" w:ascii="黑体" w:hAnsi="黑体" w:eastAsia="黑体" w:cs="黑体"/>
          <w:color w:val="000000"/>
          <w:lang w:val="en-US" w:eastAsia="zh-CN"/>
        </w:rPr>
      </w:pPr>
      <w:r>
        <w:rPr>
          <w:rFonts w:hint="eastAsia" w:ascii="黑体" w:hAnsi="黑体" w:eastAsia="黑体" w:cs="黑体"/>
          <w:color w:val="000000"/>
        </w:rPr>
        <w:t>股票代码：600188               股票简称：兖矿能源               编号：临2026-</w:t>
      </w:r>
      <w:r>
        <w:rPr>
          <w:rFonts w:hint="eastAsia" w:ascii="黑体" w:hAnsi="黑体" w:eastAsia="黑体" w:cs="黑体"/>
          <w:color w:val="000000"/>
          <w:lang w:val="en-US" w:eastAsia="zh-CN"/>
        </w:rPr>
        <w:t>057</w:t>
      </w:r>
    </w:p>
    <w:p w14:paraId="039AA795">
      <w:pPr>
        <w:spacing w:line="520" w:lineRule="exact"/>
        <w:jc w:val="center"/>
        <w:rPr>
          <w:rFonts w:eastAsia="黑体"/>
          <w:b/>
          <w:bCs/>
          <w:color w:val="FF0000"/>
          <w:sz w:val="36"/>
          <w:szCs w:val="36"/>
        </w:rPr>
      </w:pPr>
    </w:p>
    <w:p w14:paraId="65CD7C07">
      <w:pPr>
        <w:spacing w:line="520" w:lineRule="exact"/>
        <w:jc w:val="center"/>
        <w:rPr>
          <w:rFonts w:hint="eastAsia" w:ascii="黑体" w:hAnsi="黑体" w:eastAsia="黑体" w:cs="黑体"/>
          <w:b/>
          <w:bCs/>
          <w:color w:val="FF0000"/>
          <w:sz w:val="36"/>
          <w:szCs w:val="36"/>
        </w:rPr>
      </w:pPr>
      <w:r>
        <w:rPr>
          <w:rFonts w:hint="eastAsia" w:ascii="黑体" w:hAnsi="黑体" w:eastAsia="黑体" w:cs="黑体"/>
          <w:b/>
          <w:bCs/>
          <w:color w:val="FF0000"/>
          <w:sz w:val="36"/>
          <w:szCs w:val="36"/>
        </w:rPr>
        <w:t>兖矿能源集团股份有限公司</w:t>
      </w:r>
    </w:p>
    <w:p w14:paraId="1A72EAEB">
      <w:pPr>
        <w:spacing w:line="520" w:lineRule="exact"/>
        <w:jc w:val="center"/>
        <w:rPr>
          <w:rFonts w:hint="eastAsia" w:ascii="黑体" w:eastAsia="黑体"/>
          <w:b/>
          <w:bCs/>
          <w:color w:val="FF0000"/>
          <w:sz w:val="36"/>
          <w:szCs w:val="36"/>
        </w:rPr>
      </w:pPr>
      <w:r>
        <w:rPr>
          <w:rFonts w:hint="eastAsia" w:ascii="黑体" w:hAnsi="黑体" w:eastAsia="黑体" w:cs="黑体"/>
          <w:b/>
          <w:bCs/>
          <w:color w:val="FF0000"/>
          <w:sz w:val="36"/>
          <w:szCs w:val="36"/>
        </w:rPr>
        <w:t>关于</w:t>
      </w:r>
      <w:r>
        <w:rPr>
          <w:rFonts w:hint="eastAsia" w:ascii="黑体" w:eastAsia="黑体"/>
          <w:b/>
          <w:bCs/>
          <w:color w:val="FF0000"/>
          <w:sz w:val="36"/>
          <w:szCs w:val="36"/>
        </w:rPr>
        <w:t>建议分拆</w:t>
      </w:r>
      <w:r>
        <w:rPr>
          <w:rFonts w:hint="eastAsia" w:ascii="黑体" w:eastAsia="黑体"/>
          <w:b/>
          <w:bCs/>
          <w:color w:val="FF0000"/>
          <w:sz w:val="36"/>
          <w:szCs w:val="36"/>
          <w:lang w:val="en-US" w:eastAsia="zh-CN"/>
        </w:rPr>
        <w:t>物泊科技</w:t>
      </w:r>
      <w:r>
        <w:rPr>
          <w:rFonts w:hint="eastAsia" w:ascii="黑体" w:eastAsia="黑体"/>
          <w:b/>
          <w:bCs/>
          <w:color w:val="FF0000"/>
          <w:sz w:val="36"/>
          <w:szCs w:val="36"/>
        </w:rPr>
        <w:t>于香港联合交易所有限公司主板上市的进展公告</w:t>
      </w:r>
    </w:p>
    <w:p w14:paraId="1AB0ED77">
      <w:pPr>
        <w:spacing w:after="156" w:afterLines="50" w:line="520" w:lineRule="exact"/>
        <w:jc w:val="center"/>
        <w:rPr>
          <w:b/>
          <w:bCs/>
          <w:color w:val="000000"/>
          <w:sz w:val="28"/>
        </w:rPr>
      </w:pPr>
      <w:r>
        <w:rPr>
          <w:b/>
          <w:bCs/>
          <w:color w:val="000000"/>
          <w:sz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150495</wp:posOffset>
                </wp:positionV>
                <wp:extent cx="5372100" cy="980440"/>
                <wp:effectExtent l="9525" t="12065" r="9525" b="762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980440"/>
                        </a:xfrm>
                        <a:prstGeom prst="rect">
                          <a:avLst/>
                        </a:prstGeom>
                        <a:solidFill>
                          <a:srgbClr val="FFFFFF"/>
                        </a:solidFill>
                        <a:ln w="9525" cmpd="sng">
                          <a:solidFill>
                            <a:srgbClr val="000000"/>
                          </a:solidFill>
                          <a:miter lim="800000"/>
                        </a:ln>
                      </wps:spPr>
                      <wps:txbx>
                        <w:txbxContent>
                          <w:p w14:paraId="627B4741">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1.85pt;height:77.2pt;width:423pt;z-index:251660288;mso-width-relative:page;mso-height-relative:page;" fillcolor="#FFFFFF" filled="t" stroked="t" coordsize="21600,21600" o:gfxdata="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0FiK/XAAAACQEAAA8AAAAAAAAAAQAg&#10;AAAAIgAAAGRycy9kb3ducmV2LnhtbFBLAQIUABQAAAAIAIdO4kBMjAAGSAIAAJIEAAAOAAAAAAAA&#10;AAEAIAAAACYBAABkcnMvZTJvRG9jLnhtbFBLBQYAAAAABgAGAFkBAADgBQAAAAA=&#10;">
                <v:fill on="t" focussize="0,0"/>
                <v:stroke color="#000000" miterlimit="8" joinstyle="miter"/>
                <v:imagedata o:title=""/>
                <o:lock v:ext="edit" aspectratio="f"/>
                <v:textbox>
                  <w:txbxContent>
                    <w:p w14:paraId="627B4741">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14:paraId="53D1D856">
      <w:pPr>
        <w:spacing w:after="156" w:afterLines="50" w:line="520" w:lineRule="exact"/>
        <w:jc w:val="center"/>
        <w:rPr>
          <w:b/>
          <w:bCs/>
          <w:color w:val="000000"/>
          <w:sz w:val="28"/>
        </w:rPr>
      </w:pPr>
    </w:p>
    <w:p w14:paraId="09356C42">
      <w:pPr>
        <w:spacing w:after="156" w:afterLines="50" w:line="520" w:lineRule="exact"/>
        <w:jc w:val="center"/>
        <w:rPr>
          <w:b/>
          <w:bCs/>
          <w:color w:val="000000"/>
          <w:sz w:val="28"/>
        </w:rPr>
      </w:pPr>
    </w:p>
    <w:p w14:paraId="73B67E9B"/>
    <w:p w14:paraId="1055C3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560" w:firstLineChars="200"/>
        <w:jc w:val="left"/>
        <w:rPr>
          <w:rFonts w:ascii="黑体" w:hAnsi="黑体" w:eastAsia="黑体" w:cs="黑体"/>
          <w:b w:val="0"/>
          <w:bCs w:val="0"/>
          <w:color w:val="000000"/>
          <w:sz w:val="28"/>
          <w:szCs w:val="28"/>
        </w:rPr>
      </w:pPr>
      <w:r>
        <w:rPr>
          <w:rFonts w:ascii="黑体" w:hAnsi="黑体" w:eastAsia="黑体" w:cs="黑体"/>
          <w:b w:val="0"/>
          <w:bCs w:val="0"/>
          <w:color w:val="000000"/>
          <w:sz w:val="28"/>
          <w:szCs w:val="28"/>
        </w:rPr>
        <w:t>一、建议分拆上市概况</w:t>
      </w:r>
    </w:p>
    <w:p w14:paraId="355D8C75">
      <w:pPr>
        <w:spacing w:line="520" w:lineRule="exact"/>
        <w:ind w:firstLine="560" w:firstLineChars="200"/>
        <w:rPr>
          <w:rFonts w:ascii="宋体" w:hAnsi="宋体" w:eastAsia="宋体" w:cs="宋体"/>
          <w:color w:val="000000"/>
          <w:kern w:val="0"/>
          <w:sz w:val="28"/>
          <w:szCs w:val="28"/>
          <w:lang w:val="en-US" w:eastAsia="zh-CN" w:bidi="ar"/>
        </w:rPr>
      </w:pPr>
      <w:r>
        <w:rPr>
          <w:rFonts w:ascii="宋体" w:hAnsi="宋体" w:eastAsia="宋体" w:cs="宋体"/>
          <w:color w:val="000000"/>
          <w:kern w:val="0"/>
          <w:sz w:val="28"/>
          <w:szCs w:val="28"/>
          <w:lang w:val="en-US" w:eastAsia="zh-CN" w:bidi="ar"/>
        </w:rPr>
        <w:t>2026年3月27日，兖矿能源集团股份有限公司（“公司”）第九届董事会第二十二次会议审议通过关于分拆所属子公司物泊科技股份有限公司（“物泊科技”）至香港联合交易所有限公司（“香港联交所”）主板上市（“建议分拆上市”）相关议案。2026年6月26日，</w:t>
      </w:r>
      <w:r>
        <w:rPr>
          <w:rFonts w:hint="eastAsia" w:ascii="宋体" w:hAnsi="宋体" w:eastAsia="宋体" w:cs="宋体"/>
          <w:color w:val="000000"/>
          <w:kern w:val="0"/>
          <w:sz w:val="28"/>
          <w:szCs w:val="28"/>
          <w:lang w:val="en-US" w:eastAsia="zh-CN" w:bidi="ar"/>
        </w:rPr>
        <w:t>上述</w:t>
      </w:r>
      <w:r>
        <w:rPr>
          <w:rFonts w:ascii="宋体" w:hAnsi="宋体" w:eastAsia="宋体" w:cs="宋体"/>
          <w:color w:val="000000"/>
          <w:kern w:val="0"/>
          <w:sz w:val="28"/>
          <w:szCs w:val="28"/>
          <w:lang w:val="en-US" w:eastAsia="zh-CN" w:bidi="ar"/>
        </w:rPr>
        <w:t>议案获公司2025年度股东会审议通过。</w:t>
      </w:r>
    </w:p>
    <w:p w14:paraId="70F91C9C">
      <w:pPr>
        <w:spacing w:line="520" w:lineRule="exact"/>
        <w:ind w:firstLine="560" w:firstLineChars="200"/>
        <w:rPr>
          <w:rFonts w:hint="eastAsia" w:ascii="楷体_GB2312" w:hAnsi="宋体" w:eastAsia="楷体_GB2312"/>
          <w:color w:val="000000"/>
          <w:sz w:val="28"/>
          <w:szCs w:val="28"/>
        </w:rPr>
      </w:pPr>
      <w:r>
        <w:rPr>
          <w:rFonts w:hint="eastAsia" w:ascii="楷体_GB2312" w:hAnsi="宋体" w:eastAsia="楷体_GB2312"/>
          <w:color w:val="000000"/>
          <w:sz w:val="28"/>
          <w:szCs w:val="28"/>
        </w:rPr>
        <w:t>有关详情请参见公司日期为</w:t>
      </w:r>
      <w:r>
        <w:rPr>
          <w:rFonts w:hint="eastAsia" w:ascii="楷体_GB2312" w:hAnsi="宋体" w:eastAsia="楷体_GB2312"/>
          <w:color w:val="000000"/>
          <w:sz w:val="28"/>
          <w:szCs w:val="28"/>
          <w:lang w:eastAsia="zh-CN"/>
        </w:rPr>
        <w:t>2026</w:t>
      </w:r>
      <w:r>
        <w:rPr>
          <w:rFonts w:hint="eastAsia" w:ascii="楷体_GB2312" w:hAnsi="宋体" w:eastAsia="楷体_GB2312"/>
          <w:color w:val="000000"/>
          <w:sz w:val="28"/>
          <w:szCs w:val="28"/>
        </w:rPr>
        <w:t>年</w:t>
      </w:r>
      <w:r>
        <w:rPr>
          <w:rFonts w:ascii="楷体_GB2312" w:hAnsi="宋体" w:eastAsia="楷体_GB2312"/>
          <w:color w:val="000000"/>
          <w:sz w:val="28"/>
          <w:szCs w:val="28"/>
        </w:rPr>
        <w:t>3</w:t>
      </w:r>
      <w:r>
        <w:rPr>
          <w:rFonts w:hint="eastAsia" w:ascii="楷体_GB2312" w:hAnsi="宋体" w:eastAsia="楷体_GB2312"/>
          <w:color w:val="000000"/>
          <w:sz w:val="28"/>
          <w:szCs w:val="28"/>
        </w:rPr>
        <w:t>月</w:t>
      </w:r>
      <w:r>
        <w:rPr>
          <w:rFonts w:hint="eastAsia" w:ascii="楷体_GB2312" w:hAnsi="宋体" w:eastAsia="楷体_GB2312"/>
          <w:color w:val="000000"/>
          <w:sz w:val="28"/>
          <w:szCs w:val="28"/>
          <w:lang w:val="en-US" w:eastAsia="zh-CN"/>
        </w:rPr>
        <w:t>27</w:t>
      </w:r>
      <w:r>
        <w:rPr>
          <w:rFonts w:hint="eastAsia" w:ascii="楷体_GB2312" w:hAnsi="宋体" w:eastAsia="楷体_GB2312"/>
          <w:color w:val="000000"/>
          <w:sz w:val="28"/>
          <w:szCs w:val="28"/>
        </w:rPr>
        <w:t>日的第九届董事会第二十二次会议决议公告</w:t>
      </w:r>
      <w:r>
        <w:rPr>
          <w:rFonts w:hint="eastAsia" w:ascii="楷体_GB2312" w:hAnsi="宋体" w:eastAsia="楷体_GB2312"/>
          <w:color w:val="000000"/>
          <w:sz w:val="28"/>
          <w:szCs w:val="28"/>
          <w:lang w:eastAsia="zh-CN"/>
        </w:rPr>
        <w:t>、关于分拆子公司上市的一般风险提示性公告，</w:t>
      </w:r>
      <w:r>
        <w:rPr>
          <w:rFonts w:hint="eastAsia" w:ascii="楷体_GB2312" w:hAnsi="宋体" w:eastAsia="楷体_GB2312"/>
          <w:color w:val="000000"/>
          <w:sz w:val="28"/>
          <w:szCs w:val="28"/>
          <w:lang w:val="en-US" w:eastAsia="zh-CN"/>
        </w:rPr>
        <w:t>2026年6月26日的2025年度股东会决议公告、相关内幕信息知情人买卖公司股票情况的自查报告。</w:t>
      </w:r>
      <w:r>
        <w:rPr>
          <w:rFonts w:hint="eastAsia" w:ascii="楷体_GB2312" w:hAnsi="宋体" w:eastAsia="楷体_GB2312"/>
          <w:color w:val="000000"/>
          <w:sz w:val="28"/>
          <w:szCs w:val="28"/>
        </w:rPr>
        <w:t>该等资料刊载于</w:t>
      </w:r>
      <w:r>
        <w:rPr>
          <w:rFonts w:hint="eastAsia" w:ascii="楷体_GB2312" w:hAnsi="宋体" w:eastAsia="楷体_GB2312"/>
          <w:color w:val="000000"/>
          <w:sz w:val="28"/>
          <w:szCs w:val="28"/>
          <w:lang w:val="en-US" w:eastAsia="zh-CN"/>
        </w:rPr>
        <w:t>上海证券交易所</w:t>
      </w:r>
      <w:r>
        <w:rPr>
          <w:rFonts w:hint="eastAsia" w:ascii="楷体_GB2312" w:hAnsi="宋体" w:eastAsia="楷体_GB2312"/>
          <w:color w:val="000000"/>
          <w:sz w:val="28"/>
          <w:szCs w:val="28"/>
        </w:rPr>
        <w:t>网站、香港联交所网站、公司网站及/或《中国证券报》《上海证券报》《证券时报》《证券日报》。</w:t>
      </w:r>
    </w:p>
    <w:p w14:paraId="6D4874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560" w:firstLineChars="200"/>
        <w:jc w:val="left"/>
        <w:rPr>
          <w:rFonts w:ascii="黑体" w:hAnsi="黑体" w:eastAsia="黑体" w:cs="黑体"/>
          <w:b w:val="0"/>
          <w:bCs w:val="0"/>
          <w:color w:val="000000"/>
          <w:sz w:val="28"/>
          <w:szCs w:val="28"/>
        </w:rPr>
      </w:pPr>
      <w:r>
        <w:rPr>
          <w:rFonts w:ascii="黑体" w:hAnsi="黑体" w:eastAsia="黑体" w:cs="黑体"/>
          <w:b w:val="0"/>
          <w:bCs w:val="0"/>
          <w:color w:val="000000"/>
          <w:sz w:val="28"/>
          <w:szCs w:val="28"/>
        </w:rPr>
        <w:t>二、建议分拆上市进展</w:t>
      </w:r>
    </w:p>
    <w:p w14:paraId="788BAC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560" w:firstLineChars="200"/>
        <w:jc w:val="left"/>
        <w:rPr>
          <w:color w:val="000000"/>
          <w:sz w:val="28"/>
          <w:szCs w:val="28"/>
        </w:rPr>
      </w:pPr>
      <w:r>
        <w:rPr>
          <w:rFonts w:ascii="宋体" w:hAnsi="宋体" w:eastAsia="宋体" w:cs="宋体"/>
          <w:color w:val="000000"/>
          <w:kern w:val="0"/>
          <w:sz w:val="28"/>
          <w:szCs w:val="28"/>
          <w:lang w:val="en-US" w:eastAsia="zh-CN" w:bidi="ar"/>
        </w:rPr>
        <w:t>公司已根据香港联交所《证券上市规则》第15项应用指引向香港联交所申请批准建议分拆上市，且香港联交所已确认公司可进行建议分拆上市。</w:t>
      </w:r>
    </w:p>
    <w:p w14:paraId="3FE52C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560" w:firstLineChars="200"/>
        <w:jc w:val="left"/>
        <w:rPr>
          <w:rFonts w:ascii="宋体" w:hAnsi="宋体" w:eastAsia="宋体" w:cs="宋体"/>
          <w:color w:val="000000"/>
          <w:kern w:val="0"/>
          <w:sz w:val="28"/>
          <w:szCs w:val="28"/>
          <w:lang w:val="en-US" w:eastAsia="zh-CN" w:bidi="ar"/>
        </w:rPr>
      </w:pPr>
      <w:r>
        <w:rPr>
          <w:rFonts w:ascii="宋体" w:hAnsi="宋体" w:eastAsia="宋体" w:cs="宋体"/>
          <w:color w:val="000000"/>
          <w:kern w:val="0"/>
          <w:sz w:val="28"/>
          <w:szCs w:val="28"/>
          <w:lang w:val="en-US" w:eastAsia="zh-CN" w:bidi="ar"/>
        </w:rPr>
        <w:t>2026年6月</w:t>
      </w:r>
      <w:r>
        <w:rPr>
          <w:rFonts w:hint="default" w:ascii="宋体" w:hAnsi="宋体" w:cs="宋体"/>
          <w:color w:val="000000"/>
          <w:kern w:val="0"/>
          <w:sz w:val="28"/>
          <w:szCs w:val="28"/>
          <w:lang w:val="en-US" w:eastAsia="zh-CN" w:bidi="ar"/>
        </w:rPr>
        <w:t>30</w:t>
      </w:r>
      <w:r>
        <w:rPr>
          <w:rFonts w:ascii="宋体" w:hAnsi="宋体" w:eastAsia="宋体" w:cs="宋体"/>
          <w:color w:val="000000"/>
          <w:kern w:val="0"/>
          <w:sz w:val="28"/>
          <w:szCs w:val="28"/>
          <w:lang w:val="en-US" w:eastAsia="zh-CN" w:bidi="ar"/>
        </w:rPr>
        <w:t>日，公司</w:t>
      </w:r>
      <w:r>
        <w:rPr>
          <w:rFonts w:hint="eastAsia" w:ascii="宋体" w:hAnsi="宋体" w:eastAsia="宋体" w:cs="宋体"/>
          <w:color w:val="000000"/>
          <w:kern w:val="0"/>
          <w:sz w:val="28"/>
          <w:szCs w:val="28"/>
          <w:lang w:val="en-US" w:eastAsia="zh-CN" w:bidi="ar"/>
        </w:rPr>
        <w:t>接到</w:t>
      </w:r>
      <w:r>
        <w:rPr>
          <w:rFonts w:ascii="宋体" w:hAnsi="宋体" w:eastAsia="宋体" w:cs="宋体"/>
          <w:color w:val="000000"/>
          <w:kern w:val="0"/>
          <w:sz w:val="28"/>
          <w:szCs w:val="28"/>
          <w:lang w:val="en-US" w:eastAsia="zh-CN" w:bidi="ar"/>
        </w:rPr>
        <w:t>通知，物泊科技已于当日通过其独家保荐人向香港联交所呈交</w:t>
      </w:r>
      <w:bookmarkStart w:id="0" w:name="_GoBack"/>
      <w:bookmarkEnd w:id="0"/>
      <w:r>
        <w:rPr>
          <w:rFonts w:ascii="宋体" w:hAnsi="宋体" w:eastAsia="宋体" w:cs="宋体"/>
          <w:color w:val="000000"/>
          <w:kern w:val="0"/>
          <w:sz w:val="28"/>
          <w:szCs w:val="28"/>
          <w:lang w:val="en-US" w:eastAsia="zh-CN" w:bidi="ar"/>
        </w:rPr>
        <w:t>上市申请，以申请其股份于香港联交所主板上市及买卖。</w:t>
      </w:r>
    </w:p>
    <w:p w14:paraId="6F2162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560" w:firstLineChars="200"/>
        <w:jc w:val="left"/>
        <w:rPr>
          <w:color w:val="000000"/>
          <w:sz w:val="28"/>
          <w:szCs w:val="28"/>
        </w:rPr>
      </w:pPr>
      <w:r>
        <w:rPr>
          <w:rFonts w:ascii="宋体" w:hAnsi="宋体" w:eastAsia="宋体" w:cs="宋体"/>
          <w:color w:val="000000"/>
          <w:kern w:val="0"/>
          <w:sz w:val="28"/>
          <w:szCs w:val="28"/>
          <w:lang w:val="en-US" w:eastAsia="zh-CN" w:bidi="ar"/>
        </w:rPr>
        <w:t>物泊科技上市文件的经编纂申请版本（“申请版本”）可于香港联交所网站（</w:t>
      </w:r>
      <w:r>
        <w:rPr>
          <w:rFonts w:ascii="宋体" w:hAnsi="宋体" w:eastAsia="宋体" w:cs="宋体"/>
          <w:color w:val="0066FF"/>
          <w:kern w:val="0"/>
          <w:sz w:val="28"/>
          <w:szCs w:val="28"/>
          <w:lang w:val="en-US" w:eastAsia="zh-CN" w:bidi="ar"/>
        </w:rPr>
        <w:fldChar w:fldCharType="begin"/>
      </w:r>
      <w:r>
        <w:rPr>
          <w:rFonts w:ascii="宋体" w:hAnsi="宋体" w:eastAsia="宋体" w:cs="宋体"/>
          <w:color w:val="0066FF"/>
          <w:kern w:val="0"/>
          <w:sz w:val="28"/>
          <w:szCs w:val="28"/>
          <w:lang w:val="en-US" w:eastAsia="zh-CN" w:bidi="ar"/>
        </w:rPr>
        <w:instrText xml:space="preserve"> HYPERLINK "https://link.wtturl.cn/?target=https://www1.hkexnews.hk/app/appindex.html&amp;scene=im&amp;aid=582478&amp;lang=zh" \o "autolink" \t "_blank" </w:instrText>
      </w:r>
      <w:r>
        <w:rPr>
          <w:rFonts w:ascii="宋体" w:hAnsi="宋体" w:eastAsia="宋体" w:cs="宋体"/>
          <w:color w:val="0066FF"/>
          <w:kern w:val="0"/>
          <w:sz w:val="28"/>
          <w:szCs w:val="28"/>
          <w:lang w:val="en-US" w:eastAsia="zh-CN" w:bidi="ar"/>
        </w:rPr>
        <w:fldChar w:fldCharType="separate"/>
      </w:r>
      <w:r>
        <w:rPr>
          <w:rStyle w:val="12"/>
          <w:rFonts w:ascii="宋体" w:hAnsi="宋体" w:eastAsia="宋体" w:cs="宋体"/>
          <w:color w:val="0066FF"/>
          <w:sz w:val="28"/>
          <w:szCs w:val="28"/>
        </w:rPr>
        <w:t>https://www1.hkexnews.hk/app/appindex.html</w:t>
      </w:r>
      <w:r>
        <w:rPr>
          <w:rFonts w:ascii="宋体" w:hAnsi="宋体" w:eastAsia="宋体" w:cs="宋体"/>
          <w:color w:val="0066FF"/>
          <w:kern w:val="0"/>
          <w:sz w:val="28"/>
          <w:szCs w:val="28"/>
          <w:lang w:val="en-US" w:eastAsia="zh-CN" w:bidi="ar"/>
        </w:rPr>
        <w:fldChar w:fldCharType="end"/>
      </w:r>
      <w:r>
        <w:rPr>
          <w:rFonts w:ascii="宋体" w:hAnsi="宋体" w:eastAsia="宋体" w:cs="宋体"/>
          <w:color w:val="000000"/>
          <w:kern w:val="0"/>
          <w:sz w:val="28"/>
          <w:szCs w:val="28"/>
          <w:lang w:val="en-US" w:eastAsia="zh-CN" w:bidi="ar"/>
        </w:rPr>
        <w:t>）查阅及下载。申请版本载有（其中包括）有关物泊科技的若干业务及财务资料。公司股东及潜在投资者务请注意，申请版本为草拟版本，当中所载资料</w:t>
      </w:r>
      <w:r>
        <w:rPr>
          <w:rFonts w:hint="eastAsia" w:ascii="宋体" w:hAnsi="宋体" w:eastAsia="宋体" w:cs="宋体"/>
          <w:color w:val="000000"/>
          <w:kern w:val="0"/>
          <w:sz w:val="28"/>
          <w:szCs w:val="28"/>
          <w:lang w:val="en-US" w:eastAsia="zh-CN" w:bidi="ar"/>
        </w:rPr>
        <w:t>或有</w:t>
      </w:r>
      <w:r>
        <w:rPr>
          <w:rFonts w:ascii="宋体" w:hAnsi="宋体" w:eastAsia="宋体" w:cs="宋体"/>
          <w:color w:val="000000"/>
          <w:kern w:val="0"/>
          <w:sz w:val="28"/>
          <w:szCs w:val="28"/>
          <w:lang w:val="en-US" w:eastAsia="zh-CN" w:bidi="ar"/>
        </w:rPr>
        <w:t>重大</w:t>
      </w:r>
      <w:r>
        <w:rPr>
          <w:rFonts w:hint="eastAsia" w:ascii="宋体" w:hAnsi="宋体" w:eastAsia="宋体" w:cs="宋体"/>
          <w:color w:val="000000"/>
          <w:kern w:val="0"/>
          <w:sz w:val="28"/>
          <w:szCs w:val="28"/>
          <w:lang w:val="en-US" w:eastAsia="zh-CN" w:bidi="ar"/>
        </w:rPr>
        <w:t>变动</w:t>
      </w:r>
      <w:r>
        <w:rPr>
          <w:rFonts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公司不就申请版本的内容承担任何义务或责任。</w:t>
      </w:r>
    </w:p>
    <w:p w14:paraId="3130FD26">
      <w:pPr>
        <w:keepNext w:val="0"/>
        <w:keepLines w:val="0"/>
        <w:widowControl/>
        <w:suppressLineNumbers w:val="0"/>
        <w:pBdr>
          <w:top w:val="none" w:color="auto" w:sz="0" w:space="0"/>
          <w:left w:val="none" w:color="auto" w:sz="0" w:space="0"/>
          <w:bottom w:val="none" w:color="auto" w:sz="0" w:space="0"/>
          <w:right w:val="none" w:color="auto" w:sz="0" w:space="0"/>
        </w:pBdr>
        <w:spacing w:line="520" w:lineRule="exact"/>
        <w:ind w:firstLine="560" w:firstLineChars="200"/>
        <w:jc w:val="left"/>
        <w:rPr>
          <w:rFonts w:ascii="宋体" w:hAnsi="宋体" w:eastAsia="宋体" w:cs="宋体"/>
          <w:color w:val="000000"/>
          <w:kern w:val="0"/>
          <w:sz w:val="28"/>
          <w:szCs w:val="28"/>
          <w:lang w:bidi="ar"/>
        </w:rPr>
      </w:pPr>
      <w:r>
        <w:rPr>
          <w:rFonts w:ascii="宋体" w:hAnsi="宋体" w:eastAsia="宋体" w:cs="宋体"/>
          <w:color w:val="000000"/>
          <w:kern w:val="0"/>
          <w:sz w:val="28"/>
          <w:szCs w:val="28"/>
          <w:lang w:val="en-US" w:eastAsia="zh-CN" w:bidi="ar"/>
        </w:rPr>
        <w:t>截至本公告日期，物泊科技为公司的</w:t>
      </w:r>
      <w:r>
        <w:rPr>
          <w:rFonts w:hint="eastAsia" w:ascii="宋体" w:hAnsi="宋体" w:eastAsia="宋体" w:cs="宋体"/>
          <w:color w:val="000000"/>
          <w:kern w:val="0"/>
          <w:sz w:val="28"/>
          <w:szCs w:val="28"/>
          <w:lang w:val="en-US" w:eastAsia="zh-CN" w:bidi="ar"/>
        </w:rPr>
        <w:t>控股子</w:t>
      </w:r>
      <w:r>
        <w:rPr>
          <w:rFonts w:ascii="宋体" w:hAnsi="宋体" w:eastAsia="宋体" w:cs="宋体"/>
          <w:color w:val="000000"/>
          <w:kern w:val="0"/>
          <w:sz w:val="28"/>
          <w:szCs w:val="28"/>
          <w:lang w:val="en-US" w:eastAsia="zh-CN" w:bidi="ar"/>
        </w:rPr>
        <w:t>公司</w:t>
      </w:r>
      <w:r>
        <w:rPr>
          <w:rFonts w:hint="eastAsia" w:ascii="宋体" w:hAnsi="宋体" w:eastAsia="宋体" w:cs="宋体"/>
          <w:color w:val="000000"/>
          <w:kern w:val="0"/>
          <w:sz w:val="28"/>
          <w:szCs w:val="28"/>
          <w:lang w:val="en-US" w:eastAsia="zh-CN" w:bidi="ar"/>
        </w:rPr>
        <w:t>，</w:t>
      </w:r>
      <w:r>
        <w:rPr>
          <w:rFonts w:ascii="宋体" w:hAnsi="宋体" w:eastAsia="宋体" w:cs="宋体"/>
          <w:color w:val="000000"/>
          <w:kern w:val="0"/>
          <w:sz w:val="28"/>
          <w:szCs w:val="28"/>
          <w:lang w:val="en-US" w:eastAsia="zh-CN" w:bidi="ar"/>
        </w:rPr>
        <w:t>公司直接持有物泊科技45%</w:t>
      </w:r>
      <w:r>
        <w:rPr>
          <w:rFonts w:hint="default" w:ascii="宋体" w:hAnsi="宋体" w:eastAsia="宋体" w:cs="宋体"/>
          <w:color w:val="000000"/>
          <w:kern w:val="0"/>
          <w:sz w:val="28"/>
          <w:szCs w:val="28"/>
          <w:lang w:val="en-US" w:eastAsia="zh-CN" w:bidi="ar"/>
        </w:rPr>
        <w:t>的股份，并通过表决权委托，实际享有48.01%的表决权。</w:t>
      </w:r>
    </w:p>
    <w:p w14:paraId="0A94106C">
      <w:pPr>
        <w:keepNext w:val="0"/>
        <w:keepLines w:val="0"/>
        <w:widowControl/>
        <w:suppressLineNumbers w:val="0"/>
        <w:pBdr>
          <w:top w:val="none" w:color="auto" w:sz="0" w:space="0"/>
          <w:left w:val="none" w:color="auto" w:sz="0" w:space="0"/>
          <w:bottom w:val="none" w:color="auto" w:sz="0" w:space="0"/>
          <w:right w:val="none" w:color="auto" w:sz="0" w:space="0"/>
        </w:pBdr>
        <w:spacing w:line="520" w:lineRule="exact"/>
        <w:ind w:firstLine="0" w:firstLineChars="0"/>
        <w:jc w:val="left"/>
        <w:rPr>
          <w:rFonts w:ascii="宋体" w:hAnsi="宋体" w:eastAsia="宋体" w:cs="宋体"/>
          <w:color w:val="000000"/>
          <w:kern w:val="0"/>
          <w:sz w:val="28"/>
          <w:szCs w:val="28"/>
          <w:lang w:bidi="ar"/>
        </w:rPr>
      </w:pPr>
      <w:r>
        <w:rPr>
          <w:rFonts w:hint="default" w:ascii="宋体" w:hAnsi="宋体" w:eastAsia="宋体" w:cs="宋体"/>
          <w:color w:val="000000"/>
          <w:kern w:val="0"/>
          <w:sz w:val="28"/>
          <w:szCs w:val="28"/>
          <w:lang w:val="en-US" w:eastAsia="zh-CN" w:bidi="ar"/>
        </w:rPr>
        <w:t>建议分拆完成后，物泊科技</w:t>
      </w:r>
      <w:r>
        <w:rPr>
          <w:rFonts w:hint="eastAsia" w:ascii="宋体" w:hAnsi="宋体" w:eastAsia="宋体" w:cs="宋体"/>
          <w:color w:val="000000"/>
          <w:kern w:val="0"/>
          <w:sz w:val="28"/>
          <w:szCs w:val="28"/>
          <w:lang w:val="en-US" w:eastAsia="zh-CN" w:bidi="ar"/>
        </w:rPr>
        <w:t>将</w:t>
      </w:r>
      <w:r>
        <w:rPr>
          <w:rFonts w:hint="default" w:ascii="宋体" w:hAnsi="宋体" w:eastAsia="宋体" w:cs="宋体"/>
          <w:color w:val="000000"/>
          <w:kern w:val="0"/>
          <w:sz w:val="28"/>
          <w:szCs w:val="28"/>
          <w:lang w:val="en-US" w:eastAsia="zh-CN" w:bidi="ar"/>
        </w:rPr>
        <w:t>仍为公司</w:t>
      </w:r>
      <w:r>
        <w:rPr>
          <w:rFonts w:hint="eastAsia" w:ascii="宋体" w:hAnsi="宋体" w:eastAsia="宋体" w:cs="宋体"/>
          <w:color w:val="000000"/>
          <w:kern w:val="0"/>
          <w:sz w:val="28"/>
          <w:szCs w:val="28"/>
          <w:lang w:val="en-US" w:eastAsia="zh-CN" w:bidi="ar"/>
        </w:rPr>
        <w:t>控股子公司。</w:t>
      </w:r>
    </w:p>
    <w:p w14:paraId="6A4D9A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560" w:firstLineChars="200"/>
        <w:jc w:val="left"/>
        <w:rPr>
          <w:rFonts w:ascii="黑体" w:hAnsi="黑体" w:eastAsia="黑体" w:cs="黑体"/>
          <w:b w:val="0"/>
          <w:bCs w:val="0"/>
          <w:color w:val="000000"/>
          <w:sz w:val="28"/>
          <w:szCs w:val="28"/>
        </w:rPr>
      </w:pPr>
      <w:r>
        <w:rPr>
          <w:rFonts w:ascii="黑体" w:hAnsi="黑体" w:eastAsia="黑体" w:cs="黑体"/>
          <w:b w:val="0"/>
          <w:bCs w:val="0"/>
          <w:color w:val="000000"/>
          <w:sz w:val="28"/>
          <w:szCs w:val="28"/>
        </w:rPr>
        <w:t>三、其他说明</w:t>
      </w:r>
    </w:p>
    <w:p w14:paraId="2672EDEA">
      <w:pPr>
        <w:keepNext w:val="0"/>
        <w:keepLines w:val="0"/>
        <w:widowControl/>
        <w:suppressLineNumbers w:val="0"/>
        <w:pBdr>
          <w:top w:val="none" w:color="auto" w:sz="0" w:space="0"/>
          <w:left w:val="none" w:color="auto" w:sz="0" w:space="0"/>
          <w:right w:val="none" w:color="auto" w:sz="0" w:space="0"/>
        </w:pBdr>
        <w:spacing w:before="0" w:beforeAutospacing="0" w:after="0" w:afterAutospacing="0" w:line="520" w:lineRule="exact"/>
        <w:ind w:left="0" w:right="0" w:firstLine="562" w:firstLineChars="200"/>
        <w:jc w:val="both"/>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（一）H股股东保证配额安排</w:t>
      </w:r>
    </w:p>
    <w:p w14:paraId="733FD7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560" w:firstLineChars="200"/>
        <w:jc w:val="both"/>
        <w:rPr>
          <w:rFonts w:hint="eastAsia" w:ascii="宋体" w:hAnsi="宋体" w:eastAsia="宋体" w:cs="宋体"/>
          <w:color w:val="000000"/>
          <w:sz w:val="28"/>
          <w:szCs w:val="28"/>
        </w:rPr>
      </w:pPr>
      <w:r>
        <w:rPr>
          <w:rFonts w:hint="eastAsia" w:ascii="宋体" w:hAnsi="宋体" w:eastAsia="宋体" w:cs="宋体"/>
          <w:color w:val="000000"/>
          <w:kern w:val="2"/>
          <w:sz w:val="28"/>
          <w:szCs w:val="28"/>
          <w:lang w:val="en-US" w:eastAsia="zh-CN" w:bidi="ar"/>
        </w:rPr>
        <w:t>根据香港联交所第15项应用指引保护母公司股东权益相关要求，公司需为现有股东提供新股优先认购保证配额。受境内外汇管理、沪港通不支持新股认购等政策限制，现阶段无法向公司A股股东开放保证配额认购通道。经2025年度股东会特别决议批准，</w:t>
      </w:r>
      <w:r>
        <w:rPr>
          <w:rFonts w:ascii="宋体" w:hAnsi="宋体" w:eastAsia="宋体" w:cs="宋体"/>
          <w:color w:val="000000"/>
          <w:kern w:val="0"/>
          <w:sz w:val="28"/>
          <w:szCs w:val="28"/>
          <w:lang w:val="en-US" w:eastAsia="zh-CN" w:bidi="ar"/>
        </w:rPr>
        <w:t>建议分拆上市</w:t>
      </w:r>
      <w:r>
        <w:rPr>
          <w:rFonts w:hint="eastAsia" w:ascii="宋体" w:hAnsi="宋体" w:eastAsia="宋体" w:cs="宋体"/>
          <w:color w:val="000000"/>
          <w:kern w:val="2"/>
          <w:sz w:val="28"/>
          <w:szCs w:val="28"/>
          <w:lang w:val="en-US" w:eastAsia="zh-CN" w:bidi="ar"/>
        </w:rPr>
        <w:t>仅向公司现有H股股东设置优先发售保证配额，相关认购条款、登记安排后续将另行发布专项公告，全体合资格股东将获得公平对待。</w:t>
      </w:r>
    </w:p>
    <w:p w14:paraId="3582D9F7">
      <w:pPr>
        <w:keepNext w:val="0"/>
        <w:keepLines w:val="0"/>
        <w:widowControl/>
        <w:suppressLineNumbers w:val="0"/>
        <w:pBdr>
          <w:top w:val="none" w:color="auto" w:sz="0" w:space="0"/>
          <w:left w:val="none" w:color="auto" w:sz="0" w:space="0"/>
          <w:right w:val="none" w:color="auto" w:sz="0" w:space="0"/>
        </w:pBdr>
        <w:spacing w:before="0" w:beforeAutospacing="0" w:after="0" w:afterAutospacing="0" w:line="520" w:lineRule="exact"/>
        <w:ind w:left="0" w:right="0" w:firstLine="562" w:firstLineChars="200"/>
        <w:jc w:val="left"/>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（二）股价稳定机制说明</w:t>
      </w:r>
    </w:p>
    <w:p w14:paraId="6770AB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560" w:firstLineChars="200"/>
        <w:jc w:val="left"/>
        <w:rPr>
          <w:rFonts w:hint="eastAsia" w:ascii="宋体" w:hAnsi="宋体" w:eastAsia="宋体" w:cs="宋体"/>
          <w:color w:val="000000"/>
          <w:sz w:val="28"/>
          <w:szCs w:val="28"/>
        </w:rPr>
      </w:pPr>
      <w:r>
        <w:rPr>
          <w:rFonts w:hint="eastAsia" w:ascii="宋体" w:hAnsi="宋体" w:eastAsia="宋体" w:cs="宋体"/>
          <w:color w:val="000000"/>
          <w:kern w:val="2"/>
          <w:sz w:val="28"/>
          <w:szCs w:val="28"/>
          <w:lang w:val="en-US" w:eastAsia="zh-CN" w:bidi="ar"/>
        </w:rPr>
        <w:t>若本次全球发售顺利实施，物泊科技H股发行价格将可依据香港法例第571W章《证券及期货（稳定价格）规则》开展稳定价格操作，稳定价格措施、监管约束条款将完整刊载于物泊科技正式招股章程。</w:t>
      </w:r>
    </w:p>
    <w:p w14:paraId="5D4113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562" w:firstLineChars="200"/>
        <w:jc w:val="left"/>
        <w:rPr>
          <w:rFonts w:hint="default" w:ascii="宋体" w:hAnsi="宋体" w:eastAsia="宋体" w:cs="宋体"/>
          <w:b/>
          <w:bCs/>
          <w:color w:val="000000"/>
          <w:kern w:val="2"/>
          <w:sz w:val="28"/>
          <w:szCs w:val="28"/>
          <w:lang w:val="en-US" w:eastAsia="zh-CN" w:bidi="ar"/>
        </w:rPr>
      </w:pPr>
      <w:r>
        <w:rPr>
          <w:rFonts w:hint="eastAsia" w:ascii="宋体" w:hAnsi="宋体" w:eastAsia="宋体" w:cs="宋体"/>
          <w:b/>
          <w:bCs/>
          <w:color w:val="000000"/>
          <w:kern w:val="2"/>
          <w:sz w:val="28"/>
          <w:szCs w:val="28"/>
          <w:lang w:val="en-US" w:eastAsia="zh-CN" w:bidi="ar"/>
        </w:rPr>
        <w:t>（三）风险提示</w:t>
      </w:r>
    </w:p>
    <w:p w14:paraId="551BC7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560" w:firstLineChars="200"/>
        <w:jc w:val="left"/>
        <w:rPr>
          <w:color w:val="000000"/>
          <w:sz w:val="28"/>
          <w:szCs w:val="28"/>
        </w:rPr>
      </w:pPr>
      <w:r>
        <w:rPr>
          <w:rFonts w:ascii="宋体" w:hAnsi="宋体" w:eastAsia="宋体" w:cs="宋体"/>
          <w:color w:val="000000"/>
          <w:kern w:val="0"/>
          <w:sz w:val="28"/>
          <w:szCs w:val="28"/>
          <w:lang w:val="en-US" w:eastAsia="zh-CN" w:bidi="ar"/>
        </w:rPr>
        <w:t>截至本公告日期</w:t>
      </w:r>
      <w:r>
        <w:rPr>
          <w:rFonts w:hint="eastAsia" w:ascii="宋体" w:hAnsi="宋体" w:eastAsia="宋体" w:cs="宋体"/>
          <w:color w:val="000000"/>
          <w:kern w:val="0"/>
          <w:sz w:val="28"/>
          <w:szCs w:val="28"/>
          <w:lang w:val="en-US" w:eastAsia="zh-CN" w:bidi="ar"/>
        </w:rPr>
        <w:t>，</w:t>
      </w:r>
      <w:r>
        <w:rPr>
          <w:rFonts w:ascii="宋体" w:hAnsi="宋体" w:eastAsia="宋体" w:cs="宋体"/>
          <w:color w:val="000000"/>
          <w:kern w:val="0"/>
          <w:sz w:val="28"/>
          <w:szCs w:val="28"/>
          <w:lang w:val="en-US" w:eastAsia="zh-CN" w:bidi="ar"/>
        </w:rPr>
        <w:t>建议分拆上市</w:t>
      </w:r>
      <w:r>
        <w:rPr>
          <w:rFonts w:hint="eastAsia" w:ascii="宋体" w:hAnsi="宋体" w:eastAsia="宋体" w:cs="宋体"/>
          <w:color w:val="000000"/>
          <w:kern w:val="0"/>
          <w:sz w:val="28"/>
          <w:szCs w:val="28"/>
          <w:lang w:val="en-US" w:eastAsia="zh-CN" w:bidi="ar"/>
        </w:rPr>
        <w:t>尚需</w:t>
      </w:r>
      <w:r>
        <w:rPr>
          <w:rFonts w:ascii="宋体" w:hAnsi="宋体" w:eastAsia="宋体" w:cs="宋体"/>
          <w:color w:val="000000"/>
          <w:kern w:val="0"/>
          <w:sz w:val="28"/>
          <w:szCs w:val="28"/>
          <w:lang w:val="en-US" w:eastAsia="zh-CN" w:bidi="ar"/>
        </w:rPr>
        <w:t>中国证券监督管理委员会、香港联交所及其他相关监管机构备案或批准。因此，公司股东及潜在投资者于买卖本公司之证券时务须审慎行事。公司将根据有关法律法规要求，并结合建议分拆上市进展，及时履行信息披露义务。</w:t>
      </w:r>
    </w:p>
    <w:p w14:paraId="42634A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560" w:firstLineChars="200"/>
        <w:jc w:val="left"/>
        <w:rPr>
          <w:color w:val="000000"/>
          <w:sz w:val="28"/>
          <w:szCs w:val="28"/>
        </w:rPr>
      </w:pPr>
      <w:r>
        <w:rPr>
          <w:rFonts w:ascii="宋体" w:hAnsi="宋体" w:eastAsia="宋体" w:cs="宋体"/>
          <w:color w:val="000000"/>
          <w:kern w:val="0"/>
          <w:sz w:val="28"/>
          <w:szCs w:val="28"/>
          <w:lang w:val="en-US" w:eastAsia="zh-CN" w:bidi="ar"/>
        </w:rPr>
        <w:t>特此公告。</w:t>
      </w:r>
    </w:p>
    <w:p w14:paraId="47D8D1A7">
      <w:pPr>
        <w:spacing w:line="520" w:lineRule="exact"/>
        <w:ind w:firstLine="3920" w:firstLineChars="1400"/>
        <w:rPr>
          <w:rFonts w:hint="eastAsia" w:ascii="宋体" w:hAnsi="宋体"/>
          <w:sz w:val="28"/>
          <w:szCs w:val="28"/>
        </w:rPr>
      </w:pPr>
    </w:p>
    <w:p w14:paraId="3D3298D8">
      <w:pPr>
        <w:spacing w:line="520" w:lineRule="exact"/>
        <w:ind w:firstLine="3920" w:firstLineChars="1400"/>
        <w:rPr>
          <w:rFonts w:hint="eastAsia" w:ascii="宋体" w:hAnsi="宋体"/>
          <w:sz w:val="28"/>
          <w:szCs w:val="28"/>
        </w:rPr>
      </w:pPr>
    </w:p>
    <w:p w14:paraId="6EA322A1">
      <w:pPr>
        <w:spacing w:line="520" w:lineRule="exact"/>
        <w:ind w:firstLine="3920" w:firstLineChars="1400"/>
        <w:rPr>
          <w:rFonts w:ascii="宋体" w:hAnsi="宋体"/>
          <w:sz w:val="28"/>
          <w:szCs w:val="28"/>
        </w:rPr>
      </w:pPr>
      <w:r>
        <w:rPr>
          <w:rFonts w:hint="eastAsia" w:ascii="宋体" w:hAnsi="宋体"/>
          <w:sz w:val="28"/>
          <w:szCs w:val="28"/>
        </w:rPr>
        <w:t>兖矿能源集团</w:t>
      </w:r>
      <w:r>
        <w:rPr>
          <w:rFonts w:ascii="宋体" w:hAnsi="宋体"/>
          <w:sz w:val="28"/>
          <w:szCs w:val="28"/>
        </w:rPr>
        <w:t>股份有限公司</w:t>
      </w:r>
      <w:r>
        <w:rPr>
          <w:rFonts w:hint="eastAsia" w:ascii="宋体" w:hAnsi="宋体"/>
          <w:sz w:val="28"/>
          <w:szCs w:val="28"/>
        </w:rPr>
        <w:t>董事会</w:t>
      </w:r>
    </w:p>
    <w:p w14:paraId="125CE9E1">
      <w:pPr>
        <w:spacing w:line="520" w:lineRule="exact"/>
        <w:ind w:firstLine="5040" w:firstLineChars="1800"/>
        <w:rPr>
          <w:rFonts w:hint="eastAsia" w:ascii="宋体" w:hAnsi="宋体"/>
          <w:sz w:val="28"/>
          <w:szCs w:val="28"/>
        </w:rPr>
      </w:pPr>
      <w:r>
        <w:rPr>
          <w:rFonts w:hint="eastAsia" w:ascii="宋体" w:hAnsi="宋体"/>
          <w:sz w:val="28"/>
          <w:szCs w:val="28"/>
        </w:rPr>
        <w:t>20</w:t>
      </w:r>
      <w:r>
        <w:rPr>
          <w:rFonts w:ascii="宋体" w:hAnsi="宋体"/>
          <w:sz w:val="28"/>
          <w:szCs w:val="28"/>
        </w:rPr>
        <w:t>2</w:t>
      </w:r>
      <w:r>
        <w:rPr>
          <w:rFonts w:hint="eastAsia" w:ascii="宋体" w:hAnsi="宋体"/>
          <w:sz w:val="28"/>
          <w:szCs w:val="28"/>
        </w:rPr>
        <w:t>6</w:t>
      </w:r>
      <w:r>
        <w:rPr>
          <w:rFonts w:ascii="宋体" w:hAnsi="宋体"/>
          <w:sz w:val="28"/>
          <w:szCs w:val="28"/>
        </w:rPr>
        <w:t>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30</w:t>
      </w:r>
      <w:r>
        <w:rPr>
          <w:rFonts w:hint="eastAsia" w:ascii="宋体" w:hAnsi="宋体"/>
          <w:sz w:val="28"/>
          <w:szCs w:val="28"/>
        </w:rPr>
        <w:t>日</w:t>
      </w:r>
    </w:p>
    <w:p w14:paraId="07D179C5">
      <w:pPr>
        <w:rPr>
          <w:rFonts w:eastAsia="黑体"/>
          <w:sz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1877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E50A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4E50A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s>
  <w:rsids>
    <w:rsidRoot w:val="001E036F"/>
    <w:rsid w:val="0003087B"/>
    <w:rsid w:val="000514C6"/>
    <w:rsid w:val="00055F98"/>
    <w:rsid w:val="0006268C"/>
    <w:rsid w:val="00074DA5"/>
    <w:rsid w:val="00093BE1"/>
    <w:rsid w:val="000C6543"/>
    <w:rsid w:val="000D69D5"/>
    <w:rsid w:val="001161D0"/>
    <w:rsid w:val="001819A8"/>
    <w:rsid w:val="001834C0"/>
    <w:rsid w:val="001A61C7"/>
    <w:rsid w:val="001D6D39"/>
    <w:rsid w:val="001E036F"/>
    <w:rsid w:val="001F1FBA"/>
    <w:rsid w:val="002312B4"/>
    <w:rsid w:val="002441E0"/>
    <w:rsid w:val="00265083"/>
    <w:rsid w:val="00284E6E"/>
    <w:rsid w:val="002C6E6C"/>
    <w:rsid w:val="002D4A32"/>
    <w:rsid w:val="002E132F"/>
    <w:rsid w:val="00324FDD"/>
    <w:rsid w:val="00332489"/>
    <w:rsid w:val="00373FE1"/>
    <w:rsid w:val="003C433B"/>
    <w:rsid w:val="003E4B20"/>
    <w:rsid w:val="004D5A37"/>
    <w:rsid w:val="00506C19"/>
    <w:rsid w:val="005256D3"/>
    <w:rsid w:val="00533B69"/>
    <w:rsid w:val="00551537"/>
    <w:rsid w:val="00552BB4"/>
    <w:rsid w:val="00563F81"/>
    <w:rsid w:val="0057051D"/>
    <w:rsid w:val="005B2C8E"/>
    <w:rsid w:val="005D4124"/>
    <w:rsid w:val="00601FD9"/>
    <w:rsid w:val="00631A87"/>
    <w:rsid w:val="006A06AD"/>
    <w:rsid w:val="006A3CA4"/>
    <w:rsid w:val="006C48F5"/>
    <w:rsid w:val="00714E5D"/>
    <w:rsid w:val="00743B6C"/>
    <w:rsid w:val="007939F8"/>
    <w:rsid w:val="007A7F75"/>
    <w:rsid w:val="007B0D14"/>
    <w:rsid w:val="007C1699"/>
    <w:rsid w:val="007E44FB"/>
    <w:rsid w:val="007F3D5D"/>
    <w:rsid w:val="00816373"/>
    <w:rsid w:val="00820B7F"/>
    <w:rsid w:val="008264DE"/>
    <w:rsid w:val="00837465"/>
    <w:rsid w:val="00865676"/>
    <w:rsid w:val="00867DAC"/>
    <w:rsid w:val="00872C38"/>
    <w:rsid w:val="00897B7C"/>
    <w:rsid w:val="008A4A64"/>
    <w:rsid w:val="008B68E2"/>
    <w:rsid w:val="00971485"/>
    <w:rsid w:val="00974B86"/>
    <w:rsid w:val="009B252C"/>
    <w:rsid w:val="009C5475"/>
    <w:rsid w:val="009C5ADB"/>
    <w:rsid w:val="009D63F3"/>
    <w:rsid w:val="009F430C"/>
    <w:rsid w:val="00A941CA"/>
    <w:rsid w:val="00A96108"/>
    <w:rsid w:val="00AD1795"/>
    <w:rsid w:val="00AD2A15"/>
    <w:rsid w:val="00AD64F8"/>
    <w:rsid w:val="00B00417"/>
    <w:rsid w:val="00B10C09"/>
    <w:rsid w:val="00B10D0D"/>
    <w:rsid w:val="00B44EAD"/>
    <w:rsid w:val="00B709B3"/>
    <w:rsid w:val="00BA698F"/>
    <w:rsid w:val="00BA7D42"/>
    <w:rsid w:val="00BD09B9"/>
    <w:rsid w:val="00BE3B1E"/>
    <w:rsid w:val="00C0308B"/>
    <w:rsid w:val="00C16768"/>
    <w:rsid w:val="00C329C1"/>
    <w:rsid w:val="00C370D3"/>
    <w:rsid w:val="00C64DA8"/>
    <w:rsid w:val="00C7088D"/>
    <w:rsid w:val="00C831F6"/>
    <w:rsid w:val="00CA604C"/>
    <w:rsid w:val="00CE7439"/>
    <w:rsid w:val="00D05FEA"/>
    <w:rsid w:val="00D2133B"/>
    <w:rsid w:val="00D437E9"/>
    <w:rsid w:val="00D70DB5"/>
    <w:rsid w:val="00D75D01"/>
    <w:rsid w:val="00DB7E0F"/>
    <w:rsid w:val="00DE7166"/>
    <w:rsid w:val="00E27C94"/>
    <w:rsid w:val="00E8483F"/>
    <w:rsid w:val="00E86679"/>
    <w:rsid w:val="00EB4D15"/>
    <w:rsid w:val="00EB5307"/>
    <w:rsid w:val="00ED3AB7"/>
    <w:rsid w:val="00F162F4"/>
    <w:rsid w:val="00F56D58"/>
    <w:rsid w:val="00F7284A"/>
    <w:rsid w:val="00F76245"/>
    <w:rsid w:val="00F9543D"/>
    <w:rsid w:val="00FA0FE4"/>
    <w:rsid w:val="00FB6108"/>
    <w:rsid w:val="00FB768C"/>
    <w:rsid w:val="00FF117E"/>
    <w:rsid w:val="0DA20B96"/>
    <w:rsid w:val="27001C0F"/>
    <w:rsid w:val="40CF0629"/>
    <w:rsid w:val="5C1578F1"/>
    <w:rsid w:val="765E6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semiHidden/>
    <w:unhideWhenUsed/>
    <w:uiPriority w:val="99"/>
    <w:pPr>
      <w:jc w:val="left"/>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19"/>
    <w:semiHidden/>
    <w:unhideWhenUsed/>
    <w:qFormat/>
    <w:uiPriority w:val="99"/>
    <w:rPr>
      <w:b/>
      <w:bCs/>
    </w:rPr>
  </w:style>
  <w:style w:type="character" w:styleId="12">
    <w:name w:val="Hyperlink"/>
    <w:qFormat/>
    <w:uiPriority w:val="0"/>
    <w:rPr>
      <w:color w:val="0000FF"/>
      <w:u w:val="single"/>
    </w:rPr>
  </w:style>
  <w:style w:type="character" w:styleId="13">
    <w:name w:val="annotation reference"/>
    <w:basedOn w:val="11"/>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页眉 字符"/>
    <w:basedOn w:val="11"/>
    <w:link w:val="7"/>
    <w:qFormat/>
    <w:uiPriority w:val="99"/>
    <w:rPr>
      <w:rFonts w:ascii="Times New Roman" w:hAnsi="Times New Roman" w:eastAsia="宋体" w:cs="Times New Roman"/>
      <w:sz w:val="18"/>
      <w:szCs w:val="18"/>
    </w:rPr>
  </w:style>
  <w:style w:type="character" w:customStyle="1" w:styleId="16">
    <w:name w:val="页脚 字符"/>
    <w:basedOn w:val="11"/>
    <w:link w:val="6"/>
    <w:qFormat/>
    <w:uiPriority w:val="99"/>
    <w:rPr>
      <w:rFonts w:ascii="Times New Roman" w:hAnsi="Times New Roman" w:eastAsia="宋体" w:cs="Times New Roman"/>
      <w:sz w:val="18"/>
      <w:szCs w:val="18"/>
    </w:rPr>
  </w:style>
  <w:style w:type="character" w:customStyle="1" w:styleId="17">
    <w:name w:val="批注框文本 字符"/>
    <w:basedOn w:val="11"/>
    <w:link w:val="5"/>
    <w:semiHidden/>
    <w:qFormat/>
    <w:uiPriority w:val="99"/>
    <w:rPr>
      <w:rFonts w:ascii="Times New Roman" w:hAnsi="Times New Roman" w:eastAsia="宋体" w:cs="Times New Roman"/>
      <w:sz w:val="18"/>
      <w:szCs w:val="18"/>
    </w:rPr>
  </w:style>
  <w:style w:type="character" w:customStyle="1" w:styleId="18">
    <w:name w:val="批注文字 字符"/>
    <w:basedOn w:val="11"/>
    <w:link w:val="4"/>
    <w:semiHidden/>
    <w:qFormat/>
    <w:uiPriority w:val="99"/>
    <w:rPr>
      <w:rFonts w:ascii="Times New Roman" w:hAnsi="Times New Roman" w:eastAsia="宋体" w:cs="Times New Roman"/>
      <w:szCs w:val="20"/>
    </w:rPr>
  </w:style>
  <w:style w:type="character" w:customStyle="1" w:styleId="19">
    <w:name w:val="批注主题 字符"/>
    <w:basedOn w:val="18"/>
    <w:link w:val="9"/>
    <w:semiHidden/>
    <w:qFormat/>
    <w:uiPriority w:val="99"/>
    <w:rPr>
      <w:rFonts w:ascii="Times New Roman" w:hAnsi="Times New Roman" w:eastAsia="宋体" w:cs="Times New Roman"/>
      <w:b/>
      <w:bCs/>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3</Pages>
  <Words>1149</Words>
  <Characters>1247</Characters>
  <Lines>4</Lines>
  <Paragraphs>1</Paragraphs>
  <TotalTime>4</TotalTime>
  <ScaleCrop>false</ScaleCrop>
  <LinksUpToDate>false</LinksUpToDate>
  <CharactersWithSpaces>1277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2025-12-19T02:35:00Z</dcterms:created>
  <dc:creator>KWM</dc:creator>
  <cp:lastModifiedBy>刘昊天</cp:lastModifiedBy>
  <dcterms:modified xsi:type="dcterms:W3CDTF">2026-06-30T12:54:58Z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eyJoZGlkIjoiNmJjMzlkOGJiNjZiNTM0ZTE5OGJjZDMyNWQxNjRhYjciLCJ1c2VySWQiOiIxNDcyNzkzMTMyIn0=</vt:lpwstr>
  </property>
  <property fmtid="{D5CDD505-2E9C-101B-9397-08002B2CF9AE}" pid="3" name="KSOProductBuildVer">
    <vt:lpwstr>2052-12.1.0.26895</vt:lpwstr>
  </property>
  <property fmtid="{D5CDD505-2E9C-101B-9397-08002B2CF9AE}" pid="4" name="ICV">
    <vt:lpwstr>D40F0E87397F49AB9B8B3D988B6FE72D_13</vt:lpwstr>
  </property>
  <property fmtid="{D5CDD505-2E9C-101B-9397-08002B2CF9AE}" pid="5" name="5B77E7CEEC58BC6AFAE8886BEB80DBEB">
    <vt:lpwstr>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</vt:lpwstr>
  </property>
</Properties>
</file>