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780</Words>
  <Characters>1026</Characters>
  <Lines>13</Lines>
  <Paragraphs>3</Paragraphs>
  <TotalTime>88</TotalTime>
  <ScaleCrop>false</ScaleCrop>
  <LinksUpToDate>false</LinksUpToDate>
  <CharactersWithSpaces>1823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2024-09-25T02:15:00Z</dcterms:created>
  <dc:creator>xzz</dc:creator>
  <cp:lastModifiedBy>熊振中</cp:lastModifiedBy>
  <cp:lastPrinted>2025-04-21T07:17:00Z</cp:lastPrinted>
  <dcterms:modified xsi:type="dcterms:W3CDTF">2026-04-23T07:34:19Z</dcterms:modified>
  <dc:title>上证交字〔2003〕10号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2052-12.1.0.25225</vt:lpwstr>
  </property>
  <property fmtid="{D5CDD505-2E9C-101B-9397-08002B2CF9AE}" pid="5" name="ICV">
    <vt:lpwstr>17F7674B15334737B12DD1513BA78F42_13</vt:lpwstr>
  </property>
  <property fmtid="{D5CDD505-2E9C-101B-9397-08002B2CF9AE}" pid="6" name="KSOTemplateDocerSaveRecord">
    <vt:lpwstr>eyJoZGlkIjoiNzdkOTM1ZGZhMmVjY2UxYzkxYzQ2Y2U2NGIwMjYxYTMiLCJ1c2VySWQiOiIxNDc5NjU3MTM3In0=</vt:lpwstr>
  </property>
  <property fmtid="{5B77E7CE-EC58-BC6A-FAE8-886BEB80DBEB}" pid="7" name="5B77E7CEEC58BC6AFAE8886BEB80DBEB">
    <vt:lpwstr>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</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9D00">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6</w:t>
      </w:r>
      <w:r>
        <w:rPr>
          <w:rFonts w:hint="eastAsia" w:ascii="黑体" w:eastAsia="黑体"/>
          <w:szCs w:val="20"/>
        </w:rPr>
        <w:t>-</w:t>
      </w:r>
      <w:r>
        <w:rPr>
          <w:rFonts w:hint="eastAsia" w:ascii="黑体" w:eastAsia="黑体"/>
          <w:szCs w:val="20"/>
          <w:lang w:val="en-US" w:eastAsia="zh-CN"/>
        </w:rPr>
        <w:t>035</w:t>
      </w:r>
      <w:bookmarkStart w:id="2" w:name="_GoBack"/>
      <w:bookmarkEnd w:id="2"/>
    </w:p>
    <w:p w14:paraId="5622C40C">
      <w:pPr>
        <w:jc w:val="center"/>
        <w:rPr>
          <w:rFonts w:ascii="宋体" w:hAnsi="宋体"/>
          <w:sz w:val="30"/>
        </w:rPr>
      </w:pPr>
    </w:p>
    <w:p w14:paraId="0DCEFF22">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14:paraId="41B597CC">
      <w:pPr>
        <w:spacing w:line="560" w:lineRule="exact"/>
        <w:jc w:val="center"/>
        <w:rPr>
          <w:b/>
          <w:sz w:val="32"/>
          <w:szCs w:val="32"/>
        </w:rPr>
      </w:pPr>
      <w:bookmarkStart w:id="0" w:name="OLE_LINK3"/>
      <w:r>
        <w:rPr>
          <w:rFonts w:hint="eastAsia" w:ascii="黑体" w:eastAsia="黑体"/>
          <w:b/>
          <w:bCs/>
          <w:color w:val="FF0000"/>
          <w:sz w:val="36"/>
          <w:szCs w:val="36"/>
        </w:rPr>
        <w:t>关于举办2026年第一季度业绩说明会的公告</w:t>
      </w:r>
      <w:bookmarkEnd w:id="0"/>
    </w:p>
    <w:p w14:paraId="56AB4C5F">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14:paraId="48189918">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14:paraId="48189918">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14:paraId="2FE77F00">
      <w:pPr>
        <w:jc w:val="center"/>
        <w:rPr>
          <w:rFonts w:ascii="宋体" w:hAnsi="宋体"/>
          <w:sz w:val="30"/>
        </w:rPr>
      </w:pPr>
    </w:p>
    <w:p w14:paraId="7D33DE5E">
      <w:pPr>
        <w:pStyle w:val="37"/>
        <w:spacing w:line="560" w:lineRule="exact"/>
      </w:pPr>
    </w:p>
    <w:p w14:paraId="70AD3B0E">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14:paraId="61EF2C79">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会议召开时间：2026年4月29日（周三）</w:t>
      </w:r>
      <w:r>
        <w:rPr>
          <w:rFonts w:ascii="宋体" w:hAnsi="宋体"/>
          <w:sz w:val="28"/>
          <w:szCs w:val="28"/>
        </w:rPr>
        <w:t>09:30-10:30</w:t>
      </w:r>
    </w:p>
    <w:p w14:paraId="756DE998">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会议召开方式：电话及网络会议</w:t>
      </w:r>
    </w:p>
    <w:p w14:paraId="56227B61">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投资者可于2026年</w:t>
      </w:r>
      <w:r>
        <w:rPr>
          <w:rFonts w:ascii="宋体" w:hAnsi="宋体"/>
          <w:sz w:val="28"/>
          <w:szCs w:val="28"/>
        </w:rPr>
        <w:t>4</w:t>
      </w:r>
      <w:r>
        <w:rPr>
          <w:rFonts w:hint="eastAsia" w:ascii="宋体" w:hAnsi="宋体"/>
          <w:sz w:val="28"/>
          <w:szCs w:val="28"/>
        </w:rPr>
        <w:t>月2</w:t>
      </w:r>
      <w:r>
        <w:rPr>
          <w:rFonts w:ascii="宋体" w:hAnsi="宋体"/>
          <w:sz w:val="28"/>
          <w:szCs w:val="28"/>
        </w:rPr>
        <w:t>8</w:t>
      </w:r>
      <w:r>
        <w:rPr>
          <w:rFonts w:hint="eastAsia" w:ascii="宋体" w:hAnsi="宋体"/>
          <w:sz w:val="28"/>
          <w:szCs w:val="28"/>
        </w:rPr>
        <w:t>日（周二）17:00前将关注的问题通过电子邮件的形式发送至</w:t>
      </w:r>
      <w:r>
        <w:rPr>
          <w:rFonts w:ascii="宋体" w:hAnsi="宋体"/>
          <w:sz w:val="28"/>
          <w:szCs w:val="28"/>
        </w:rPr>
        <w:t>IR@ykenergy.com</w:t>
      </w:r>
      <w:r>
        <w:rPr>
          <w:rFonts w:hint="eastAsia" w:ascii="宋体" w:hAnsi="宋体"/>
          <w:sz w:val="28"/>
          <w:szCs w:val="28"/>
        </w:rPr>
        <w:t>。本公司将会于2026年第一季度业绩说明会（“业绩说明会”）上对投资者普遍关注的问题进行回答。</w:t>
      </w:r>
    </w:p>
    <w:p w14:paraId="66C82367">
      <w:pPr>
        <w:autoSpaceDE w:val="0"/>
        <w:autoSpaceDN w:val="0"/>
        <w:adjustRightInd w:val="0"/>
        <w:spacing w:line="560" w:lineRule="exact"/>
        <w:ind w:left="600"/>
        <w:jc w:val="left"/>
        <w:rPr>
          <w:rFonts w:ascii="宋体" w:hAnsi="宋体"/>
          <w:sz w:val="28"/>
          <w:szCs w:val="28"/>
        </w:rPr>
      </w:pPr>
    </w:p>
    <w:p w14:paraId="72621B79">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14:paraId="1EAEAA57">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兖矿能源集团股份有限公司（“公司”“本公司”）将于2026年</w:t>
      </w:r>
      <w:r>
        <w:rPr>
          <w:rFonts w:ascii="宋体" w:hAnsi="宋体"/>
          <w:sz w:val="28"/>
          <w:szCs w:val="28"/>
        </w:rPr>
        <w:t>4</w:t>
      </w:r>
      <w:r>
        <w:rPr>
          <w:rFonts w:hint="eastAsia" w:ascii="宋体" w:hAnsi="宋体"/>
          <w:sz w:val="28"/>
          <w:szCs w:val="28"/>
        </w:rPr>
        <w:t>月</w:t>
      </w:r>
      <w:r>
        <w:rPr>
          <w:rFonts w:ascii="宋体" w:hAnsi="宋体"/>
          <w:sz w:val="28"/>
          <w:szCs w:val="28"/>
        </w:rPr>
        <w:t>29</w:t>
      </w:r>
      <w:r>
        <w:rPr>
          <w:rFonts w:hint="eastAsia" w:ascii="宋体" w:hAnsi="宋体"/>
          <w:sz w:val="28"/>
          <w:szCs w:val="28"/>
        </w:rPr>
        <w:t>日在上海证券交易所网站、香港联合交易所网站披露2026年第一季度业绩。为协助投资者更好地了解公司业绩，公司拟以电话及网络会议的方式召开业绩说明会。</w:t>
      </w:r>
    </w:p>
    <w:p w14:paraId="6EDBF59E">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14:paraId="00B4D86C">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（一）召开时间：2026年4月29日（周三）</w:t>
      </w:r>
      <w:r>
        <w:rPr>
          <w:rFonts w:ascii="宋体" w:hAnsi="宋体"/>
          <w:sz w:val="28"/>
          <w:szCs w:val="28"/>
        </w:rPr>
        <w:t>09:30-10:30</w:t>
      </w:r>
    </w:p>
    <w:p w14:paraId="15F950B9">
      <w:pPr>
        <w:autoSpaceDE w:val="0"/>
        <w:autoSpaceDN w:val="0"/>
        <w:adjustRightInd w:val="0"/>
        <w:spacing w:line="560" w:lineRule="exact"/>
        <w:ind w:firstLine="560" w:firstLineChars="200"/>
        <w:jc w:val="left"/>
        <w:rPr>
          <w:rFonts w:ascii="宋体" w:hAnsi="宋体"/>
          <w:sz w:val="28"/>
          <w:szCs w:val="28"/>
          <w:u w:val="single"/>
        </w:rPr>
      </w:pPr>
      <w:r>
        <w:rPr>
          <w:rFonts w:hint="eastAsia" w:ascii="宋体" w:hAnsi="宋体"/>
          <w:sz w:val="28"/>
          <w:szCs w:val="28"/>
        </w:rPr>
        <w:t>（二）召开方式：电话及网络会议</w:t>
      </w:r>
    </w:p>
    <w:p w14:paraId="366B92E1">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（三）电话拨入号码：</w:t>
      </w:r>
    </w:p>
    <w:p w14:paraId="1C9A92F6">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中国大陆：+86-4001510269</w:t>
      </w:r>
    </w:p>
    <w:p w14:paraId="7949CDFF">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w:t>
      </w:r>
      <w:r>
        <w:rPr>
          <w:rFonts w:ascii="宋体" w:hAnsi="宋体"/>
          <w:sz w:val="28"/>
          <w:szCs w:val="28"/>
        </w:rPr>
        <w:t>852-51089680</w:t>
      </w:r>
    </w:p>
    <w:p w14:paraId="09D64B22">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w:t>
      </w:r>
      <w:r>
        <w:rPr>
          <w:rFonts w:ascii="宋体" w:hAnsi="宋体"/>
          <w:sz w:val="28"/>
          <w:szCs w:val="28"/>
        </w:rPr>
        <w:t>-</w:t>
      </w:r>
      <w:r>
        <w:rPr>
          <w:rFonts w:hint="eastAsia" w:ascii="宋体" w:hAnsi="宋体"/>
          <w:sz w:val="28"/>
          <w:szCs w:val="28"/>
        </w:rPr>
        <w:t>2087016888</w:t>
      </w:r>
    </w:p>
    <w:p w14:paraId="74DC4C1E">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 xml:space="preserve">全 </w:t>
      </w:r>
      <w:r>
        <w:rPr>
          <w:rFonts w:ascii="宋体" w:hAnsi="宋体"/>
          <w:sz w:val="28"/>
          <w:szCs w:val="28"/>
        </w:rPr>
        <w:t xml:space="preserve">   </w:t>
      </w:r>
      <w:r>
        <w:rPr>
          <w:rFonts w:hint="eastAsia" w:ascii="宋体" w:hAnsi="宋体"/>
          <w:sz w:val="28"/>
          <w:szCs w:val="28"/>
        </w:rPr>
        <w:t>球：+86-</w:t>
      </w:r>
      <w:r>
        <w:rPr>
          <w:rFonts w:ascii="宋体" w:hAnsi="宋体"/>
          <w:sz w:val="28"/>
          <w:szCs w:val="28"/>
        </w:rPr>
        <w:t>0</w:t>
      </w:r>
      <w:r>
        <w:rPr>
          <w:rFonts w:hint="eastAsia" w:ascii="宋体" w:hAnsi="宋体"/>
          <w:sz w:val="28"/>
          <w:szCs w:val="28"/>
        </w:rPr>
        <w:t>1021377168</w:t>
      </w:r>
    </w:p>
    <w:p w14:paraId="23FA32DD">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691946</w:t>
      </w:r>
    </w:p>
    <w:p w14:paraId="2770715A">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（四）网络参会地址：</w:t>
      </w:r>
      <w:r>
        <w:rPr>
          <w:rFonts w:ascii="宋体" w:hAnsi="宋体"/>
          <w:sz w:val="28"/>
          <w:szCs w:val="28"/>
        </w:rPr>
        <w:t>https://s.comein.cn/8m8ufybc</w:t>
      </w:r>
      <w:r>
        <w:rPr>
          <w:rFonts w:hint="eastAsia" w:ascii="宋体" w:hAnsi="宋体"/>
          <w:sz w:val="28"/>
          <w:szCs w:val="28"/>
        </w:rPr>
        <w:t>，投资者按网站提示注册后即可参与会议。</w:t>
      </w:r>
    </w:p>
    <w:p w14:paraId="51458A70">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14:paraId="323715E7">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14:paraId="2F59D303">
      <w:pPr>
        <w:spacing w:line="560" w:lineRule="exact"/>
        <w:ind w:firstLine="560" w:firstLineChars="200"/>
        <w:rPr>
          <w:rFonts w:ascii="宋体" w:hAnsi="宋体"/>
          <w:spacing w:val="-10"/>
          <w:sz w:val="28"/>
          <w:szCs w:val="28"/>
        </w:rPr>
      </w:pPr>
      <w:r>
        <w:rPr>
          <w:rFonts w:hint="eastAsia" w:ascii="宋体" w:hAnsi="宋体"/>
          <w:sz w:val="28"/>
          <w:szCs w:val="28"/>
        </w:rPr>
        <w:t>党委书记、董事、总经理王九红先生，董事、董事会秘书黄霄龙先生，财务总监赵治国先生，独立董事胡家栋先生和有关业务负责人。</w:t>
      </w:r>
    </w:p>
    <w:p w14:paraId="01793C2C">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14:paraId="2ECBE2EF">
      <w:pPr>
        <w:spacing w:line="560" w:lineRule="exact"/>
        <w:ind w:firstLine="560" w:firstLineChars="200"/>
        <w:rPr>
          <w:rFonts w:ascii="宋体" w:hAnsi="宋体"/>
          <w:sz w:val="28"/>
          <w:szCs w:val="28"/>
        </w:rPr>
      </w:pPr>
      <w:r>
        <w:rPr>
          <w:rFonts w:hint="eastAsia" w:ascii="宋体" w:hAnsi="宋体"/>
          <w:sz w:val="28"/>
          <w:szCs w:val="28"/>
        </w:rPr>
        <w:t>（一）届时投资者可以通过电话及网络参加会议，公司将介绍2026年第一季度经营业绩，未来市场分析、经营措施等相关情况，并就投资者关注的问题进行沟通和交流。</w:t>
      </w:r>
    </w:p>
    <w:p w14:paraId="5C7CAF57">
      <w:pPr>
        <w:spacing w:line="560" w:lineRule="exact"/>
        <w:ind w:firstLine="560" w:firstLineChars="200"/>
        <w:rPr>
          <w:rFonts w:ascii="宋体" w:hAnsi="宋体"/>
          <w:sz w:val="28"/>
          <w:szCs w:val="28"/>
        </w:rPr>
      </w:pPr>
      <w:r>
        <w:rPr>
          <w:rFonts w:hint="eastAsia" w:ascii="宋体" w:hAnsi="宋体"/>
          <w:sz w:val="28"/>
          <w:szCs w:val="28"/>
        </w:rPr>
        <w:t>（二）投资者可于2026年</w:t>
      </w:r>
      <w:r>
        <w:rPr>
          <w:rFonts w:ascii="宋体" w:hAnsi="宋体"/>
          <w:sz w:val="28"/>
          <w:szCs w:val="28"/>
        </w:rPr>
        <w:t>4</w:t>
      </w:r>
      <w:r>
        <w:rPr>
          <w:rFonts w:hint="eastAsia" w:ascii="宋体" w:hAnsi="宋体"/>
          <w:sz w:val="28"/>
          <w:szCs w:val="28"/>
        </w:rPr>
        <w:t>月28日（周二）17:00前将关注的问题通过电子邮件的形式发送至</w:t>
      </w:r>
      <w:r>
        <w:rPr>
          <w:rFonts w:ascii="宋体" w:hAnsi="宋体"/>
          <w:sz w:val="28"/>
          <w:szCs w:val="28"/>
        </w:rPr>
        <w:t>IR@ykenergy.com</w:t>
      </w:r>
      <w:r>
        <w:rPr>
          <w:rFonts w:hint="eastAsia" w:ascii="宋体" w:hAnsi="宋体"/>
          <w:sz w:val="28"/>
          <w:szCs w:val="28"/>
        </w:rPr>
        <w:t>。本公司将会于业绩说明会上对投资者普遍关注的问题进行回答。</w:t>
      </w:r>
    </w:p>
    <w:p w14:paraId="1B7D27C7">
      <w:pPr>
        <w:spacing w:line="560" w:lineRule="exact"/>
        <w:ind w:firstLine="562" w:firstLineChars="200"/>
        <w:rPr>
          <w:rFonts w:ascii="宋体" w:hAnsi="宋体"/>
          <w:b/>
          <w:sz w:val="28"/>
          <w:szCs w:val="28"/>
        </w:rPr>
      </w:pPr>
      <w:r>
        <w:rPr>
          <w:rFonts w:hint="eastAsia" w:ascii="宋体" w:hAnsi="宋体"/>
          <w:b/>
          <w:sz w:val="28"/>
          <w:szCs w:val="28"/>
        </w:rPr>
        <w:t>五、联系人及</w:t>
      </w:r>
      <w:bookmarkStart w:id="1" w:name="_Hlk227575663"/>
      <w:r>
        <w:rPr>
          <w:rFonts w:hint="eastAsia" w:ascii="宋体" w:hAnsi="宋体"/>
          <w:b/>
          <w:sz w:val="28"/>
          <w:szCs w:val="28"/>
        </w:rPr>
        <w:t>方式</w:t>
      </w:r>
      <w:bookmarkEnd w:id="1"/>
    </w:p>
    <w:p w14:paraId="528E22FA">
      <w:pPr>
        <w:spacing w:line="560" w:lineRule="exact"/>
        <w:ind w:firstLine="560" w:firstLineChars="200"/>
        <w:rPr>
          <w:rFonts w:ascii="宋体" w:hAnsi="宋体"/>
          <w:sz w:val="28"/>
          <w:szCs w:val="28"/>
        </w:rPr>
      </w:pPr>
      <w:r>
        <w:rPr>
          <w:rFonts w:hint="eastAsia" w:ascii="宋体" w:hAnsi="宋体"/>
          <w:sz w:val="28"/>
          <w:szCs w:val="28"/>
        </w:rPr>
        <w:t>联 系 人：刘  佩  +86-</w:t>
      </w:r>
      <w:r>
        <w:rPr>
          <w:rFonts w:ascii="宋体" w:hAnsi="宋体"/>
          <w:sz w:val="28"/>
          <w:szCs w:val="28"/>
        </w:rPr>
        <w:t>15513578290</w:t>
      </w:r>
    </w:p>
    <w:p w14:paraId="2074E9B8">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+86-537 539 2377</w:t>
      </w:r>
    </w:p>
    <w:p w14:paraId="748A0A72">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 xml:space="preserve">IR@ykenergy.com </w:t>
      </w:r>
    </w:p>
    <w:p w14:paraId="2911CBED">
      <w:pPr>
        <w:spacing w:line="560" w:lineRule="exact"/>
        <w:ind w:firstLine="562" w:firstLineChars="200"/>
        <w:rPr>
          <w:rFonts w:ascii="宋体" w:hAnsi="宋体"/>
          <w:b/>
          <w:sz w:val="28"/>
          <w:szCs w:val="28"/>
        </w:rPr>
      </w:pPr>
      <w:r>
        <w:rPr>
          <w:rFonts w:hint="eastAsia" w:ascii="宋体" w:hAnsi="宋体"/>
          <w:b/>
          <w:sz w:val="28"/>
          <w:szCs w:val="28"/>
        </w:rPr>
        <w:t>六、其他事项</w:t>
      </w:r>
    </w:p>
    <w:p w14:paraId="17E1B955">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14:paraId="7CA622B5">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14:paraId="68506291">
      <w:pPr>
        <w:spacing w:line="560" w:lineRule="exact"/>
        <w:ind w:firstLine="560" w:firstLineChars="200"/>
        <w:rPr>
          <w:rFonts w:ascii="宋体" w:hAnsi="宋体"/>
          <w:sz w:val="28"/>
          <w:szCs w:val="28"/>
        </w:rPr>
      </w:pPr>
    </w:p>
    <w:p w14:paraId="1286DEA9">
      <w:pPr>
        <w:spacing w:line="560" w:lineRule="exact"/>
        <w:ind w:firstLine="560" w:firstLineChars="200"/>
        <w:rPr>
          <w:rFonts w:ascii="宋体" w:hAnsi="宋体"/>
          <w:sz w:val="28"/>
          <w:szCs w:val="28"/>
        </w:rPr>
      </w:pPr>
      <w:r>
        <w:rPr>
          <w:rFonts w:hint="eastAsia" w:ascii="宋体" w:hAnsi="宋体"/>
          <w:sz w:val="28"/>
          <w:szCs w:val="28"/>
        </w:rPr>
        <w:t>特此公告。</w:t>
      </w:r>
    </w:p>
    <w:p w14:paraId="4D9A4BD9">
      <w:pPr>
        <w:spacing w:line="560" w:lineRule="exact"/>
        <w:ind w:firstLine="5460" w:firstLineChars="1950"/>
        <w:rPr>
          <w:rFonts w:ascii="宋体" w:hAnsi="宋体"/>
          <w:sz w:val="28"/>
          <w:szCs w:val="28"/>
        </w:rPr>
      </w:pPr>
    </w:p>
    <w:p w14:paraId="5258319A">
      <w:pPr>
        <w:spacing w:line="560" w:lineRule="exact"/>
        <w:ind w:firstLine="5460" w:firstLineChars="1950"/>
        <w:rPr>
          <w:rFonts w:ascii="宋体" w:hAnsi="宋体"/>
          <w:sz w:val="28"/>
          <w:szCs w:val="28"/>
        </w:rPr>
      </w:pPr>
    </w:p>
    <w:p w14:paraId="1A3D4887">
      <w:pPr>
        <w:spacing w:line="560" w:lineRule="exact"/>
        <w:ind w:firstLine="3920" w:firstLineChars="1400"/>
        <w:rPr>
          <w:rFonts w:ascii="宋体" w:hAnsi="宋体"/>
          <w:sz w:val="28"/>
          <w:szCs w:val="28"/>
        </w:rPr>
      </w:pPr>
      <w:r>
        <w:rPr>
          <w:rFonts w:hint="eastAsia" w:ascii="宋体" w:hAnsi="宋体"/>
          <w:sz w:val="28"/>
          <w:szCs w:val="28"/>
        </w:rPr>
        <w:t>兖矿能源集团股份有限公司董事会</w:t>
      </w:r>
    </w:p>
    <w:p w14:paraId="7723F2A4">
      <w:pPr>
        <w:spacing w:line="560" w:lineRule="exact"/>
        <w:ind w:firstLine="5040" w:firstLineChars="1800"/>
        <w:rPr>
          <w:rFonts w:ascii="宋体" w:hAnsi="宋体"/>
          <w:sz w:val="28"/>
          <w:szCs w:val="28"/>
        </w:rPr>
      </w:pPr>
      <w:r>
        <w:rPr>
          <w:rFonts w:hint="eastAsia" w:ascii="宋体" w:hAnsi="宋体"/>
          <w:sz w:val="28"/>
          <w:szCs w:val="28"/>
        </w:rPr>
        <w:t>2026年</w:t>
      </w:r>
      <w:r>
        <w:rPr>
          <w:rFonts w:ascii="宋体" w:hAnsi="宋体"/>
          <w:sz w:val="28"/>
          <w:szCs w:val="28"/>
        </w:rPr>
        <w:t>4</w:t>
      </w:r>
      <w:r>
        <w:rPr>
          <w:rFonts w:hint="eastAsia" w:ascii="宋体" w:hAnsi="宋体"/>
          <w:sz w:val="28"/>
          <w:szCs w:val="28"/>
        </w:rPr>
        <w:t>月2</w:t>
      </w:r>
      <w:r>
        <w:rPr>
          <w:rFonts w:ascii="宋体" w:hAnsi="宋体"/>
          <w:sz w:val="28"/>
          <w:szCs w:val="28"/>
        </w:rPr>
        <w:t>3</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7EE6">
    <w:pPr>
      <w:pStyle w:val="13"/>
      <w:jc w:val="center"/>
    </w:pPr>
    <w:r>
      <w:fldChar w:fldCharType="begin"/>
    </w:r>
    <w:r>
      <w:instrText xml:space="preserve"> PAGE   \* MERGEFORMAT </w:instrText>
    </w:r>
    <w:r>
      <w:fldChar w:fldCharType="separate"/>
    </w:r>
    <w:r>
      <w:rPr>
        <w:lang w:val="zh-CN"/>
      </w:rPr>
      <w:t>1</w:t>
    </w:r>
    <w:r>
      <w:fldChar w:fldCharType="end"/>
    </w:r>
  </w:p>
  <w:p w14:paraId="2D9D4D8B">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90AA">
    <w:pPr>
      <w:pStyle w:val="13"/>
      <w:jc w:val="center"/>
    </w:pPr>
    <w:r>
      <w:fldChar w:fldCharType="begin"/>
    </w:r>
    <w:r>
      <w:instrText xml:space="preserve"> PAGE   \* MERGEFORMAT </w:instrText>
    </w:r>
    <w:r>
      <w:fldChar w:fldCharType="separate"/>
    </w:r>
    <w:r>
      <w:rPr>
        <w:lang w:val="zh-CN"/>
      </w:rPr>
      <w:t>2</w:t>
    </w:r>
    <w:r>
      <w:fldChar w:fldCharType="end"/>
    </w:r>
  </w:p>
  <w:p w14:paraId="69059CFC">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408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zlkOGJiNjZiNTM0ZTE5OGJjZDMyNWQxNjRhYjcifQ=="/>
  </w:docVars>
  <w:rsids>
    <w:rsidRoot w:val="00000000"/>
    <w:rsid w:val="5AA8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autoRedefine/>
    <w:qFormat/>
    <w:uiPriority w:val="0"/>
    <w:pPr>
      <w:jc w:val="left"/>
    </w:pPr>
  </w:style>
  <w:style w:type="paragraph" w:styleId="5">
    <w:name w:val="Body Text 3"/>
    <w:basedOn w:val="1"/>
    <w:autoRedefine/>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autoRedefine/>
    <w:qFormat/>
    <w:uiPriority w:val="0"/>
    <w:pPr>
      <w:spacing w:after="120"/>
    </w:pPr>
  </w:style>
  <w:style w:type="paragraph" w:styleId="7">
    <w:name w:val="Body Text Indent"/>
    <w:basedOn w:val="1"/>
    <w:link w:val="27"/>
    <w:autoRedefine/>
    <w:qFormat/>
    <w:uiPriority w:val="0"/>
    <w:pPr>
      <w:spacing w:line="600" w:lineRule="atLeast"/>
      <w:ind w:firstLine="646"/>
    </w:pPr>
    <w:rPr>
      <w:rFonts w:ascii="仿宋_GB2312" w:eastAsia="仿宋_GB2312"/>
      <w:sz w:val="32"/>
      <w:szCs w:val="20"/>
    </w:rPr>
  </w:style>
  <w:style w:type="paragraph" w:styleId="8">
    <w:name w:val="Block Text"/>
    <w:basedOn w:val="1"/>
    <w:autoRedefine/>
    <w:qFormat/>
    <w:uiPriority w:val="0"/>
    <w:pPr>
      <w:spacing w:line="360" w:lineRule="auto"/>
      <w:ind w:left="840" w:right="840"/>
      <w:jc w:val="center"/>
    </w:pPr>
    <w:rPr>
      <w:sz w:val="36"/>
      <w:szCs w:val="20"/>
    </w:rPr>
  </w:style>
  <w:style w:type="paragraph" w:styleId="9">
    <w:name w:val="Plain Text"/>
    <w:basedOn w:val="1"/>
    <w:autoRedefine/>
    <w:qFormat/>
    <w:uiPriority w:val="0"/>
    <w:rPr>
      <w:rFonts w:hint="eastAsia" w:ascii="宋体" w:hAnsi="Courier New"/>
      <w:szCs w:val="20"/>
    </w:rPr>
  </w:style>
  <w:style w:type="paragraph" w:styleId="10">
    <w:name w:val="Date"/>
    <w:basedOn w:val="1"/>
    <w:next w:val="1"/>
    <w:link w:val="28"/>
    <w:autoRedefine/>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autoRedefine/>
    <w:uiPriority w:val="99"/>
    <w:pPr>
      <w:tabs>
        <w:tab w:val="center" w:pos="4153"/>
        <w:tab w:val="right" w:pos="8306"/>
      </w:tabs>
      <w:snapToGrid w:val="0"/>
      <w:jc w:val="left"/>
    </w:pPr>
    <w:rPr>
      <w:sz w:val="18"/>
      <w:szCs w:val="18"/>
    </w:rPr>
  </w:style>
  <w:style w:type="paragraph" w:styleId="14">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uiPriority w:val="0"/>
    <w:pPr>
      <w:spacing w:line="840" w:lineRule="exact"/>
      <w:jc w:val="center"/>
    </w:pPr>
    <w:rPr>
      <w:rFonts w:ascii="黑体" w:hAnsi="宋体" w:eastAsia="黑体"/>
      <w:b/>
      <w:sz w:val="44"/>
      <w:szCs w:val="42"/>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uiPriority w:val="0"/>
    <w:rPr>
      <w:b/>
      <w:bCs/>
    </w:rPr>
  </w:style>
  <w:style w:type="character" w:styleId="21">
    <w:name w:val="Strong"/>
    <w:qFormat/>
    <w:uiPriority w:val="0"/>
    <w:rPr>
      <w:b/>
      <w:bCs/>
    </w:rPr>
  </w:style>
  <w:style w:type="character" w:styleId="22">
    <w:name w:val="page number"/>
    <w:autoRedefine/>
    <w:uiPriority w:val="0"/>
  </w:style>
  <w:style w:type="character" w:styleId="23">
    <w:name w:val="FollowedHyperlink"/>
    <w:uiPriority w:val="0"/>
    <w:rPr>
      <w:color w:val="800080"/>
      <w:u w:val="single"/>
    </w:rPr>
  </w:style>
  <w:style w:type="character" w:styleId="24">
    <w:name w:val="Hyperlink"/>
    <w:unhideWhenUsed/>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autoRedefine/>
    <w:qFormat/>
    <w:uiPriority w:val="0"/>
    <w:rPr>
      <w:kern w:val="2"/>
      <w:sz w:val="21"/>
      <w:szCs w:val="24"/>
    </w:rPr>
  </w:style>
  <w:style w:type="character" w:customStyle="1" w:styleId="27">
    <w:name w:val="正文文本缩进 字符"/>
    <w:link w:val="7"/>
    <w:autoRedefine/>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uiPriority w:val="99"/>
    <w:rPr>
      <w:rFonts w:eastAsia="宋体"/>
      <w:kern w:val="2"/>
      <w:sz w:val="18"/>
      <w:szCs w:val="18"/>
      <w:lang w:val="en-US" w:eastAsia="zh-CN" w:bidi="ar-SA"/>
    </w:rPr>
  </w:style>
  <w:style w:type="character" w:customStyle="1" w:styleId="32">
    <w:name w:val="页眉 字符"/>
    <w:link w:val="14"/>
    <w:autoRedefine/>
    <w:qFormat/>
    <w:uiPriority w:val="0"/>
    <w:rPr>
      <w:rFonts w:eastAsia="宋体"/>
      <w:kern w:val="2"/>
      <w:sz w:val="18"/>
      <w:szCs w:val="18"/>
      <w:lang w:val="en-US" w:eastAsia="zh-CN" w:bidi="ar-SA"/>
    </w:rPr>
  </w:style>
  <w:style w:type="character" w:customStyle="1" w:styleId="33">
    <w:name w:val="批注主题 字符"/>
    <w:link w:val="18"/>
    <w:uiPriority w:val="0"/>
    <w:rPr>
      <w:b/>
      <w:bCs/>
      <w:kern w:val="2"/>
      <w:sz w:val="21"/>
      <w:szCs w:val="24"/>
    </w:rPr>
  </w:style>
  <w:style w:type="character" w:customStyle="1" w:styleId="34">
    <w:name w:val="afont1"/>
    <w:autoRedefine/>
    <w:qFormat/>
    <w:uiPriority w:val="0"/>
  </w:style>
  <w:style w:type="character" w:customStyle="1" w:styleId="35">
    <w:name w:val="Body Text Indent Char"/>
    <w:locked/>
    <w:uiPriority w:val="0"/>
    <w:rPr>
      <w:rFonts w:ascii="仿宋_GB2312" w:eastAsia="仿宋_GB2312"/>
      <w:kern w:val="2"/>
      <w:sz w:val="32"/>
      <w:lang w:val="en-US" w:eastAsia="zh-CN" w:bidi="ar-SA"/>
    </w:rPr>
  </w:style>
  <w:style w:type="character" w:customStyle="1" w:styleId="36">
    <w:name w:val="未处理的提及1"/>
    <w:unhideWhenUsed/>
    <w:uiPriority w:val="99"/>
    <w:rPr>
      <w:color w:val="605E5C"/>
      <w:shd w:val="clear" w:color="auto" w:fill="E1DFDD"/>
    </w:rPr>
  </w:style>
  <w:style w:type="paragraph" w:customStyle="1" w:styleId="37">
    <w:name w:val="Default"/>
    <w:autoRedefine/>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uiPriority w:val="0"/>
    <w:pPr>
      <w:spacing w:line="360" w:lineRule="auto"/>
      <w:ind w:left="840" w:leftChars="400" w:right="840" w:rightChars="400"/>
      <w:jc w:val="center"/>
    </w:pPr>
    <w:rPr>
      <w:sz w:val="36"/>
    </w:rPr>
  </w:style>
  <w:style w:type="paragraph" w:customStyle="1" w:styleId="3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autoRedefine/>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autoRedefine/>
    <w:uiPriority w:val="0"/>
    <w:pPr>
      <w:widowControl/>
      <w:pBdr>
        <w:bottom w:val="single" w:color="auto" w:sz="6" w:space="1"/>
      </w:pBdr>
      <w:jc w:val="left"/>
    </w:pPr>
    <w:rPr>
      <w:rFonts w:ascii="Futura Bk" w:hAnsi="Futura Bk"/>
      <w:kern w:val="0"/>
      <w:sz w:val="20"/>
      <w:szCs w:val="20"/>
      <w:lang w:val="en-GB" w:eastAsia="en-US"/>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