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\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customXml\_rels\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\_rels\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\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\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\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\itemProps2.xml><?xml version="1.0" encoding="utf-8"?>
<ds:datastoreItem xmlns:ds="http://schemas.openxmlformats.org/officeDocument/2006/customXml" ds:itemID="{B01BD332-B057-4129-AF32-7A261F9A5A49}">
  <ds:schemaRefs/>
</ds:datastoreItem>
</file>

<file path=docProps\app.xml><?xml version="1.0" encoding="utf-8"?>
<Properties xmlns="http://schemas.openxmlformats.org/officeDocument/2006/extended-properties" xmlns:vt="http://schemas.openxmlformats.org/officeDocument/2006/docPropsVTypes">
  <Template>公告模板.dotx</Template>
  <Pages>6</Pages>
  <Words>3104</Words>
  <Characters>3214</Characters>
  <Lines>23</Lines>
  <Paragraphs>6</Paragraphs>
  <TotalTime>2680</TotalTime>
  <ScaleCrop>false</ScaleCrop>
  <LinksUpToDate>false</LinksUpToDate>
  <CharactersWithSpaces>3241</CharactersWithSpaces>
  <Application>WPS Office_11.1.0.14309_F1E327BC-269C-435d-A152-05C5408002CA</Application>
  <DocSecurity>0</DocSecurity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2024-05-06T00:29:00Z</dcterms:created>
  <dc:creator>刘晨</dc:creator>
  <cp:lastModifiedBy>YUANSU HU</cp:lastModifiedBy>
  <cp:lastPrinted>2026-03-23T09:09:00Z</cp:lastPrinted>
  <dcterms:modified xsi:type="dcterms:W3CDTF">2026-03-26T08:59:36Z</dcterms:modified>
  <cp:revision>155</cp:revision>
</cp:coreProperties>
</file>

<file path=docProps\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</vt:lpwstr>
  </property>
  <property fmtid="{D5CDD505-2E9C-101B-9397-08002B2CF9AE}" pid="3" name="KSOProductBuildVer">
    <vt:lpwstr>2052-11.1.0.14309</vt:lpwstr>
  </property>
  <property fmtid="{D5CDD505-2E9C-101B-9397-08002B2CF9AE}" pid="4" name="ICV">
    <vt:lpwstr>196928EC165F4546AB9971CFBCA91C67_12</vt:lpwstr>
  </property>
</Properties>
</file>

<file path=word\_rels\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\_rels\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t_\Documents\&#33258;&#23450;&#20041;%20Office%20&#27169;&#26495;\&#20844;&#21578;&#27169;&#26495;.dotx" TargetMode="External"/></Relationships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ind w:firstLine="0" w:firstLineChars="0"/>
      </w:pPr>
      <w:r>
        <w:rPr>
          <w:rFonts w:hint="eastAsia"/>
        </w:rPr>
        <w:t xml:space="preserve"> 股票简称：兖矿能源              股票代码：600188            编号：临</w:t>
      </w:r>
      <w:r>
        <w:t>20</w:t>
      </w:r>
      <w:r>
        <w:rPr>
          <w:rFonts w:hint="eastAsia"/>
        </w:rPr>
        <w:t>26-</w:t>
      </w:r>
      <w:r>
        <w:rPr>
          <w:rFonts w:hint="eastAsia"/>
          <w:lang w:val="en-US" w:eastAsia="zh-CN"/>
        </w:rPr>
        <w:t>025</w:t>
      </w:r>
      <w:bookmarkStart w:id="1" w:name="_GoBack"/>
      <w:bookmarkEnd w:id="1"/>
    </w:p>
    <w:p>
      <w:pPr>
        <w:ind w:firstLine="560"/>
        <w:rPr>
          <w:rFonts w:hint="eastAsia"/>
          <w:highlight w:val="yellow"/>
        </w:rPr>
      </w:pPr>
    </w:p>
    <w:p>
      <w:pPr>
        <w:spacing w:line="560" w:lineRule="exact"/>
        <w:ind w:firstLine="0" w:firstLineChars="0"/>
        <w:jc w:val="center"/>
        <w:rPr>
          <w:rFonts w:ascii="黑体" w:hAnsi="Times New Roman" w:eastAsia="黑体"/>
          <w:b/>
          <w:bCs/>
          <w:color w:val="FF0000"/>
          <w:sz w:val="36"/>
          <w:szCs w:val="36"/>
        </w:rPr>
      </w:pPr>
      <w:r>
        <w:rPr>
          <w:rFonts w:hint="eastAsia" w:ascii="黑体" w:hAnsi="Times New Roman" w:eastAsia="黑体"/>
          <w:b/>
          <w:bCs/>
          <w:color w:val="FF0000"/>
          <w:sz w:val="36"/>
          <w:szCs w:val="36"/>
        </w:rPr>
        <w:t>兖矿能源集团股份有限公司</w:t>
      </w:r>
    </w:p>
    <w:p>
      <w:pPr>
        <w:spacing w:line="560" w:lineRule="exact"/>
        <w:ind w:firstLine="0" w:firstLineChars="0"/>
        <w:jc w:val="center"/>
        <w:rPr>
          <w:rFonts w:ascii="黑体" w:hAnsi="Times New Roman" w:eastAsia="黑体"/>
          <w:b/>
          <w:bCs/>
          <w:color w:val="FF0000"/>
          <w:sz w:val="36"/>
          <w:szCs w:val="36"/>
        </w:rPr>
      </w:pPr>
      <w:r>
        <w:rPr>
          <w:rFonts w:hint="eastAsia" w:ascii="黑体" w:hAnsi="Times New Roman" w:eastAsia="黑体"/>
          <w:b/>
          <w:bCs/>
          <w:color w:val="FF0000"/>
          <w:sz w:val="36"/>
          <w:szCs w:val="36"/>
        </w:rPr>
        <w:t>关于“提质增效重回报”2025年度评估报告暨</w:t>
      </w:r>
      <w:r>
        <w:rPr>
          <w:rFonts w:ascii="黑体" w:hAnsi="Times New Roman" w:eastAsia="黑体"/>
          <w:b/>
          <w:bCs/>
          <w:color w:val="FF0000"/>
          <w:sz w:val="36"/>
          <w:szCs w:val="36"/>
        </w:rPr>
        <w:br w:type="textWrapping"/>
      </w:r>
      <w:r>
        <w:rPr>
          <w:rFonts w:hint="eastAsia" w:ascii="黑体" w:hAnsi="Times New Roman" w:eastAsia="黑体"/>
          <w:b/>
          <w:bCs/>
          <w:color w:val="FF0000"/>
          <w:sz w:val="36"/>
          <w:szCs w:val="36"/>
        </w:rPr>
        <w:t>2026年度行动方案的公告</w:t>
      </w:r>
    </w:p>
    <w:p>
      <w:pPr>
        <w:ind w:firstLine="402"/>
        <w:rPr>
          <w:rFonts w:hint="eastAsia"/>
          <w:highlight w:val="yellow"/>
        </w:rPr>
      </w:pPr>
      <w:r>
        <w:rPr>
          <w:b/>
          <w:bCs/>
          <w:sz w:val="20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454025</wp:posOffset>
                </wp:positionV>
                <wp:extent cx="5257800" cy="1019175"/>
                <wp:effectExtent l="0" t="0" r="19050" b="28575"/>
                <wp:wrapNone/>
                <wp:docPr id="1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80" w:lineRule="exact"/>
                              <w:ind w:firstLine="56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本公司董事会及全体董事保证本公告内容不存在任何虚假记载、误导性陈述或者重大遗漏，并对其内容的真实性、准确性和完整性承担法律责任。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4" o:spid="_x0000_s1026" o:spt="202" type="#_x0000_t202" style="position:absolute;left:0pt;margin-top:35.75pt;height:80.25pt;width:414pt;mso-position-horizontal:right;mso-position-horizontal-relative:margin;z-index:251659264;mso-width-relative:page;mso-height-relative:page;" fillcolor="#FFFFFF" filled="t" stroked="t" coordsize="21600,21600" o:gfxdata="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I6ky9NcAAAAHAQAADwAAAAAAAAABACAAAAAi&#10;AAAAZHJzL2Rvd25yZXYueG1sUEsBAhQAFAAAAAgAh07iQEZyza9EAgAAiQQAAA4AAAAAAAAAAQAg&#10;AAAAJgEAAGRycy9lMm9Eb2MueG1sUEsFBgAAAAAGAAYAWQEAANw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80" w:lineRule="exact"/>
                        <w:ind w:firstLine="56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本公司董事会及全体董事保证本公告内容不存在任何虚假记载、误导性陈述或者重大遗漏，并对其内容的真实性、准确性和完整性承担法律责任。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highlight w:val="yellow"/>
        </w:rPr>
        <w:br w:type="textWrapping"/>
      </w:r>
    </w:p>
    <w:p>
      <w:pPr>
        <w:ind w:firstLine="560"/>
        <w:rPr>
          <w:rFonts w:hint="eastAsia"/>
          <w:highlight w:val="yellow"/>
        </w:rPr>
      </w:pPr>
    </w:p>
    <w:p>
      <w:pPr>
        <w:ind w:firstLine="560"/>
        <w:rPr>
          <w:rFonts w:hint="eastAsia"/>
          <w:highlight w:val="yellow"/>
        </w:rPr>
      </w:pPr>
    </w:p>
    <w:p>
      <w:pPr>
        <w:ind w:firstLine="560"/>
        <w:rPr>
          <w:rFonts w:hint="eastAsia"/>
          <w:highlight w:val="yellow"/>
        </w:rPr>
      </w:pPr>
    </w:p>
    <w:p>
      <w:pPr>
        <w:snapToGrid w:val="0"/>
        <w:spacing w:line="520" w:lineRule="exact"/>
        <w:ind w:firstLine="560"/>
        <w:rPr>
          <w:rFonts w:hint="eastAsia"/>
        </w:rPr>
      </w:pPr>
      <w:r>
        <w:rPr>
          <w:rFonts w:hint="eastAsia"/>
        </w:rPr>
        <w:t>为深入贯彻党的二十大精神，落实国务院《关于进一步提高上市公司质量的意见》</w:t>
      </w:r>
      <w:r>
        <w:t>、</w:t>
      </w:r>
      <w:r>
        <w:rPr>
          <w:rFonts w:hint="eastAsia"/>
        </w:rPr>
        <w:t>国务院国资委《提高央企控股上市公司质量工作方案》、上海证券交易所《关于开展沪市公司“提质增效重回报”专项行动的倡议》等工作要求，加快推进高质量发展,切实保障和维护投资者合法权益，兖矿能源集团股份有限公司（“兖矿能源”“公司”）进行了“提质增效重回报”2025年度执行情况评估，并制定了</w:t>
      </w:r>
      <w:r>
        <w:t>202</w:t>
      </w:r>
      <w:r>
        <w:rPr>
          <w:rFonts w:hint="eastAsia"/>
        </w:rPr>
        <w:t>6</w:t>
      </w:r>
      <w:r>
        <w:t>年度</w:t>
      </w:r>
      <w:r>
        <w:rPr>
          <w:rFonts w:hint="eastAsia"/>
        </w:rPr>
        <w:t>行动方案，已经公司第九届董事会第二十二次会议审议批准，具体内容如下：</w:t>
      </w:r>
    </w:p>
    <w:p>
      <w:pPr>
        <w:autoSpaceDE w:val="0"/>
        <w:autoSpaceDN w:val="0"/>
        <w:adjustRightInd w:val="0"/>
        <w:snapToGrid w:val="0"/>
        <w:spacing w:line="520" w:lineRule="exact"/>
        <w:ind w:firstLine="560"/>
        <w:jc w:val="left"/>
        <w:outlineLvl w:val="0"/>
        <w:rPr>
          <w:rFonts w:hint="eastAsia" w:ascii="黑体" w:hAnsi="黑体" w:eastAsia="黑体"/>
          <w:bCs/>
        </w:rPr>
      </w:pPr>
      <w:bookmarkStart w:id="0" w:name="_Hlk166333579"/>
      <w:r>
        <w:rPr>
          <w:rFonts w:hint="eastAsia" w:ascii="黑体" w:hAnsi="黑体" w:eastAsia="黑体"/>
          <w:bCs/>
        </w:rPr>
        <w:t>一、聚焦主业，筑牢产业发展根基</w:t>
      </w:r>
    </w:p>
    <w:p>
      <w:pPr>
        <w:snapToGrid w:val="0"/>
        <w:spacing w:line="520" w:lineRule="exact"/>
        <w:ind w:firstLine="560"/>
        <w:rPr>
          <w:rFonts w:hint="eastAsia"/>
        </w:rPr>
      </w:pPr>
      <w:r>
        <w:rPr>
          <w:rFonts w:hint="eastAsia"/>
        </w:rPr>
        <w:t>2025年，公司面对复杂市场环境，克难攻坚，五大产业齐头并进，协同效应显著增强，商品煤产量创下1.82亿吨新高，化工品产量及利润显著提升，公司发展呈现稳中提质、逆势前行的良好态势。</w:t>
      </w:r>
    </w:p>
    <w:p>
      <w:pPr>
        <w:snapToGrid w:val="0"/>
        <w:spacing w:line="520" w:lineRule="exact"/>
        <w:ind w:firstLine="560"/>
        <w:rPr>
          <w:rFonts w:hint="eastAsia"/>
        </w:rPr>
      </w:pPr>
      <w:r>
        <w:rPr>
          <w:rFonts w:hint="eastAsia"/>
        </w:rPr>
        <w:t>2026年，公司将深度融入国家“十五五”规划与新型能源体系建设，坚持“增量扩能”与“存量优化”并重，持续做强“五大主导产业”，全力向“十五五”末原煤产能突破3亿吨的目标迈进。</w:t>
      </w:r>
    </w:p>
    <w:p>
      <w:pPr>
        <w:snapToGrid w:val="0"/>
        <w:spacing w:line="520" w:lineRule="exact"/>
        <w:ind w:firstLine="560"/>
        <w:rPr>
          <w:rFonts w:hint="eastAsia"/>
        </w:rPr>
      </w:pPr>
      <w:r>
        <w:rPr>
          <w:rFonts w:hint="eastAsia"/>
        </w:rPr>
        <w:t>矿业方面，锚定“稳省内、拓省外、优境外”策略，确保省内基地稳产稳量，陕蒙基地全面达产达效，澳洲基地高产高效，力争2026年商品煤产量较2025年实现稳步增长。全力攻坚重点项目建设，推动霍林河一号煤矿、刘三圪旦煤矿等项目有序开工，推进五彩湾四号露天矿二期产能核增手续办理，推进曹四夭钼矿开发，实现由单一煤炭生产向多矿种开发转变。</w:t>
      </w:r>
    </w:p>
    <w:p>
      <w:pPr>
        <w:snapToGrid w:val="0"/>
        <w:spacing w:line="520" w:lineRule="exact"/>
        <w:ind w:firstLine="560"/>
        <w:rPr>
          <w:rFonts w:hint="eastAsia"/>
        </w:rPr>
      </w:pPr>
      <w:r>
        <w:t>高端化工新材料方面，充分释放“煤化一体”协同增盈效应</w:t>
      </w:r>
      <w:r>
        <w:rPr>
          <w:rFonts w:hint="eastAsia"/>
        </w:rPr>
        <w:t>，</w:t>
      </w:r>
      <w:r>
        <w:t>强化“一头多线”柔性生产</w:t>
      </w:r>
      <w:r>
        <w:rPr>
          <w:rFonts w:hint="eastAsia"/>
        </w:rPr>
        <w:t>,</w:t>
      </w:r>
      <w:r>
        <w:t>优化产品结构，提升高端化工品占比。全面推进重点化工项目</w:t>
      </w:r>
      <w:r>
        <w:rPr>
          <w:rFonts w:hint="eastAsia"/>
        </w:rPr>
        <w:t>，</w:t>
      </w:r>
      <w:r>
        <w:t>做强山东、陕西、内蒙、新疆四大高端化工新材料产业园。推动荣信化工80万吨/年烯烃、鲁南化工6万吨聚甲醛项目建成投产，有序推进新疆能化80万吨/年烯烃、未来能源50万吨高温费托项目建设</w:t>
      </w:r>
      <w:r>
        <w:rPr>
          <w:rFonts w:hint="eastAsia"/>
        </w:rPr>
        <w:t>。</w:t>
      </w:r>
    </w:p>
    <w:p>
      <w:pPr>
        <w:snapToGrid w:val="0"/>
        <w:spacing w:line="520" w:lineRule="exact"/>
        <w:ind w:firstLine="560"/>
        <w:rPr>
          <w:rFonts w:hint="eastAsia"/>
          <w:highlight w:val="yellow"/>
        </w:rPr>
      </w:pPr>
      <w:r>
        <w:rPr>
          <w:rFonts w:hint="eastAsia"/>
        </w:rPr>
        <w:t>育强新兴产业，为新一轮高质量发展开辟“第二增长曲线”。高端装备制造方面，强化鲁西智慧制造园区示范带动作用,发挥德国沙尔夫公司技术、品牌优势，研发、制造具备国际竞争力的高端煤机及辅助运输设备，积极拓展海外市场。智慧物流方面，构建综合服务体系，做强“实体物流+数智平台”模式，全力打造具有核心竞争力的大宗商品供应链综合服务商。新能源方面。统筹推进“风光火储”一体化及“源网荷储”一体化项目，力争电力装机规模实现新突破，培育绿色发展新动能。</w:t>
      </w:r>
    </w:p>
    <w:p>
      <w:pPr>
        <w:autoSpaceDE w:val="0"/>
        <w:autoSpaceDN w:val="0"/>
        <w:adjustRightInd w:val="0"/>
        <w:snapToGrid w:val="0"/>
        <w:spacing w:line="520" w:lineRule="exact"/>
        <w:ind w:firstLine="560"/>
        <w:jc w:val="left"/>
        <w:outlineLvl w:val="0"/>
        <w:rPr>
          <w:rFonts w:hint="eastAsia" w:ascii="黑体" w:hAnsi="黑体" w:eastAsia="黑体"/>
          <w:bCs/>
        </w:rPr>
      </w:pPr>
      <w:r>
        <w:rPr>
          <w:rFonts w:hint="eastAsia" w:ascii="黑体" w:hAnsi="黑体" w:eastAsia="黑体"/>
          <w:bCs/>
        </w:rPr>
        <w:t>二、精益管理，提升经营发展质效水平</w:t>
      </w:r>
    </w:p>
    <w:p>
      <w:pPr>
        <w:snapToGrid w:val="0"/>
        <w:spacing w:line="520" w:lineRule="exact"/>
        <w:ind w:firstLine="560"/>
        <w:rPr>
          <w:rFonts w:hint="eastAsia"/>
        </w:rPr>
      </w:pPr>
      <w:r>
        <w:t>2025年，本集团深挖内潜降本增效</w:t>
      </w:r>
      <w:r>
        <w:rPr>
          <w:rFonts w:hint="eastAsia"/>
        </w:rPr>
        <w:t>成果</w:t>
      </w:r>
      <w:r>
        <w:t>显著，</w:t>
      </w:r>
      <w:r>
        <w:rPr>
          <w:rFonts w:hint="eastAsia"/>
        </w:rPr>
        <w:t>自产商品煤吨煤销售成本321.09元/吨，同比下降4.3%；优化投资概算，严控非必要支出，剔除西北矿业影响后资本开支较年初计划节约8.6亿元；开展低息置换高息，创新融资工具应用，</w:t>
      </w:r>
      <w:r>
        <w:t>平均融资利率降至</w:t>
      </w:r>
      <w:r>
        <w:rPr>
          <w:rFonts w:hint="eastAsia"/>
        </w:rPr>
        <w:t>2.46</w:t>
      </w:r>
      <w:r>
        <w:t>%。</w:t>
      </w:r>
    </w:p>
    <w:p>
      <w:pPr>
        <w:snapToGrid w:val="0"/>
        <w:spacing w:line="520" w:lineRule="exact"/>
        <w:ind w:firstLine="560"/>
        <w:rPr>
          <w:rFonts w:hint="eastAsia"/>
        </w:rPr>
      </w:pPr>
      <w:r>
        <w:t>2026年，面对市场不确定性，公司将坚持“成本制胜”战略，以精益管理破解行业周期波动挑战，全流程挖潜创效，确保完成2026年度经营目标，持续提升价值创造能力。</w:t>
      </w:r>
    </w:p>
    <w:p>
      <w:pPr>
        <w:snapToGrid w:val="0"/>
        <w:spacing w:line="520" w:lineRule="exact"/>
        <w:ind w:firstLine="560"/>
        <w:rPr>
          <w:rFonts w:hint="eastAsia"/>
        </w:rPr>
      </w:pPr>
      <w:r>
        <w:rPr>
          <w:rFonts w:hint="eastAsia"/>
        </w:rPr>
        <w:t>产量管控方面，锚定商品煤、化工品年度产量目标，优化生产组织、提升装备水平、推广先进工艺，确保煤炭产业实现质的有效提升和量的合理增长，化工板块维持“安稳长满优”运行。</w:t>
      </w:r>
    </w:p>
    <w:p>
      <w:pPr>
        <w:snapToGrid w:val="0"/>
        <w:spacing w:line="520" w:lineRule="exact"/>
        <w:ind w:firstLine="560"/>
        <w:rPr>
          <w:rFonts w:hint="eastAsia"/>
        </w:rPr>
      </w:pPr>
      <w:r>
        <w:rPr>
          <w:rFonts w:hint="eastAsia"/>
        </w:rPr>
        <w:t>成本管控方面，深入开展“十项费用节支”行动，刚性落实成本管控。生产端推行精益生产，降低产品单耗；采购端扩大集中采购与“寄售代储”比例，优化招投标流程，降低采购成本；管理端严控非生产性开支，深化减员提效；资金端统筹债务与融资结构双优化，筑牢财务稳健运行底线</w:t>
      </w:r>
      <w:r>
        <w:rPr>
          <w:rFonts w:hint="eastAsia"/>
          <w:u w:val="none"/>
        </w:rPr>
        <w:t>。</w:t>
      </w:r>
    </w:p>
    <w:p>
      <w:pPr>
        <w:snapToGrid w:val="0"/>
        <w:spacing w:line="520" w:lineRule="exact"/>
        <w:ind w:firstLine="560"/>
        <w:rPr>
          <w:rFonts w:hint="eastAsia"/>
        </w:rPr>
      </w:pPr>
      <w:r>
        <w:rPr>
          <w:rFonts w:hint="eastAsia"/>
        </w:rPr>
        <w:t>市场营销方面，精准研判2026年煤炭、化工市场走势，实施“精准定价、稳盘增效”策略。煤炭板块深化“精煤+定制”营销模式，强化长协合同履约管理，提升直供客户占比，推动自产煤价格维持合理区间；化工板块针对不同产品特性，优化营销策略，抓住甲醇价格回升机遇，拓展高附加值产品市场；深推布局、产品、客户、流向“四个优化”，提升市场响应能力和盈利水平。</w:t>
      </w:r>
    </w:p>
    <w:p>
      <w:pPr>
        <w:snapToGrid w:val="0"/>
        <w:spacing w:line="520" w:lineRule="exact"/>
        <w:ind w:firstLine="560"/>
        <w:rPr>
          <w:rFonts w:hint="eastAsia"/>
        </w:rPr>
      </w:pPr>
      <w:r>
        <w:rPr>
          <w:rFonts w:hint="eastAsia"/>
        </w:rPr>
        <w:t>资本开支方面，坚持“效益优先、量入为出”，合理控制资本开支规模，资金重点投向扩能提量、延链补链、设备升级等增量创效项目，推动资产质量持续提升。</w:t>
      </w:r>
    </w:p>
    <w:p>
      <w:pPr>
        <w:autoSpaceDE w:val="0"/>
        <w:autoSpaceDN w:val="0"/>
        <w:adjustRightInd w:val="0"/>
        <w:snapToGrid w:val="0"/>
        <w:spacing w:line="520" w:lineRule="exact"/>
        <w:ind w:firstLine="560"/>
        <w:jc w:val="left"/>
        <w:outlineLvl w:val="0"/>
        <w:rPr>
          <w:rFonts w:hint="eastAsia" w:ascii="黑体" w:hAnsi="黑体" w:eastAsia="黑体"/>
          <w:bCs/>
        </w:rPr>
      </w:pPr>
      <w:r>
        <w:rPr>
          <w:rFonts w:hint="eastAsia" w:ascii="黑体" w:hAnsi="黑体" w:eastAsia="黑体"/>
          <w:bCs/>
        </w:rPr>
        <w:t>三、规范治理，完善兖矿特色公司治理体系</w:t>
      </w:r>
    </w:p>
    <w:p>
      <w:pPr>
        <w:snapToGrid w:val="0"/>
        <w:spacing w:line="520" w:lineRule="exact"/>
        <w:ind w:firstLine="560"/>
        <w:rPr>
          <w:rFonts w:hint="eastAsia"/>
        </w:rPr>
      </w:pPr>
      <w:r>
        <w:rPr>
          <w:rFonts w:hint="eastAsia"/>
        </w:rPr>
        <w:t>2025年，公司以《章程》为核心动态优化治理制度，构建起科学完善、适配六地上市监管要求的制度保障体系；依法依规完成取消监事会改革，实现审计委员会无缝衔接；优化完善独立董事履职保障机制，推动专业优势向决策效能精准转化。再次荣获中国上市公司协会“董事会最佳实践案例”、金圆桌奖“最佳董事会”，CDP碳披露计划连续5年行业第一，保持摩根士丹利资本国际、万得ESG评级行业最高等级。</w:t>
      </w:r>
    </w:p>
    <w:p>
      <w:pPr>
        <w:snapToGrid w:val="0"/>
        <w:spacing w:line="520" w:lineRule="exact"/>
        <w:ind w:firstLine="560"/>
        <w:rPr>
          <w:rFonts w:hint="eastAsia"/>
        </w:rPr>
      </w:pPr>
      <w:r>
        <w:rPr>
          <w:rFonts w:hint="eastAsia"/>
        </w:rPr>
        <w:t>2026年公司将持续巩固完善“党的领导与公司治理深度统一、国资监管与上市规范有机融合、境内治理与境外管控协同并举”的兖矿特色治理体系。</w:t>
      </w:r>
    </w:p>
    <w:p>
      <w:pPr>
        <w:snapToGrid w:val="0"/>
        <w:spacing w:line="520" w:lineRule="exact"/>
        <w:ind w:firstLine="560"/>
        <w:rPr>
          <w:rFonts w:hint="eastAsia"/>
        </w:rPr>
      </w:pPr>
      <w:r>
        <w:rPr>
          <w:rFonts w:hint="eastAsia"/>
        </w:rPr>
        <w:t>坚持以规范提质为导向，高效有序完成公司董事会换届；根据《上市公司治理准则》完善薪酬管理体系，健全公司激励约束机制；加强权属企业管控，统筹做好治理制度的立改废释，将战略规划、重大投资等重要事项纳入权属企业章程刚性管控；强化产权代表履职管理，权属企业日常管理实现“穿透覆盖”；聚焦新并入企业、高风险业务板块等重点对象，开展上市合规审计，确保重点领域监管无死角。</w:t>
      </w:r>
    </w:p>
    <w:p>
      <w:pPr>
        <w:autoSpaceDE w:val="0"/>
        <w:autoSpaceDN w:val="0"/>
        <w:adjustRightInd w:val="0"/>
        <w:snapToGrid w:val="0"/>
        <w:spacing w:line="520" w:lineRule="exact"/>
        <w:ind w:firstLine="560"/>
        <w:jc w:val="left"/>
        <w:outlineLvl w:val="0"/>
        <w:rPr>
          <w:rFonts w:hint="eastAsia" w:ascii="黑体" w:hAnsi="黑体" w:eastAsia="黑体"/>
          <w:bCs/>
        </w:rPr>
      </w:pPr>
      <w:r>
        <w:rPr>
          <w:rFonts w:hint="eastAsia" w:ascii="黑体" w:hAnsi="黑体" w:eastAsia="黑体"/>
          <w:bCs/>
        </w:rPr>
        <w:t>四、传递价值，构建高效投关管理体系</w:t>
      </w:r>
    </w:p>
    <w:p>
      <w:pPr>
        <w:snapToGrid w:val="0"/>
        <w:spacing w:line="520" w:lineRule="exact"/>
        <w:ind w:firstLine="560"/>
        <w:rPr>
          <w:rFonts w:hint="eastAsia"/>
        </w:rPr>
      </w:pPr>
      <w:r>
        <w:rPr>
          <w:rFonts w:hint="eastAsia"/>
        </w:rPr>
        <w:t>2025年，公司</w:t>
      </w:r>
      <w:r>
        <w:t>坚持“从严不从宽、从多不从少、就高不就低”原则，以投资者需求为导向，完善信息披露和投资者沟通机制，持续传递公司价值，构建良性互动的资本市场关系。</w:t>
      </w:r>
      <w:r>
        <w:rPr>
          <w:rFonts w:hint="eastAsia"/>
        </w:rPr>
        <w:t>境内外发布公告四百余份，获得上海证券交易所信息披露A级评价，组织路演71场、业绩发布会5次、反路演活动4场，全年对接投资者两千余人次，得到资本市场高度认可。</w:t>
      </w:r>
    </w:p>
    <w:p>
      <w:pPr>
        <w:snapToGrid w:val="0"/>
        <w:spacing w:line="520" w:lineRule="exact"/>
        <w:ind w:firstLine="560"/>
        <w:rPr>
          <w:rFonts w:hint="eastAsia"/>
        </w:rPr>
      </w:pPr>
      <w:r>
        <w:rPr>
          <w:rFonts w:hint="eastAsia"/>
        </w:rPr>
        <w:t>2026年，公司将</w:t>
      </w:r>
      <w:r>
        <w:t>严格履行上市地法定信息披露义务，丰富自愿性披露内容，主动披露重大项目进展等信息，确保信息披露真实、准确、完整、及时。</w:t>
      </w:r>
      <w:r>
        <w:rPr>
          <w:rFonts w:hint="eastAsia"/>
        </w:rPr>
        <w:t>实时跟踪资本市场动向，通过信息披露、投资者沟通、新闻报道多渠道实施预期引导，维护公司价值,打造资本市场认可、投资者青睐、社会公众信任的价值标杆企业。</w:t>
      </w:r>
    </w:p>
    <w:p>
      <w:pPr>
        <w:snapToGrid w:val="0"/>
        <w:spacing w:line="520" w:lineRule="exact"/>
        <w:ind w:firstLine="560"/>
        <w:rPr>
          <w:rFonts w:hint="eastAsia"/>
        </w:rPr>
      </w:pPr>
      <w:r>
        <w:rPr>
          <w:rFonts w:hint="eastAsia"/>
        </w:rPr>
        <w:t>深化进取型投资者关系管理，常</w:t>
      </w:r>
      <w:r>
        <w:t>态化举办业绩说明会、反路演、电话会及投资者调研活动，由公司管理层带队，与全球投资者保持高频次、深层次的互动</w:t>
      </w:r>
      <w:r>
        <w:rPr>
          <w:rFonts w:hint="eastAsia"/>
        </w:rPr>
        <w:t>；深化与权威媒体、舆情机构战略合作，通过新闻报道传递生产经营实景，提升公司品牌形象；积极参与权威奖项评审，提升公司资本市场话语权及影响力；</w:t>
      </w:r>
      <w:r>
        <w:t>推进数字投关建设，通过新媒体渠道全方位发布公司动态，</w:t>
      </w:r>
      <w:r>
        <w:rPr>
          <w:rFonts w:hint="eastAsia"/>
        </w:rPr>
        <w:t>以</w:t>
      </w:r>
      <w:r>
        <w:t>通俗易懂的方式解读财务报告和经营亮点</w:t>
      </w:r>
      <w:r>
        <w:rPr>
          <w:rFonts w:hint="eastAsia"/>
        </w:rPr>
        <w:t>；</w:t>
      </w:r>
      <w:r>
        <w:t>深化市值管理，完善“135”市值管理机制，统筹价值创造、规范治理、高效沟通、价值共享等举措，提升公司市值稳定性和市场认可度，努力实现公司价值与股东利益同步提升。</w:t>
      </w:r>
    </w:p>
    <w:p>
      <w:pPr>
        <w:autoSpaceDE w:val="0"/>
        <w:autoSpaceDN w:val="0"/>
        <w:adjustRightInd w:val="0"/>
        <w:snapToGrid w:val="0"/>
        <w:spacing w:line="520" w:lineRule="exact"/>
        <w:ind w:firstLine="560"/>
        <w:jc w:val="left"/>
        <w:outlineLvl w:val="0"/>
        <w:rPr>
          <w:rFonts w:hint="eastAsia" w:ascii="黑体" w:hAnsi="黑体" w:eastAsia="黑体"/>
          <w:bCs/>
        </w:rPr>
      </w:pPr>
      <w:r>
        <w:rPr>
          <w:rFonts w:hint="eastAsia" w:ascii="黑体" w:hAnsi="黑体" w:eastAsia="黑体"/>
          <w:bCs/>
        </w:rPr>
        <w:t>五、回报股东，共享企业发展丰硕成果</w:t>
      </w:r>
    </w:p>
    <w:p>
      <w:pPr>
        <w:snapToGrid w:val="0"/>
        <w:spacing w:line="520" w:lineRule="exact"/>
        <w:ind w:firstLine="560"/>
        <w:rPr>
          <w:rFonts w:hint="eastAsia"/>
        </w:rPr>
      </w:pPr>
      <w:r>
        <w:rPr>
          <w:rFonts w:hint="eastAsia"/>
        </w:rPr>
        <w:t>2025年，</w:t>
      </w:r>
      <w:r>
        <w:t>公司</w:t>
      </w:r>
      <w:r>
        <w:rPr>
          <w:rFonts w:hint="eastAsia"/>
        </w:rPr>
        <w:t>坚持</w:t>
      </w:r>
      <w:r>
        <w:t>践行“股东至上、价值共享”理念。致力于为股东创造持续、稳定的回报</w:t>
      </w:r>
      <w:r>
        <w:rPr>
          <w:rFonts w:hint="eastAsia"/>
        </w:rPr>
        <w:t>，</w:t>
      </w:r>
      <w:r>
        <w:t>实施中期分红</w:t>
      </w:r>
      <w:r>
        <w:rPr>
          <w:rFonts w:hint="eastAsia"/>
        </w:rPr>
        <w:t>并践行分红承诺</w:t>
      </w:r>
      <w:r>
        <w:t>，</w:t>
      </w:r>
      <w:r>
        <w:rPr>
          <w:rFonts w:hint="eastAsia"/>
        </w:rPr>
        <w:t>全年派发红利50亿元，</w:t>
      </w:r>
      <w:r>
        <w:t>分红</w:t>
      </w:r>
      <w:r>
        <w:rPr>
          <w:rFonts w:hint="eastAsia"/>
        </w:rPr>
        <w:t>比率</w:t>
      </w:r>
      <w:r>
        <w:t>居行业前列。</w:t>
      </w:r>
    </w:p>
    <w:p>
      <w:pPr>
        <w:snapToGrid w:val="0"/>
        <w:spacing w:line="520" w:lineRule="exact"/>
        <w:ind w:firstLine="560"/>
        <w:rPr>
          <w:rFonts w:hint="eastAsia"/>
        </w:rPr>
      </w:pPr>
      <w:r>
        <w:rPr>
          <w:rFonts w:hint="eastAsia"/>
        </w:rPr>
        <w:t>2026年，公司将</w:t>
      </w:r>
      <w:r>
        <w:t>持续完善利润分配机制，强化股东回报，以</w:t>
      </w:r>
      <w:r>
        <w:rPr>
          <w:rFonts w:hint="eastAsia"/>
        </w:rPr>
        <w:t>“分红+增持+回购”</w:t>
      </w:r>
      <w:r>
        <w:t>实际行动增强资本市场信心</w:t>
      </w:r>
      <w:r>
        <w:rPr>
          <w:rFonts w:hint="eastAsia"/>
        </w:rPr>
        <w:t>，</w:t>
      </w:r>
      <w:r>
        <w:t>实现企业与股东共同发展。</w:t>
      </w:r>
    </w:p>
    <w:p>
      <w:pPr>
        <w:snapToGrid w:val="0"/>
        <w:spacing w:line="520" w:lineRule="exact"/>
        <w:ind w:firstLine="560"/>
        <w:rPr>
          <w:rFonts w:hint="eastAsia"/>
        </w:rPr>
      </w:pPr>
      <w:r>
        <w:t>制定</w:t>
      </w:r>
      <w:r>
        <w:rPr>
          <w:rFonts w:hint="eastAsia"/>
        </w:rPr>
        <w:t>、</w:t>
      </w:r>
      <w:r>
        <w:t>执行《2026-2028年度</w:t>
      </w:r>
      <w:r>
        <w:rPr>
          <w:rFonts w:hint="eastAsia"/>
          <w:lang w:val="en-US" w:eastAsia="zh-CN"/>
        </w:rPr>
        <w:t>股东回报规划</w:t>
      </w:r>
      <w:r>
        <w:t>》，</w:t>
      </w:r>
      <w:r>
        <w:rPr>
          <w:rFonts w:hint="eastAsia"/>
        </w:rPr>
        <w:t>维持</w:t>
      </w:r>
      <w:r>
        <w:rPr>
          <w:rFonts w:hint="eastAsia"/>
          <w:lang w:val="en-US" w:eastAsia="zh-CN"/>
        </w:rPr>
        <w:t>高比例</w:t>
      </w:r>
      <w:r>
        <w:rPr>
          <w:rFonts w:hint="eastAsia"/>
        </w:rPr>
        <w:t>分红</w:t>
      </w:r>
      <w:r>
        <w:rPr>
          <w:rFonts w:hint="eastAsia"/>
          <w:lang w:val="en-US" w:eastAsia="zh-CN"/>
        </w:rPr>
        <w:t>政策</w:t>
      </w:r>
      <w:r>
        <w:rPr>
          <w:rFonts w:hint="eastAsia"/>
        </w:rPr>
        <w:t>，保证股东回报政策的</w:t>
      </w:r>
      <w:r>
        <w:t>连续性、稳定性</w:t>
      </w:r>
      <w:r>
        <w:rPr>
          <w:rFonts w:hint="eastAsia"/>
        </w:rPr>
        <w:t>；</w:t>
      </w:r>
      <w:r>
        <w:t>推进股份回购，实施2-5亿元A+H股股份回购计划，彰显公司对自身发展的信心；</w:t>
      </w:r>
      <w:r>
        <w:rPr>
          <w:rFonts w:hint="eastAsia"/>
        </w:rPr>
        <w:t>配合</w:t>
      </w:r>
      <w:r>
        <w:t>控股股东</w:t>
      </w:r>
      <w:r>
        <w:rPr>
          <w:rFonts w:hint="eastAsia"/>
        </w:rPr>
        <w:t>实施</w:t>
      </w:r>
      <w:r>
        <w:t>股份增持，传递对公司长期投资价值的认可。</w:t>
      </w:r>
    </w:p>
    <w:p>
      <w:pPr>
        <w:snapToGrid w:val="0"/>
        <w:spacing w:line="520" w:lineRule="exact"/>
        <w:ind w:firstLine="560"/>
        <w:rPr>
          <w:rFonts w:hint="eastAsia"/>
        </w:rPr>
      </w:pPr>
    </w:p>
    <w:bookmarkEnd w:id="0"/>
    <w:p>
      <w:pPr>
        <w:snapToGrid w:val="0"/>
        <w:spacing w:line="520" w:lineRule="exact"/>
        <w:ind w:firstLine="560"/>
        <w:rPr>
          <w:rFonts w:hint="eastAsia"/>
        </w:rPr>
      </w:pPr>
      <w:r>
        <w:t>除以上具体举措外，公司将继续加强“提质增效重回报”的其他工作，</w:t>
      </w:r>
      <w:r>
        <w:rPr>
          <w:rFonts w:hint="eastAsia"/>
        </w:rPr>
        <w:t>聚焦发展新质生产力和绿色低碳转型，深化精益管理，以优异成绩为股东及利益相关方创造更多价值和回报。</w:t>
      </w:r>
    </w:p>
    <w:p>
      <w:pPr>
        <w:snapToGrid w:val="0"/>
        <w:spacing w:line="520" w:lineRule="exact"/>
        <w:ind w:firstLine="560"/>
        <w:rPr>
          <w:rFonts w:hint="eastAsia"/>
        </w:rPr>
      </w:pPr>
      <w:r>
        <w:rPr>
          <w:rFonts w:hint="eastAsia"/>
        </w:rPr>
        <w:t>本公告所涉及的战略规划、年度计划等前瞻性陈述，不构成公司对投资者的承诺，敬请投资者注意相关风险。</w:t>
      </w:r>
    </w:p>
    <w:p>
      <w:pPr>
        <w:snapToGrid w:val="0"/>
        <w:spacing w:line="520" w:lineRule="exact"/>
        <w:ind w:firstLine="560"/>
        <w:rPr>
          <w:rFonts w:hint="eastAsia"/>
        </w:rPr>
      </w:pPr>
    </w:p>
    <w:p>
      <w:pPr>
        <w:snapToGrid w:val="0"/>
        <w:spacing w:line="520" w:lineRule="exact"/>
        <w:ind w:firstLine="560"/>
        <w:rPr>
          <w:rFonts w:hint="eastAsia"/>
        </w:rPr>
      </w:pPr>
      <w:r>
        <w:rPr>
          <w:rFonts w:hint="eastAsia"/>
        </w:rPr>
        <w:t>特此公告。</w:t>
      </w:r>
    </w:p>
    <w:p>
      <w:pPr>
        <w:snapToGrid w:val="0"/>
        <w:spacing w:line="520" w:lineRule="exact"/>
        <w:ind w:firstLine="5460" w:firstLineChars="1950"/>
        <w:rPr>
          <w:rFonts w:hint="eastAsia"/>
          <w:highlight w:val="yellow"/>
        </w:rPr>
      </w:pPr>
    </w:p>
    <w:p>
      <w:pPr>
        <w:snapToGrid w:val="0"/>
        <w:spacing w:line="520" w:lineRule="exact"/>
        <w:ind w:firstLine="5460" w:firstLineChars="1950"/>
        <w:rPr>
          <w:rFonts w:hint="eastAsia"/>
          <w:highlight w:val="yellow"/>
        </w:rPr>
      </w:pPr>
    </w:p>
    <w:p>
      <w:pPr>
        <w:snapToGrid w:val="0"/>
        <w:spacing w:line="520" w:lineRule="exact"/>
        <w:ind w:firstLine="0" w:firstLineChars="0"/>
        <w:jc w:val="right"/>
        <w:rPr>
          <w:rFonts w:hint="eastAsia" w:eastAsia="宋体"/>
          <w:lang w:val="en-US" w:eastAsia="zh-CN"/>
        </w:rPr>
      </w:pPr>
      <w:r>
        <w:rPr>
          <w:rFonts w:hint="eastAsia"/>
        </w:rPr>
        <w:t>兖矿能源集团股份有限公司</w:t>
      </w:r>
      <w:r>
        <w:rPr>
          <w:rFonts w:hint="eastAsia"/>
          <w:lang w:val="en-US" w:eastAsia="zh-CN"/>
        </w:rPr>
        <w:t>董事会</w:t>
      </w:r>
    </w:p>
    <w:p>
      <w:pPr>
        <w:snapToGrid w:val="0"/>
        <w:spacing w:line="520" w:lineRule="exact"/>
        <w:ind w:right="1025" w:rightChars="366" w:firstLine="0" w:firstLineChars="0"/>
        <w:jc w:val="right"/>
        <w:rPr>
          <w:rFonts w:hint="eastAsia"/>
        </w:rPr>
      </w:pPr>
      <w:r>
        <w:t>202</w:t>
      </w:r>
      <w:r>
        <w:rPr>
          <w:rFonts w:hint="eastAsia"/>
        </w:rPr>
        <w:t>6</w:t>
      </w:r>
      <w:r>
        <w:t>年</w:t>
      </w:r>
      <w:r>
        <w:rPr>
          <w:rFonts w:hint="eastAsia"/>
        </w:rPr>
        <w:t>3</w:t>
      </w:r>
      <w:r>
        <w:t>月</w:t>
      </w:r>
      <w:r>
        <w:rPr>
          <w:rFonts w:hint="eastAsia"/>
        </w:rPr>
        <w:t>27</w:t>
      </w:r>
      <w:r>
        <w:t>日</w:t>
      </w:r>
    </w:p>
    <w:p>
      <w:pPr>
        <w:ind w:firstLine="560"/>
        <w:rPr>
          <w:rFonts w:hint="eastAsi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\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84355817"/>
      <w:docPartObj>
        <w:docPartGallery w:val="autotext"/>
      </w:docPartObj>
    </w:sdtPr>
    <w:sdtContent>
      <w:p>
        <w:pPr>
          <w:pStyle w:val="12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2"/>
      <w:ind w:firstLine="360"/>
      <w:rPr>
        <w:rFonts w:hint="eastAsia"/>
      </w:rPr>
    </w:pPr>
  </w:p>
</w:ftr>
</file>

<file path=word\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  <w:rPr>
        <w:rFonts w:hint="eastAsia"/>
      </w:rPr>
    </w:pPr>
  </w:p>
</w:ftr>
</file>

<file path=word\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  <w:rPr>
        <w:rFonts w:hint="eastAsia"/>
      </w:rPr>
    </w:pP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\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  <w:rPr>
        <w:rFonts w:hint="eastAsia"/>
      </w:rPr>
    </w:pPr>
  </w:p>
</w:hdr>
</file>

<file path=word\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  <w:rPr>
        <w:rFonts w:hint="eastAsia"/>
      </w:rPr>
    </w:pPr>
  </w:p>
</w:hdr>
</file>

<file path=word\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  <w:rPr>
        <w:rFonts w:hint="eastAsia"/>
      </w:rPr>
    </w:pPr>
  </w:p>
</w:hdr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1NmM5OTU2ZmY4Y2RiYTg3ZTQ2ZGQyMTliYjRmY2MifQ=="/>
  </w:docVars>
  <w:rsids>
    <w:rsidRoot w:val="00CF6733"/>
    <w:rsid w:val="000018F8"/>
    <w:rsid w:val="000175EB"/>
    <w:rsid w:val="000232EB"/>
    <w:rsid w:val="00024689"/>
    <w:rsid w:val="00035C01"/>
    <w:rsid w:val="00042B88"/>
    <w:rsid w:val="00050FA5"/>
    <w:rsid w:val="000549E9"/>
    <w:rsid w:val="00086FD4"/>
    <w:rsid w:val="000D0046"/>
    <w:rsid w:val="000D6F62"/>
    <w:rsid w:val="000F0ECE"/>
    <w:rsid w:val="000F155C"/>
    <w:rsid w:val="000F420D"/>
    <w:rsid w:val="001170FF"/>
    <w:rsid w:val="00117E25"/>
    <w:rsid w:val="00132E1C"/>
    <w:rsid w:val="0013413F"/>
    <w:rsid w:val="00135702"/>
    <w:rsid w:val="00164CBC"/>
    <w:rsid w:val="00175B23"/>
    <w:rsid w:val="001B4ECA"/>
    <w:rsid w:val="001C2813"/>
    <w:rsid w:val="001D02F7"/>
    <w:rsid w:val="001D7C55"/>
    <w:rsid w:val="001F0EAA"/>
    <w:rsid w:val="001F1729"/>
    <w:rsid w:val="001F48B6"/>
    <w:rsid w:val="001F70C4"/>
    <w:rsid w:val="00206AE0"/>
    <w:rsid w:val="0021668F"/>
    <w:rsid w:val="00233313"/>
    <w:rsid w:val="0024145D"/>
    <w:rsid w:val="00286F0D"/>
    <w:rsid w:val="00297374"/>
    <w:rsid w:val="002B65FF"/>
    <w:rsid w:val="002C61F5"/>
    <w:rsid w:val="002F6C0C"/>
    <w:rsid w:val="00300303"/>
    <w:rsid w:val="00310FCA"/>
    <w:rsid w:val="00315270"/>
    <w:rsid w:val="00340F6E"/>
    <w:rsid w:val="00345EC9"/>
    <w:rsid w:val="00390119"/>
    <w:rsid w:val="00392C08"/>
    <w:rsid w:val="003A2D37"/>
    <w:rsid w:val="003C5448"/>
    <w:rsid w:val="003E1825"/>
    <w:rsid w:val="003E3D1D"/>
    <w:rsid w:val="003E6911"/>
    <w:rsid w:val="003E6D05"/>
    <w:rsid w:val="003E6FA1"/>
    <w:rsid w:val="00417DD3"/>
    <w:rsid w:val="00434D8C"/>
    <w:rsid w:val="00456E46"/>
    <w:rsid w:val="00462318"/>
    <w:rsid w:val="00466355"/>
    <w:rsid w:val="00495689"/>
    <w:rsid w:val="004A61B0"/>
    <w:rsid w:val="004C00DD"/>
    <w:rsid w:val="004C756A"/>
    <w:rsid w:val="004D213A"/>
    <w:rsid w:val="004D348E"/>
    <w:rsid w:val="004D5304"/>
    <w:rsid w:val="004D79C7"/>
    <w:rsid w:val="004E6B46"/>
    <w:rsid w:val="00512E33"/>
    <w:rsid w:val="005159B4"/>
    <w:rsid w:val="00521C1E"/>
    <w:rsid w:val="00525871"/>
    <w:rsid w:val="00525917"/>
    <w:rsid w:val="00541BBE"/>
    <w:rsid w:val="005463CD"/>
    <w:rsid w:val="00570DFB"/>
    <w:rsid w:val="00573F0C"/>
    <w:rsid w:val="00576495"/>
    <w:rsid w:val="005B1967"/>
    <w:rsid w:val="005B2617"/>
    <w:rsid w:val="005B4396"/>
    <w:rsid w:val="005B5256"/>
    <w:rsid w:val="005C42F7"/>
    <w:rsid w:val="005C52DC"/>
    <w:rsid w:val="005D07FA"/>
    <w:rsid w:val="005D6A36"/>
    <w:rsid w:val="005D725C"/>
    <w:rsid w:val="005E475D"/>
    <w:rsid w:val="005E72EE"/>
    <w:rsid w:val="005F0041"/>
    <w:rsid w:val="005F0595"/>
    <w:rsid w:val="005F3B77"/>
    <w:rsid w:val="005F5CF6"/>
    <w:rsid w:val="00642232"/>
    <w:rsid w:val="00660883"/>
    <w:rsid w:val="00674961"/>
    <w:rsid w:val="00684357"/>
    <w:rsid w:val="00692ACE"/>
    <w:rsid w:val="006A1EF1"/>
    <w:rsid w:val="006A4570"/>
    <w:rsid w:val="006A7020"/>
    <w:rsid w:val="006C0612"/>
    <w:rsid w:val="00711CF1"/>
    <w:rsid w:val="00712CFC"/>
    <w:rsid w:val="00717E7C"/>
    <w:rsid w:val="0074212F"/>
    <w:rsid w:val="00760CA2"/>
    <w:rsid w:val="0079286E"/>
    <w:rsid w:val="0079340B"/>
    <w:rsid w:val="007A003D"/>
    <w:rsid w:val="007A7D51"/>
    <w:rsid w:val="007B1935"/>
    <w:rsid w:val="007C46B3"/>
    <w:rsid w:val="007D7F4A"/>
    <w:rsid w:val="007E2286"/>
    <w:rsid w:val="007E4CDB"/>
    <w:rsid w:val="007E5DC7"/>
    <w:rsid w:val="007F3E4D"/>
    <w:rsid w:val="008144C3"/>
    <w:rsid w:val="00816EA8"/>
    <w:rsid w:val="00820AF7"/>
    <w:rsid w:val="00836961"/>
    <w:rsid w:val="00853464"/>
    <w:rsid w:val="00865355"/>
    <w:rsid w:val="00865CA3"/>
    <w:rsid w:val="0088112B"/>
    <w:rsid w:val="00896F4D"/>
    <w:rsid w:val="008C1F3A"/>
    <w:rsid w:val="008E1E47"/>
    <w:rsid w:val="008F7466"/>
    <w:rsid w:val="0090086C"/>
    <w:rsid w:val="00931EFF"/>
    <w:rsid w:val="009453F6"/>
    <w:rsid w:val="00945FEC"/>
    <w:rsid w:val="0096794C"/>
    <w:rsid w:val="00984EEF"/>
    <w:rsid w:val="009971A4"/>
    <w:rsid w:val="009D244B"/>
    <w:rsid w:val="009D3229"/>
    <w:rsid w:val="009D6FAD"/>
    <w:rsid w:val="00A22AC6"/>
    <w:rsid w:val="00A30A70"/>
    <w:rsid w:val="00A311F7"/>
    <w:rsid w:val="00A37244"/>
    <w:rsid w:val="00A404E6"/>
    <w:rsid w:val="00A824E6"/>
    <w:rsid w:val="00A90FA4"/>
    <w:rsid w:val="00A94168"/>
    <w:rsid w:val="00A9660A"/>
    <w:rsid w:val="00AA4EA1"/>
    <w:rsid w:val="00AA7E80"/>
    <w:rsid w:val="00AB490D"/>
    <w:rsid w:val="00AB7DC9"/>
    <w:rsid w:val="00AC539A"/>
    <w:rsid w:val="00AD1655"/>
    <w:rsid w:val="00AD5878"/>
    <w:rsid w:val="00AD7807"/>
    <w:rsid w:val="00AE1039"/>
    <w:rsid w:val="00AF2857"/>
    <w:rsid w:val="00B01DB0"/>
    <w:rsid w:val="00B02819"/>
    <w:rsid w:val="00B128C7"/>
    <w:rsid w:val="00B16300"/>
    <w:rsid w:val="00B21B60"/>
    <w:rsid w:val="00B221F3"/>
    <w:rsid w:val="00B2351A"/>
    <w:rsid w:val="00B36663"/>
    <w:rsid w:val="00B37833"/>
    <w:rsid w:val="00B50C20"/>
    <w:rsid w:val="00B51303"/>
    <w:rsid w:val="00B51C90"/>
    <w:rsid w:val="00B572F2"/>
    <w:rsid w:val="00B57A98"/>
    <w:rsid w:val="00B73AD3"/>
    <w:rsid w:val="00BB11E0"/>
    <w:rsid w:val="00BC1FC0"/>
    <w:rsid w:val="00BC5BC7"/>
    <w:rsid w:val="00BD0836"/>
    <w:rsid w:val="00BE4AE0"/>
    <w:rsid w:val="00BF3DC3"/>
    <w:rsid w:val="00C00C96"/>
    <w:rsid w:val="00C13A94"/>
    <w:rsid w:val="00C20E83"/>
    <w:rsid w:val="00C224FA"/>
    <w:rsid w:val="00C225E6"/>
    <w:rsid w:val="00C22C60"/>
    <w:rsid w:val="00C441B9"/>
    <w:rsid w:val="00C441E6"/>
    <w:rsid w:val="00C469C0"/>
    <w:rsid w:val="00C506D7"/>
    <w:rsid w:val="00C85E11"/>
    <w:rsid w:val="00C91B90"/>
    <w:rsid w:val="00C93EC2"/>
    <w:rsid w:val="00CB1CEC"/>
    <w:rsid w:val="00CB1F8C"/>
    <w:rsid w:val="00CB21FC"/>
    <w:rsid w:val="00CC6780"/>
    <w:rsid w:val="00CC7F1C"/>
    <w:rsid w:val="00CD6761"/>
    <w:rsid w:val="00CE5F87"/>
    <w:rsid w:val="00CF6733"/>
    <w:rsid w:val="00D00009"/>
    <w:rsid w:val="00D070F3"/>
    <w:rsid w:val="00D114E7"/>
    <w:rsid w:val="00D15ADD"/>
    <w:rsid w:val="00D252BD"/>
    <w:rsid w:val="00D27C4E"/>
    <w:rsid w:val="00D41F77"/>
    <w:rsid w:val="00D51772"/>
    <w:rsid w:val="00D717EE"/>
    <w:rsid w:val="00D72880"/>
    <w:rsid w:val="00D82706"/>
    <w:rsid w:val="00D845AB"/>
    <w:rsid w:val="00DC4CF5"/>
    <w:rsid w:val="00DC6147"/>
    <w:rsid w:val="00DD33FD"/>
    <w:rsid w:val="00DD4043"/>
    <w:rsid w:val="00DE116D"/>
    <w:rsid w:val="00DE13DA"/>
    <w:rsid w:val="00DF1772"/>
    <w:rsid w:val="00DF4F77"/>
    <w:rsid w:val="00E25468"/>
    <w:rsid w:val="00E27E05"/>
    <w:rsid w:val="00E35F19"/>
    <w:rsid w:val="00E3754E"/>
    <w:rsid w:val="00E376C3"/>
    <w:rsid w:val="00E516DC"/>
    <w:rsid w:val="00E64B0E"/>
    <w:rsid w:val="00E66F7C"/>
    <w:rsid w:val="00E86749"/>
    <w:rsid w:val="00E91C65"/>
    <w:rsid w:val="00E93D01"/>
    <w:rsid w:val="00ED0EA6"/>
    <w:rsid w:val="00F10372"/>
    <w:rsid w:val="00F10B30"/>
    <w:rsid w:val="00F14EA2"/>
    <w:rsid w:val="00F24D05"/>
    <w:rsid w:val="00F277C8"/>
    <w:rsid w:val="00F31709"/>
    <w:rsid w:val="00F36101"/>
    <w:rsid w:val="00F740C2"/>
    <w:rsid w:val="00F759A3"/>
    <w:rsid w:val="00FA6068"/>
    <w:rsid w:val="00FB24A4"/>
    <w:rsid w:val="00FB79E1"/>
    <w:rsid w:val="00FC6AD7"/>
    <w:rsid w:val="00FC7E65"/>
    <w:rsid w:val="00FD64BB"/>
    <w:rsid w:val="00FE373C"/>
    <w:rsid w:val="00FE4EA7"/>
    <w:rsid w:val="22AC0B48"/>
    <w:rsid w:val="57637F31"/>
    <w:rsid w:val="6D663A3E"/>
    <w:rsid w:val="6FE0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\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宋体" w:hAnsi="宋体" w:eastAsia="宋体" w:cs="Times New Roman"/>
      <w:kern w:val="2"/>
      <w:sz w:val="28"/>
      <w:szCs w:val="28"/>
      <w:lang w:val="en-US" w:eastAsia="zh-CN" w:bidi="ar-SA"/>
      <w14:ligatures w14:val="none"/>
    </w:rPr>
  </w:style>
  <w:style w:type="paragraph" w:styleId="2">
    <w:name w:val="heading 1"/>
    <w:basedOn w:val="1"/>
    <w:next w:val="1"/>
    <w:link w:val="21"/>
    <w:qFormat/>
    <w:uiPriority w:val="9"/>
    <w:pPr>
      <w:autoSpaceDE w:val="0"/>
      <w:autoSpaceDN w:val="0"/>
      <w:adjustRightInd w:val="0"/>
      <w:spacing w:line="560" w:lineRule="exact"/>
      <w:ind w:firstLine="562"/>
      <w:jc w:val="left"/>
      <w:outlineLvl w:val="0"/>
    </w:pPr>
    <w:rPr>
      <w:b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2"/>
    <w:semiHidden/>
    <w:unhideWhenUsed/>
    <w:uiPriority w:val="99"/>
    <w:pPr>
      <w:jc w:val="left"/>
    </w:pPr>
  </w:style>
  <w:style w:type="paragraph" w:styleId="12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1"/>
    <w:qFormat/>
    <w:uiPriority w:val="11"/>
    <w:pPr>
      <w:spacing w:line="500" w:lineRule="exact"/>
      <w:jc w:val="center"/>
    </w:pPr>
    <w:rPr>
      <w:rFonts w:ascii="黑体" w:hAnsi="Times New Roman" w:eastAsia="黑体"/>
      <w:sz w:val="21"/>
      <w:szCs w:val="20"/>
    </w:rPr>
  </w:style>
  <w:style w:type="paragraph" w:styleId="1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cs="宋体"/>
      <w:kern w:val="0"/>
      <w:sz w:val="24"/>
      <w:szCs w:val="24"/>
    </w:rPr>
  </w:style>
  <w:style w:type="paragraph" w:styleId="16">
    <w:name w:val="Title"/>
    <w:basedOn w:val="1"/>
    <w:next w:val="1"/>
    <w:link w:val="30"/>
    <w:qFormat/>
    <w:uiPriority w:val="10"/>
    <w:pPr>
      <w:spacing w:line="560" w:lineRule="exact"/>
      <w:jc w:val="center"/>
    </w:pPr>
    <w:rPr>
      <w:rFonts w:ascii="黑体" w:eastAsia="黑体"/>
      <w:b/>
      <w:bCs/>
      <w:color w:val="FF0000"/>
      <w:sz w:val="36"/>
      <w:szCs w:val="36"/>
    </w:rPr>
  </w:style>
  <w:style w:type="paragraph" w:styleId="17">
    <w:name w:val="annotation subject"/>
    <w:basedOn w:val="11"/>
    <w:next w:val="11"/>
    <w:link w:val="43"/>
    <w:semiHidden/>
    <w:unhideWhenUsed/>
    <w:qFormat/>
    <w:uiPriority w:val="99"/>
    <w:rPr>
      <w:b/>
      <w:bCs/>
    </w:rPr>
  </w:style>
  <w:style w:type="character" w:styleId="2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1">
    <w:name w:val="标题 1 字符"/>
    <w:basedOn w:val="19"/>
    <w:link w:val="2"/>
    <w:qFormat/>
    <w:uiPriority w:val="9"/>
    <w:rPr>
      <w:rFonts w:ascii="宋体" w:hAnsi="宋体" w:eastAsia="宋体" w:cs="Times New Roman"/>
      <w:b/>
      <w:sz w:val="28"/>
      <w:szCs w:val="28"/>
      <w14:ligatures w14:val="none"/>
    </w:rPr>
  </w:style>
  <w:style w:type="character" w:customStyle="1" w:styleId="22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字符"/>
    <w:basedOn w:val="19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5">
    <w:name w:val="标题 5 字符"/>
    <w:basedOn w:val="19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6">
    <w:name w:val="标题 6 字符"/>
    <w:basedOn w:val="19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7">
    <w:name w:val="标题 7 字符"/>
    <w:basedOn w:val="19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9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9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9"/>
    <w:link w:val="16"/>
    <w:uiPriority w:val="10"/>
    <w:rPr>
      <w:rFonts w:ascii="黑体" w:hAnsi="Times New Roman" w:eastAsia="黑体" w:cs="Times New Roman"/>
      <w:b/>
      <w:bCs/>
      <w:color w:val="FF0000"/>
      <w:sz w:val="36"/>
      <w:szCs w:val="36"/>
      <w14:ligatures w14:val="none"/>
    </w:rPr>
  </w:style>
  <w:style w:type="character" w:customStyle="1" w:styleId="31">
    <w:name w:val="副标题 字符"/>
    <w:basedOn w:val="19"/>
    <w:link w:val="14"/>
    <w:uiPriority w:val="11"/>
    <w:rPr>
      <w:rFonts w:ascii="黑体" w:hAnsi="Times New Roman" w:eastAsia="黑体" w:cs="Times New Roman"/>
      <w:szCs w:val="20"/>
      <w14:ligatures w14:val="none"/>
    </w:rPr>
  </w:style>
  <w:style w:type="paragraph" w:styleId="32">
    <w:name w:val="Quote"/>
    <w:basedOn w:val="1"/>
    <w:next w:val="1"/>
    <w:link w:val="33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9"/>
    <w:link w:val="32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Intense Emphasis"/>
    <w:basedOn w:val="19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明显引用 字符"/>
    <w:basedOn w:val="19"/>
    <w:link w:val="36"/>
    <w:uiPriority w:val="30"/>
    <w:rPr>
      <w:i/>
      <w:iCs/>
      <w:color w:val="104862" w:themeColor="accent1" w:themeShade="BF"/>
    </w:rPr>
  </w:style>
  <w:style w:type="character" w:customStyle="1" w:styleId="38">
    <w:name w:val="Intense Reference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页眉 字符"/>
    <w:basedOn w:val="19"/>
    <w:link w:val="13"/>
    <w:uiPriority w:val="99"/>
    <w:rPr>
      <w:rFonts w:ascii="宋体" w:hAnsi="宋体" w:eastAsia="宋体" w:cs="Times New Roman"/>
      <w:sz w:val="18"/>
      <w:szCs w:val="18"/>
      <w14:ligatures w14:val="none"/>
    </w:rPr>
  </w:style>
  <w:style w:type="character" w:customStyle="1" w:styleId="40">
    <w:name w:val="页脚 字符"/>
    <w:basedOn w:val="19"/>
    <w:link w:val="12"/>
    <w:uiPriority w:val="99"/>
    <w:rPr>
      <w:rFonts w:ascii="宋体" w:hAnsi="宋体" w:eastAsia="宋体" w:cs="Times New Roman"/>
      <w:sz w:val="18"/>
      <w:szCs w:val="18"/>
      <w14:ligatures w14:val="none"/>
    </w:rPr>
  </w:style>
  <w:style w:type="paragraph" w:customStyle="1" w:styleId="41">
    <w:name w:val="Revision"/>
    <w:hidden/>
    <w:semiHidden/>
    <w:qFormat/>
    <w:uiPriority w:val="99"/>
    <w:rPr>
      <w:rFonts w:ascii="宋体" w:hAnsi="宋体" w:eastAsia="宋体" w:cs="Times New Roman"/>
      <w:kern w:val="2"/>
      <w:sz w:val="28"/>
      <w:szCs w:val="28"/>
      <w:lang w:val="en-US" w:eastAsia="zh-CN" w:bidi="ar-SA"/>
      <w14:ligatures w14:val="none"/>
    </w:rPr>
  </w:style>
  <w:style w:type="character" w:customStyle="1" w:styleId="42">
    <w:name w:val="批注文字 字符"/>
    <w:basedOn w:val="19"/>
    <w:link w:val="11"/>
    <w:semiHidden/>
    <w:uiPriority w:val="99"/>
    <w:rPr>
      <w:rFonts w:ascii="宋体" w:hAnsi="宋体" w:eastAsia="宋体" w:cs="Times New Roman"/>
      <w:sz w:val="28"/>
      <w:szCs w:val="28"/>
      <w14:ligatures w14:val="none"/>
    </w:rPr>
  </w:style>
  <w:style w:type="character" w:customStyle="1" w:styleId="43">
    <w:name w:val="批注主题 字符"/>
    <w:basedOn w:val="42"/>
    <w:link w:val="17"/>
    <w:semiHidden/>
    <w:qFormat/>
    <w:uiPriority w:val="99"/>
    <w:rPr>
      <w:rFonts w:ascii="宋体" w:hAnsi="宋体" w:eastAsia="宋体" w:cs="Times New Roman"/>
      <w:b/>
      <w:bCs/>
      <w:sz w:val="28"/>
      <w:szCs w:val="28"/>
      <w14:ligatures w14:val="none"/>
    </w:rPr>
  </w:style>
</w:styles>
</file>

<file path=word\theme\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