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A5C2"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</w:t>
      </w:r>
      <w:bookmarkStart w:id="3" w:name="_GoBack"/>
      <w:bookmarkEnd w:id="3"/>
      <w:r>
        <w:rPr>
          <w:rFonts w:ascii="黑体" w:hAnsi="黑体" w:eastAsia="黑体"/>
          <w:color w:val="000000"/>
        </w:rPr>
        <w:t xml:space="preserve">         编号：临</w:t>
      </w:r>
      <w:r>
        <w:rPr>
          <w:rFonts w:hint="eastAsia" w:ascii="黑体" w:hAnsi="黑体" w:eastAsia="黑体" w:cs="黑体"/>
        </w:rPr>
        <w:t>202</w:t>
      </w:r>
      <w:r>
        <w:rPr>
          <w:rFonts w:ascii="黑体" w:hAnsi="黑体" w:eastAsia="黑体" w:cs="黑体"/>
        </w:rPr>
        <w:t>6</w:t>
      </w:r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002</w:t>
      </w:r>
    </w:p>
    <w:p w14:paraId="02A8CF88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14:paraId="79E113E6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 w14:paraId="246D3EA8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2025年第四季度主要运营数据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2C26E6CB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2F2FB7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 w14:paraId="1AEBC8C2"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B2F2FB7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 w14:paraId="1AEBC8C2"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89C342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24AB4E8C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3217AFBD"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 w14:paraId="523CE7D5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经兖矿能源集团股份有限公司（“公司”）内部统计，2025年第四季度，公司及其附属公司煤炭业务、煤化工业务主要运营数据如下表：</w:t>
      </w:r>
    </w:p>
    <w:p w14:paraId="1E599C2E"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1237"/>
        <w:gridCol w:w="1236"/>
        <w:gridCol w:w="1236"/>
        <w:gridCol w:w="1236"/>
        <w:gridCol w:w="1236"/>
        <w:gridCol w:w="1236"/>
      </w:tblGrid>
      <w:tr w14:paraId="5930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vMerge w:val="restart"/>
            <w:shd w:val="clear" w:color="auto" w:fill="auto"/>
            <w:vAlign w:val="center"/>
          </w:tcPr>
          <w:p w14:paraId="0D6A5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14:paraId="7AABE9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3708" w:type="dxa"/>
            <w:gridSpan w:val="3"/>
            <w:vAlign w:val="center"/>
          </w:tcPr>
          <w:p w14:paraId="4308D3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 w14:paraId="2C2F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vMerge w:val="continue"/>
            <w:vAlign w:val="center"/>
          </w:tcPr>
          <w:p w14:paraId="0F76EA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A44EF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FFC92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3BDD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236" w:type="dxa"/>
            <w:vAlign w:val="center"/>
          </w:tcPr>
          <w:p w14:paraId="61D063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2025年</w:t>
            </w:r>
          </w:p>
        </w:tc>
        <w:tc>
          <w:tcPr>
            <w:tcW w:w="1236" w:type="dxa"/>
            <w:vAlign w:val="center"/>
          </w:tcPr>
          <w:p w14:paraId="6D997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236" w:type="dxa"/>
            <w:vAlign w:val="center"/>
          </w:tcPr>
          <w:p w14:paraId="636E72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 w14:paraId="654F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3F5E19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 w14:paraId="5624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33D4F15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C206C2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4,651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AD0659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4,455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2F693E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4.40 </w:t>
            </w:r>
          </w:p>
        </w:tc>
        <w:tc>
          <w:tcPr>
            <w:tcW w:w="1236" w:type="dxa"/>
            <w:vAlign w:val="center"/>
          </w:tcPr>
          <w:p w14:paraId="22B51DC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18,240 </w:t>
            </w:r>
          </w:p>
        </w:tc>
        <w:tc>
          <w:tcPr>
            <w:tcW w:w="1236" w:type="dxa"/>
            <w:vAlign w:val="center"/>
          </w:tcPr>
          <w:p w14:paraId="7AFC83A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17,162 </w:t>
            </w:r>
          </w:p>
        </w:tc>
        <w:tc>
          <w:tcPr>
            <w:tcW w:w="1236" w:type="dxa"/>
            <w:vAlign w:val="center"/>
          </w:tcPr>
          <w:p w14:paraId="6D3C5ECA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6.28 </w:t>
            </w:r>
          </w:p>
        </w:tc>
      </w:tr>
      <w:tr w14:paraId="6EA4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3AECB6AE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719C20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4,420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DB492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4,186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2D11F4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5.59 </w:t>
            </w:r>
          </w:p>
        </w:tc>
        <w:tc>
          <w:tcPr>
            <w:tcW w:w="1236" w:type="dxa"/>
            <w:vAlign w:val="center"/>
          </w:tcPr>
          <w:p w14:paraId="54626FF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17,064 </w:t>
            </w:r>
          </w:p>
        </w:tc>
        <w:tc>
          <w:tcPr>
            <w:tcW w:w="1236" w:type="dxa"/>
            <w:vAlign w:val="center"/>
          </w:tcPr>
          <w:p w14:paraId="611A143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16,505 </w:t>
            </w:r>
          </w:p>
        </w:tc>
        <w:tc>
          <w:tcPr>
            <w:tcW w:w="1236" w:type="dxa"/>
            <w:vAlign w:val="center"/>
          </w:tcPr>
          <w:p w14:paraId="3068D57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3.39 </w:t>
            </w:r>
          </w:p>
        </w:tc>
      </w:tr>
      <w:tr w14:paraId="3229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3B5D854E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28B35B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4,342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28E173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4,168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C05CE1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4.16  </w:t>
            </w:r>
          </w:p>
        </w:tc>
        <w:tc>
          <w:tcPr>
            <w:tcW w:w="1236" w:type="dxa"/>
            <w:vAlign w:val="center"/>
          </w:tcPr>
          <w:p w14:paraId="29EAE8C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16,577 </w:t>
            </w:r>
          </w:p>
        </w:tc>
        <w:tc>
          <w:tcPr>
            <w:tcW w:w="1236" w:type="dxa"/>
            <w:vAlign w:val="center"/>
          </w:tcPr>
          <w:p w14:paraId="7BB35AC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15,850 </w:t>
            </w:r>
          </w:p>
        </w:tc>
        <w:tc>
          <w:tcPr>
            <w:tcW w:w="1236" w:type="dxa"/>
            <w:vAlign w:val="center"/>
          </w:tcPr>
          <w:p w14:paraId="06C9E7A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4.59 </w:t>
            </w:r>
          </w:p>
        </w:tc>
      </w:tr>
      <w:tr w14:paraId="76EC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37FE7E5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14:paraId="16D6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17FB608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 w14:paraId="5F42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0834C98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7DB1D11A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116.52 </w:t>
            </w:r>
          </w:p>
        </w:tc>
        <w:tc>
          <w:tcPr>
            <w:tcW w:w="1236" w:type="dxa"/>
            <w:shd w:val="clear" w:color="auto" w:fill="auto"/>
          </w:tcPr>
          <w:p w14:paraId="1CF0C08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114.49 </w:t>
            </w:r>
          </w:p>
        </w:tc>
        <w:tc>
          <w:tcPr>
            <w:tcW w:w="1236" w:type="dxa"/>
            <w:shd w:val="clear" w:color="auto" w:fill="auto"/>
          </w:tcPr>
          <w:p w14:paraId="6F08662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1.77 </w:t>
            </w:r>
          </w:p>
        </w:tc>
        <w:tc>
          <w:tcPr>
            <w:tcW w:w="1236" w:type="dxa"/>
          </w:tcPr>
          <w:p w14:paraId="5CA9E65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453.96 </w:t>
            </w:r>
          </w:p>
        </w:tc>
        <w:tc>
          <w:tcPr>
            <w:tcW w:w="1236" w:type="dxa"/>
          </w:tcPr>
          <w:p w14:paraId="481A5AD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441.57 </w:t>
            </w:r>
          </w:p>
        </w:tc>
        <w:tc>
          <w:tcPr>
            <w:tcW w:w="1236" w:type="dxa"/>
          </w:tcPr>
          <w:p w14:paraId="3AD7E4A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2.80 </w:t>
            </w:r>
          </w:p>
        </w:tc>
      </w:tr>
      <w:tr w14:paraId="7420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3B197C5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71B93C1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111.53 </w:t>
            </w:r>
          </w:p>
        </w:tc>
        <w:tc>
          <w:tcPr>
            <w:tcW w:w="1236" w:type="dxa"/>
            <w:shd w:val="clear" w:color="auto" w:fill="auto"/>
          </w:tcPr>
          <w:p w14:paraId="2F8F2DB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110.36 </w:t>
            </w:r>
          </w:p>
        </w:tc>
        <w:tc>
          <w:tcPr>
            <w:tcW w:w="1236" w:type="dxa"/>
            <w:shd w:val="clear" w:color="auto" w:fill="auto"/>
          </w:tcPr>
          <w:p w14:paraId="1C90F91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1.05 </w:t>
            </w:r>
          </w:p>
        </w:tc>
        <w:tc>
          <w:tcPr>
            <w:tcW w:w="1236" w:type="dxa"/>
          </w:tcPr>
          <w:p w14:paraId="2BB98A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432.91 </w:t>
            </w:r>
          </w:p>
        </w:tc>
        <w:tc>
          <w:tcPr>
            <w:tcW w:w="1236" w:type="dxa"/>
          </w:tcPr>
          <w:p w14:paraId="6E70FEF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424.98 </w:t>
            </w:r>
          </w:p>
        </w:tc>
        <w:tc>
          <w:tcPr>
            <w:tcW w:w="1236" w:type="dxa"/>
          </w:tcPr>
          <w:p w14:paraId="52F1618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1.86 </w:t>
            </w:r>
          </w:p>
        </w:tc>
      </w:tr>
      <w:tr w14:paraId="0D98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7CC230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 w14:paraId="65B6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5D4BDFC5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07E3134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8.79 </w:t>
            </w:r>
          </w:p>
        </w:tc>
        <w:tc>
          <w:tcPr>
            <w:tcW w:w="1236" w:type="dxa"/>
            <w:shd w:val="clear" w:color="auto" w:fill="auto"/>
          </w:tcPr>
          <w:p w14:paraId="236D96E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11.59 </w:t>
            </w:r>
          </w:p>
        </w:tc>
        <w:tc>
          <w:tcPr>
            <w:tcW w:w="1236" w:type="dxa"/>
            <w:shd w:val="clear" w:color="auto" w:fill="auto"/>
          </w:tcPr>
          <w:p w14:paraId="0EE47BB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-24.14 </w:t>
            </w:r>
          </w:p>
        </w:tc>
        <w:tc>
          <w:tcPr>
            <w:tcW w:w="1236" w:type="dxa"/>
          </w:tcPr>
          <w:p w14:paraId="780166A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39.52 </w:t>
            </w:r>
          </w:p>
        </w:tc>
        <w:tc>
          <w:tcPr>
            <w:tcW w:w="1236" w:type="dxa"/>
          </w:tcPr>
          <w:p w14:paraId="5D0F869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40.11 </w:t>
            </w:r>
          </w:p>
        </w:tc>
        <w:tc>
          <w:tcPr>
            <w:tcW w:w="1236" w:type="dxa"/>
          </w:tcPr>
          <w:p w14:paraId="2B70A7C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-1.46 </w:t>
            </w:r>
          </w:p>
        </w:tc>
      </w:tr>
      <w:tr w14:paraId="2E0F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39CC0C1B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59EA788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8.41 </w:t>
            </w:r>
          </w:p>
        </w:tc>
        <w:tc>
          <w:tcPr>
            <w:tcW w:w="1236" w:type="dxa"/>
            <w:shd w:val="clear" w:color="auto" w:fill="auto"/>
          </w:tcPr>
          <w:p w14:paraId="0928BAA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10.75 </w:t>
            </w:r>
          </w:p>
        </w:tc>
        <w:tc>
          <w:tcPr>
            <w:tcW w:w="1236" w:type="dxa"/>
            <w:shd w:val="clear" w:color="auto" w:fill="auto"/>
          </w:tcPr>
          <w:p w14:paraId="7F07BEA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-21.76 </w:t>
            </w:r>
          </w:p>
        </w:tc>
        <w:tc>
          <w:tcPr>
            <w:tcW w:w="1236" w:type="dxa"/>
          </w:tcPr>
          <w:p w14:paraId="4973359A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38.99 </w:t>
            </w:r>
          </w:p>
        </w:tc>
        <w:tc>
          <w:tcPr>
            <w:tcW w:w="1236" w:type="dxa"/>
          </w:tcPr>
          <w:p w14:paraId="580681F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39.36 </w:t>
            </w:r>
          </w:p>
        </w:tc>
        <w:tc>
          <w:tcPr>
            <w:tcW w:w="1236" w:type="dxa"/>
          </w:tcPr>
          <w:p w14:paraId="3857D64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-0.94 </w:t>
            </w:r>
          </w:p>
        </w:tc>
      </w:tr>
      <w:tr w14:paraId="3E81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07E1A09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14:paraId="40DF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650F43B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7471F4C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27.63 </w:t>
            </w:r>
          </w:p>
        </w:tc>
        <w:tc>
          <w:tcPr>
            <w:tcW w:w="1236" w:type="dxa"/>
            <w:shd w:val="clear" w:color="auto" w:fill="auto"/>
          </w:tcPr>
          <w:p w14:paraId="4EB1BB6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26.87 </w:t>
            </w:r>
          </w:p>
        </w:tc>
        <w:tc>
          <w:tcPr>
            <w:tcW w:w="1236" w:type="dxa"/>
            <w:shd w:val="clear" w:color="auto" w:fill="auto"/>
          </w:tcPr>
          <w:p w14:paraId="3D8779C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2.83 </w:t>
            </w:r>
          </w:p>
        </w:tc>
        <w:tc>
          <w:tcPr>
            <w:tcW w:w="1236" w:type="dxa"/>
          </w:tcPr>
          <w:p w14:paraId="25128D7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108.19 </w:t>
            </w:r>
          </w:p>
        </w:tc>
        <w:tc>
          <w:tcPr>
            <w:tcW w:w="1236" w:type="dxa"/>
          </w:tcPr>
          <w:p w14:paraId="5444CF5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104.04 </w:t>
            </w:r>
          </w:p>
        </w:tc>
        <w:tc>
          <w:tcPr>
            <w:tcW w:w="1236" w:type="dxa"/>
          </w:tcPr>
          <w:p w14:paraId="677D1EE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3.99 </w:t>
            </w:r>
          </w:p>
        </w:tc>
      </w:tr>
      <w:tr w14:paraId="0948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1D4D4FD0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5558340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19.25 </w:t>
            </w:r>
          </w:p>
        </w:tc>
        <w:tc>
          <w:tcPr>
            <w:tcW w:w="1236" w:type="dxa"/>
            <w:shd w:val="clear" w:color="auto" w:fill="auto"/>
          </w:tcPr>
          <w:p w14:paraId="7AEEEF9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19.87 </w:t>
            </w:r>
          </w:p>
        </w:tc>
        <w:tc>
          <w:tcPr>
            <w:tcW w:w="1236" w:type="dxa"/>
            <w:shd w:val="clear" w:color="auto" w:fill="auto"/>
          </w:tcPr>
          <w:p w14:paraId="2DE2E21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-3.13 </w:t>
            </w:r>
          </w:p>
        </w:tc>
        <w:tc>
          <w:tcPr>
            <w:tcW w:w="1236" w:type="dxa"/>
          </w:tcPr>
          <w:p w14:paraId="4D973BA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76.62 </w:t>
            </w:r>
          </w:p>
        </w:tc>
        <w:tc>
          <w:tcPr>
            <w:tcW w:w="1236" w:type="dxa"/>
          </w:tcPr>
          <w:p w14:paraId="26AC630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74.30 </w:t>
            </w:r>
          </w:p>
        </w:tc>
        <w:tc>
          <w:tcPr>
            <w:tcW w:w="1236" w:type="dxa"/>
          </w:tcPr>
          <w:p w14:paraId="04042B6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3.13 </w:t>
            </w:r>
          </w:p>
        </w:tc>
      </w:tr>
      <w:tr w14:paraId="7193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4CB218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0862806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</w:p>
        </w:tc>
      </w:tr>
      <w:bookmarkEnd w:id="0"/>
      <w:tr w14:paraId="6CE5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1F560649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741B2BB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5.12 </w:t>
            </w:r>
          </w:p>
        </w:tc>
        <w:tc>
          <w:tcPr>
            <w:tcW w:w="1236" w:type="dxa"/>
            <w:shd w:val="clear" w:color="auto" w:fill="auto"/>
          </w:tcPr>
          <w:p w14:paraId="7DA1AFF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5.89 </w:t>
            </w:r>
          </w:p>
        </w:tc>
        <w:tc>
          <w:tcPr>
            <w:tcW w:w="1236" w:type="dxa"/>
            <w:shd w:val="clear" w:color="auto" w:fill="auto"/>
          </w:tcPr>
          <w:p w14:paraId="351527F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-13.04 </w:t>
            </w:r>
          </w:p>
        </w:tc>
        <w:tc>
          <w:tcPr>
            <w:tcW w:w="1236" w:type="dxa"/>
          </w:tcPr>
          <w:p w14:paraId="6117A06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23.79 </w:t>
            </w:r>
          </w:p>
        </w:tc>
        <w:tc>
          <w:tcPr>
            <w:tcW w:w="1236" w:type="dxa"/>
          </w:tcPr>
          <w:p w14:paraId="088B17F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28.46 </w:t>
            </w:r>
          </w:p>
        </w:tc>
        <w:tc>
          <w:tcPr>
            <w:tcW w:w="1236" w:type="dxa"/>
          </w:tcPr>
          <w:p w14:paraId="0E1F5EF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-16.40 </w:t>
            </w:r>
          </w:p>
        </w:tc>
      </w:tr>
      <w:tr w14:paraId="395C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1B3C57B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5AF1CD8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5.03 </w:t>
            </w:r>
          </w:p>
        </w:tc>
        <w:tc>
          <w:tcPr>
            <w:tcW w:w="1236" w:type="dxa"/>
            <w:shd w:val="clear" w:color="auto" w:fill="auto"/>
          </w:tcPr>
          <w:p w14:paraId="71B1F4F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6.00 </w:t>
            </w:r>
          </w:p>
        </w:tc>
        <w:tc>
          <w:tcPr>
            <w:tcW w:w="1236" w:type="dxa"/>
            <w:shd w:val="clear" w:color="auto" w:fill="auto"/>
          </w:tcPr>
          <w:p w14:paraId="4542679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-16.12 </w:t>
            </w:r>
          </w:p>
        </w:tc>
        <w:tc>
          <w:tcPr>
            <w:tcW w:w="1236" w:type="dxa"/>
          </w:tcPr>
          <w:p w14:paraId="188A330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23.86 </w:t>
            </w:r>
          </w:p>
        </w:tc>
        <w:tc>
          <w:tcPr>
            <w:tcW w:w="1236" w:type="dxa"/>
          </w:tcPr>
          <w:p w14:paraId="6B7F2E9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28.39 </w:t>
            </w:r>
          </w:p>
        </w:tc>
        <w:tc>
          <w:tcPr>
            <w:tcW w:w="1236" w:type="dxa"/>
          </w:tcPr>
          <w:p w14:paraId="47F07A0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-15.96 </w:t>
            </w:r>
          </w:p>
        </w:tc>
      </w:tr>
      <w:tr w14:paraId="1224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6748AE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 w14:paraId="27B3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2EE731ED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370491E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8.55 </w:t>
            </w:r>
          </w:p>
        </w:tc>
        <w:tc>
          <w:tcPr>
            <w:tcW w:w="1236" w:type="dxa"/>
            <w:shd w:val="clear" w:color="auto" w:fill="auto"/>
          </w:tcPr>
          <w:p w14:paraId="60AF659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9.58 </w:t>
            </w:r>
          </w:p>
        </w:tc>
        <w:tc>
          <w:tcPr>
            <w:tcW w:w="1236" w:type="dxa"/>
            <w:shd w:val="clear" w:color="auto" w:fill="auto"/>
          </w:tcPr>
          <w:p w14:paraId="6D86EBC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-10.78 </w:t>
            </w:r>
          </w:p>
        </w:tc>
        <w:tc>
          <w:tcPr>
            <w:tcW w:w="1236" w:type="dxa"/>
          </w:tcPr>
          <w:p w14:paraId="4C10856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35.70 </w:t>
            </w:r>
          </w:p>
        </w:tc>
        <w:tc>
          <w:tcPr>
            <w:tcW w:w="1236" w:type="dxa"/>
          </w:tcPr>
          <w:p w14:paraId="7F3960F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33.66 </w:t>
            </w:r>
          </w:p>
        </w:tc>
        <w:tc>
          <w:tcPr>
            <w:tcW w:w="1236" w:type="dxa"/>
          </w:tcPr>
          <w:p w14:paraId="587D20DA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6.08 </w:t>
            </w:r>
          </w:p>
        </w:tc>
      </w:tr>
      <w:tr w14:paraId="06A5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3223F7BD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48F4EB5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9.12 </w:t>
            </w:r>
          </w:p>
        </w:tc>
        <w:tc>
          <w:tcPr>
            <w:tcW w:w="1236" w:type="dxa"/>
            <w:shd w:val="clear" w:color="auto" w:fill="auto"/>
          </w:tcPr>
          <w:p w14:paraId="3D41D6A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10.04 </w:t>
            </w:r>
          </w:p>
        </w:tc>
        <w:tc>
          <w:tcPr>
            <w:tcW w:w="1236" w:type="dxa"/>
            <w:shd w:val="clear" w:color="auto" w:fill="auto"/>
          </w:tcPr>
          <w:p w14:paraId="4F6B66D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-9.19 </w:t>
            </w:r>
          </w:p>
        </w:tc>
        <w:tc>
          <w:tcPr>
            <w:tcW w:w="1236" w:type="dxa"/>
          </w:tcPr>
          <w:p w14:paraId="2605CFC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35.55 </w:t>
            </w:r>
          </w:p>
        </w:tc>
        <w:tc>
          <w:tcPr>
            <w:tcW w:w="1236" w:type="dxa"/>
          </w:tcPr>
          <w:p w14:paraId="6615DFD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33.60 </w:t>
            </w:r>
          </w:p>
        </w:tc>
        <w:tc>
          <w:tcPr>
            <w:tcW w:w="1236" w:type="dxa"/>
          </w:tcPr>
          <w:p w14:paraId="40469FB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5.80 </w:t>
            </w:r>
          </w:p>
        </w:tc>
      </w:tr>
      <w:tr w14:paraId="25E0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7A1BB8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 w14:paraId="5E92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2B907EE5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893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361373D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1.67 </w:t>
            </w:r>
          </w:p>
        </w:tc>
        <w:tc>
          <w:tcPr>
            <w:tcW w:w="1236" w:type="dxa"/>
            <w:shd w:val="clear" w:color="auto" w:fill="auto"/>
          </w:tcPr>
          <w:p w14:paraId="0645CFE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1.78 </w:t>
            </w:r>
          </w:p>
        </w:tc>
        <w:tc>
          <w:tcPr>
            <w:tcW w:w="1236" w:type="dxa"/>
            <w:shd w:val="clear" w:color="auto" w:fill="auto"/>
          </w:tcPr>
          <w:p w14:paraId="77426D9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-5.93 </w:t>
            </w:r>
          </w:p>
        </w:tc>
        <w:tc>
          <w:tcPr>
            <w:tcW w:w="1236" w:type="dxa"/>
          </w:tcPr>
          <w:p w14:paraId="2A44F57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7.06 </w:t>
            </w:r>
          </w:p>
        </w:tc>
        <w:tc>
          <w:tcPr>
            <w:tcW w:w="1236" w:type="dxa"/>
          </w:tcPr>
          <w:p w14:paraId="3AAC6D3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6.50 </w:t>
            </w:r>
          </w:p>
        </w:tc>
        <w:tc>
          <w:tcPr>
            <w:tcW w:w="1236" w:type="dxa"/>
          </w:tcPr>
          <w:p w14:paraId="7D9037D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8.60 </w:t>
            </w:r>
          </w:p>
        </w:tc>
      </w:tr>
      <w:tr w14:paraId="38DA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5259471F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72361EF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2.02 </w:t>
            </w:r>
          </w:p>
        </w:tc>
        <w:tc>
          <w:tcPr>
            <w:tcW w:w="1236" w:type="dxa"/>
            <w:shd w:val="clear" w:color="auto" w:fill="auto"/>
          </w:tcPr>
          <w:p w14:paraId="0D90503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1.76 </w:t>
            </w:r>
          </w:p>
        </w:tc>
        <w:tc>
          <w:tcPr>
            <w:tcW w:w="1236" w:type="dxa"/>
            <w:shd w:val="clear" w:color="auto" w:fill="auto"/>
          </w:tcPr>
          <w:p w14:paraId="753E335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14.94 </w:t>
            </w:r>
          </w:p>
        </w:tc>
        <w:tc>
          <w:tcPr>
            <w:tcW w:w="1236" w:type="dxa"/>
          </w:tcPr>
          <w:p w14:paraId="1FAAC54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7.06 </w:t>
            </w:r>
          </w:p>
        </w:tc>
        <w:tc>
          <w:tcPr>
            <w:tcW w:w="1236" w:type="dxa"/>
          </w:tcPr>
          <w:p w14:paraId="7C7C677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6.49 </w:t>
            </w:r>
          </w:p>
        </w:tc>
        <w:tc>
          <w:tcPr>
            <w:tcW w:w="1236" w:type="dxa"/>
          </w:tcPr>
          <w:p w14:paraId="713EBCD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8.73 </w:t>
            </w:r>
          </w:p>
        </w:tc>
      </w:tr>
      <w:bookmarkEnd w:id="1"/>
      <w:tr w14:paraId="010E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32935D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（七）全馏分液体石蜡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 w14:paraId="0CE9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4B05BB8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40B1AB6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10.77 </w:t>
            </w:r>
          </w:p>
        </w:tc>
        <w:tc>
          <w:tcPr>
            <w:tcW w:w="1236" w:type="dxa"/>
            <w:shd w:val="clear" w:color="auto" w:fill="auto"/>
          </w:tcPr>
          <w:p w14:paraId="071DB11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11.61 </w:t>
            </w:r>
          </w:p>
        </w:tc>
        <w:tc>
          <w:tcPr>
            <w:tcW w:w="1236" w:type="dxa"/>
            <w:shd w:val="clear" w:color="auto" w:fill="auto"/>
          </w:tcPr>
          <w:p w14:paraId="013F80F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-7.15 </w:t>
            </w:r>
          </w:p>
        </w:tc>
        <w:tc>
          <w:tcPr>
            <w:tcW w:w="1236" w:type="dxa"/>
            <w:shd w:val="clear" w:color="auto" w:fill="auto"/>
          </w:tcPr>
          <w:p w14:paraId="29B6A5E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44.74 </w:t>
            </w:r>
          </w:p>
        </w:tc>
        <w:tc>
          <w:tcPr>
            <w:tcW w:w="1236" w:type="dxa"/>
            <w:shd w:val="clear" w:color="auto" w:fill="auto"/>
          </w:tcPr>
          <w:p w14:paraId="78D6D58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11.61 </w:t>
            </w:r>
          </w:p>
        </w:tc>
        <w:tc>
          <w:tcPr>
            <w:tcW w:w="1236" w:type="dxa"/>
            <w:shd w:val="clear" w:color="auto" w:fill="auto"/>
          </w:tcPr>
          <w:p w14:paraId="0F41C10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285.52 </w:t>
            </w:r>
          </w:p>
        </w:tc>
      </w:tr>
      <w:tr w14:paraId="36DB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25BC24AE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43CA9FF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10.58 </w:t>
            </w:r>
          </w:p>
        </w:tc>
        <w:tc>
          <w:tcPr>
            <w:tcW w:w="1236" w:type="dxa"/>
            <w:shd w:val="clear" w:color="auto" w:fill="auto"/>
          </w:tcPr>
          <w:p w14:paraId="5E727DF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11.10 </w:t>
            </w:r>
          </w:p>
        </w:tc>
        <w:tc>
          <w:tcPr>
            <w:tcW w:w="1236" w:type="dxa"/>
            <w:shd w:val="clear" w:color="auto" w:fill="auto"/>
          </w:tcPr>
          <w:p w14:paraId="4724A68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-4.73 </w:t>
            </w:r>
          </w:p>
        </w:tc>
        <w:tc>
          <w:tcPr>
            <w:tcW w:w="1236" w:type="dxa"/>
            <w:shd w:val="clear" w:color="auto" w:fill="auto"/>
          </w:tcPr>
          <w:p w14:paraId="50C84DD4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44.64 </w:t>
            </w:r>
          </w:p>
        </w:tc>
        <w:tc>
          <w:tcPr>
            <w:tcW w:w="1236" w:type="dxa"/>
            <w:shd w:val="clear" w:color="auto" w:fill="auto"/>
          </w:tcPr>
          <w:p w14:paraId="5EE9D56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11.10 </w:t>
            </w:r>
          </w:p>
        </w:tc>
        <w:tc>
          <w:tcPr>
            <w:tcW w:w="1236" w:type="dxa"/>
            <w:shd w:val="clear" w:color="auto" w:fill="auto"/>
          </w:tcPr>
          <w:p w14:paraId="07A0867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302.03 </w:t>
            </w:r>
          </w:p>
        </w:tc>
      </w:tr>
      <w:tr w14:paraId="44BD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4D350C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_Hlk10868933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 w14:paraId="1888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48961CB2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397861D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14:paraId="623CA81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0.10 </w:t>
            </w:r>
          </w:p>
        </w:tc>
        <w:tc>
          <w:tcPr>
            <w:tcW w:w="1236" w:type="dxa"/>
            <w:shd w:val="clear" w:color="auto" w:fill="auto"/>
          </w:tcPr>
          <w:p w14:paraId="48A7524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14:paraId="239AC03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14:paraId="0DACF26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28.78 </w:t>
            </w:r>
          </w:p>
        </w:tc>
        <w:tc>
          <w:tcPr>
            <w:tcW w:w="1236" w:type="dxa"/>
            <w:shd w:val="clear" w:color="auto" w:fill="auto"/>
          </w:tcPr>
          <w:p w14:paraId="2A33857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</w:tr>
      <w:tr w14:paraId="476A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540027F5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7653683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14:paraId="77F84C0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1.34 </w:t>
            </w:r>
          </w:p>
        </w:tc>
        <w:tc>
          <w:tcPr>
            <w:tcW w:w="1236" w:type="dxa"/>
            <w:shd w:val="clear" w:color="auto" w:fill="auto"/>
          </w:tcPr>
          <w:p w14:paraId="5C20F6D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14:paraId="3DCBC010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14:paraId="0711ABD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30.04 </w:t>
            </w:r>
          </w:p>
        </w:tc>
        <w:tc>
          <w:tcPr>
            <w:tcW w:w="1236" w:type="dxa"/>
            <w:shd w:val="clear" w:color="auto" w:fill="auto"/>
          </w:tcPr>
          <w:p w14:paraId="3CA09E0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</w:t>
            </w:r>
          </w:p>
        </w:tc>
      </w:tr>
      <w:tr w14:paraId="7BC1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554C57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 w14:paraId="5C85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4A2013F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0DBEE34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6.94 </w:t>
            </w:r>
          </w:p>
        </w:tc>
        <w:tc>
          <w:tcPr>
            <w:tcW w:w="1236" w:type="dxa"/>
            <w:shd w:val="clear" w:color="auto" w:fill="auto"/>
          </w:tcPr>
          <w:p w14:paraId="771D25A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6.05 </w:t>
            </w:r>
          </w:p>
        </w:tc>
        <w:tc>
          <w:tcPr>
            <w:tcW w:w="1236" w:type="dxa"/>
            <w:shd w:val="clear" w:color="auto" w:fill="auto"/>
          </w:tcPr>
          <w:p w14:paraId="4B9C1E79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14.72 </w:t>
            </w:r>
          </w:p>
        </w:tc>
        <w:tc>
          <w:tcPr>
            <w:tcW w:w="1236" w:type="dxa"/>
            <w:shd w:val="clear" w:color="auto" w:fill="auto"/>
          </w:tcPr>
          <w:p w14:paraId="106558D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25.72 </w:t>
            </w:r>
          </w:p>
        </w:tc>
        <w:tc>
          <w:tcPr>
            <w:tcW w:w="1236" w:type="dxa"/>
            <w:shd w:val="clear" w:color="auto" w:fill="auto"/>
          </w:tcPr>
          <w:p w14:paraId="6694DA48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23.34 </w:t>
            </w:r>
          </w:p>
        </w:tc>
        <w:tc>
          <w:tcPr>
            <w:tcW w:w="1236" w:type="dxa"/>
            <w:shd w:val="clear" w:color="auto" w:fill="auto"/>
          </w:tcPr>
          <w:p w14:paraId="5386750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10.20 </w:t>
            </w:r>
          </w:p>
        </w:tc>
      </w:tr>
      <w:tr w14:paraId="743A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2EB4A7D7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2C25C32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6.88 </w:t>
            </w:r>
          </w:p>
        </w:tc>
        <w:tc>
          <w:tcPr>
            <w:tcW w:w="1236" w:type="dxa"/>
            <w:shd w:val="clear" w:color="auto" w:fill="auto"/>
          </w:tcPr>
          <w:p w14:paraId="45347D6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6.28 </w:t>
            </w:r>
          </w:p>
        </w:tc>
        <w:tc>
          <w:tcPr>
            <w:tcW w:w="1236" w:type="dxa"/>
            <w:shd w:val="clear" w:color="auto" w:fill="auto"/>
          </w:tcPr>
          <w:p w14:paraId="6864D26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9.53 </w:t>
            </w:r>
          </w:p>
        </w:tc>
        <w:tc>
          <w:tcPr>
            <w:tcW w:w="1236" w:type="dxa"/>
            <w:shd w:val="clear" w:color="auto" w:fill="auto"/>
          </w:tcPr>
          <w:p w14:paraId="6A530E9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25.73 </w:t>
            </w:r>
          </w:p>
        </w:tc>
        <w:tc>
          <w:tcPr>
            <w:tcW w:w="1236" w:type="dxa"/>
            <w:shd w:val="clear" w:color="auto" w:fill="auto"/>
          </w:tcPr>
          <w:p w14:paraId="050FC9E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23.50 </w:t>
            </w:r>
          </w:p>
        </w:tc>
        <w:tc>
          <w:tcPr>
            <w:tcW w:w="1236" w:type="dxa"/>
            <w:shd w:val="clear" w:color="auto" w:fill="auto"/>
          </w:tcPr>
          <w:p w14:paraId="6FACE8F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9.50 </w:t>
            </w:r>
          </w:p>
        </w:tc>
      </w:tr>
      <w:tr w14:paraId="3A85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04CBAC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尿素</w:t>
            </w:r>
          </w:p>
        </w:tc>
      </w:tr>
      <w:tr w14:paraId="025D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152FE974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 w14:paraId="4189417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18.20 </w:t>
            </w:r>
          </w:p>
        </w:tc>
        <w:tc>
          <w:tcPr>
            <w:tcW w:w="1236" w:type="dxa"/>
            <w:shd w:val="clear" w:color="auto" w:fill="auto"/>
          </w:tcPr>
          <w:p w14:paraId="02A3F6B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21.24 </w:t>
            </w:r>
          </w:p>
        </w:tc>
        <w:tc>
          <w:tcPr>
            <w:tcW w:w="1236" w:type="dxa"/>
            <w:shd w:val="clear" w:color="auto" w:fill="auto"/>
          </w:tcPr>
          <w:p w14:paraId="7C59C45E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-14.32 </w:t>
            </w:r>
          </w:p>
        </w:tc>
        <w:tc>
          <w:tcPr>
            <w:tcW w:w="1236" w:type="dxa"/>
            <w:shd w:val="clear" w:color="auto" w:fill="auto"/>
          </w:tcPr>
          <w:p w14:paraId="45D44C0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91.02 </w:t>
            </w:r>
          </w:p>
        </w:tc>
        <w:tc>
          <w:tcPr>
            <w:tcW w:w="1236" w:type="dxa"/>
            <w:shd w:val="clear" w:color="auto" w:fill="auto"/>
          </w:tcPr>
          <w:p w14:paraId="76A9916D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71.57 </w:t>
            </w:r>
          </w:p>
        </w:tc>
        <w:tc>
          <w:tcPr>
            <w:tcW w:w="1236" w:type="dxa"/>
            <w:shd w:val="clear" w:color="auto" w:fill="auto"/>
          </w:tcPr>
          <w:p w14:paraId="4DB65D43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27.17 </w:t>
            </w:r>
          </w:p>
        </w:tc>
      </w:tr>
      <w:tr w14:paraId="1DE6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 w14:paraId="3B29D17B"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 w14:paraId="3701F685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17.68 </w:t>
            </w:r>
          </w:p>
        </w:tc>
        <w:tc>
          <w:tcPr>
            <w:tcW w:w="1236" w:type="dxa"/>
            <w:shd w:val="clear" w:color="auto" w:fill="auto"/>
          </w:tcPr>
          <w:p w14:paraId="271E10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20.44 </w:t>
            </w:r>
          </w:p>
        </w:tc>
        <w:tc>
          <w:tcPr>
            <w:tcW w:w="1236" w:type="dxa"/>
            <w:shd w:val="clear" w:color="auto" w:fill="auto"/>
          </w:tcPr>
          <w:p w14:paraId="4E7149CC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-13.52 </w:t>
            </w:r>
          </w:p>
        </w:tc>
        <w:tc>
          <w:tcPr>
            <w:tcW w:w="1236" w:type="dxa"/>
            <w:shd w:val="clear" w:color="auto" w:fill="auto"/>
          </w:tcPr>
          <w:p w14:paraId="515D752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84.82 </w:t>
            </w:r>
          </w:p>
        </w:tc>
        <w:tc>
          <w:tcPr>
            <w:tcW w:w="1236" w:type="dxa"/>
            <w:shd w:val="clear" w:color="auto" w:fill="auto"/>
          </w:tcPr>
          <w:p w14:paraId="60A10AC1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66.42 </w:t>
            </w:r>
          </w:p>
        </w:tc>
        <w:tc>
          <w:tcPr>
            <w:tcW w:w="1236" w:type="dxa"/>
            <w:shd w:val="clear" w:color="auto" w:fill="auto"/>
          </w:tcPr>
          <w:p w14:paraId="30BF41C7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27.71 </w:t>
            </w:r>
          </w:p>
        </w:tc>
      </w:tr>
      <w:bookmarkEnd w:id="2"/>
    </w:tbl>
    <w:p w14:paraId="6374E5B0"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1C672156">
      <w:pPr>
        <w:snapToGrid w:val="0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①公司于2025年第三季度合并了山东能源集团西北矿业有限公司的财务报表，构成同一控制下企业合并，公司对以前期间相关数据进行了追溯调整。</w:t>
      </w:r>
    </w:p>
    <w:p w14:paraId="156D3F15">
      <w:pPr>
        <w:snapToGrid w:val="0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②商品煤销量是指出售至外部市场的自产煤及贸易煤销量之和，不包括出售至内部化工、电力板块的煤炭销量。</w:t>
      </w:r>
    </w:p>
    <w:p w14:paraId="6D1A327E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③粗液体蜡、全馏分液体石蜡、石脑油产品产量、销量</w:t>
      </w:r>
      <w:r>
        <w:rPr>
          <w:rFonts w:hint="eastAsia" w:ascii="宋体" w:hAnsi="宋体"/>
          <w:sz w:val="24"/>
          <w:szCs w:val="24"/>
        </w:rPr>
        <w:t>同比增减变动，主要是由于：陕西未来能源化工有限公司积极应对市场环境变化，进行柔性生产，不断优化产品结构，影响其化工产品产量、销量变动。</w:t>
      </w:r>
    </w:p>
    <w:p w14:paraId="786E8BD0"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④上表中产量、销量数据均经四舍五入，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 w14:paraId="7B75418C"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 w14:paraId="0ABB4958"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 w14:paraId="16E6A263"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 w14:paraId="4A0EBC07"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 w14:paraId="410BC22A"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19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 w14:paraId="505DBBB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080141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08234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 w14:paraId="3D7F3405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E4638E"/>
    <w:rsid w:val="69880F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835</Words>
  <Characters>1398</Characters>
  <Lines>12</Lines>
  <Paragraphs>3</Paragraphs>
  <TotalTime>608</TotalTime>
  <ScaleCrop>false</ScaleCrop>
  <LinksUpToDate>false</LinksUpToDate>
  <CharactersWithSpaces>1553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2024-01-03T02:15:00Z</dcterms:created>
  <dc:creator>lx</dc:creator>
  <cp:lastModifiedBy>徐沛德</cp:lastModifiedBy>
  <cp:lastPrinted>2026-01-16T09:42:00Z</cp:lastPrinted>
  <dcterms:modified xsi:type="dcterms:W3CDTF">2026-01-19T06:20:59Z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</vt:lpwstr>
  </property>
  <property fmtid="{D5CDD505-2E9C-101B-9397-08002B2CF9AE}" pid="3" name="KSOProductBuildVer">
    <vt:lpwstr>2052-12.1.0.24034</vt:lpwstr>
  </property>
  <property fmtid="{D5CDD505-2E9C-101B-9397-08002B2CF9AE}" pid="4" name="ICV">
    <vt:lpwstr>EFC5E609C5A54D8AA8007FA81C82D740_13</vt:lpwstr>
  </property>
  <property fmtid="{D5CDD505-2E9C-101B-9397-08002B2CF9AE}" pid="5" name="KSOTemplateDocerSaveRecord">
    <vt:lpwstr>eyJoZGlkIjoiYjBmMGIyNTdkYmRhZDVkOGY4ODcwZWNiYWEwYWYzNzIiLCJ1c2VySWQiOiI0NDYyMDcwMjAifQ==</vt:lpwstr>
  </property>
</Properties>
</file>