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1EE33">
      <w:pPr>
        <w:jc w:val="center"/>
        <w:rPr>
          <w:rFonts w:hint="default" w:eastAsia="黑体"/>
          <w:lang w:val="en-US" w:eastAsia="zh-CN"/>
        </w:rPr>
      </w:pPr>
      <w:r>
        <w:rPr>
          <w:rFonts w:eastAsia="黑体"/>
        </w:rPr>
        <w:t>股票代码：600188            股票简称：</w:t>
      </w:r>
      <w:r>
        <w:rPr>
          <w:rFonts w:hint="eastAsia" w:eastAsia="黑体"/>
        </w:rPr>
        <w:t>兖矿</w:t>
      </w:r>
      <w:r>
        <w:rPr>
          <w:rFonts w:eastAsia="黑体"/>
        </w:rPr>
        <w:t>能源</w:t>
      </w:r>
      <w:r>
        <w:rPr>
          <w:rFonts w:hint="eastAsia" w:eastAsia="黑体"/>
        </w:rPr>
        <w:t xml:space="preserve">             </w:t>
      </w:r>
      <w:r>
        <w:rPr>
          <w:rFonts w:eastAsia="黑体"/>
        </w:rPr>
        <w:t>编号：临</w:t>
      </w:r>
      <w:r>
        <w:rPr>
          <w:rFonts w:hint="eastAsia" w:ascii="黑体" w:hAnsi="黑体" w:eastAsia="黑体" w:cs="黑体"/>
        </w:rPr>
        <w:t>202</w:t>
      </w:r>
      <w:r>
        <w:rPr>
          <w:rFonts w:hint="eastAsia" w:ascii="黑体" w:hAnsi="黑体" w:eastAsia="黑体" w:cs="黑体"/>
          <w:lang w:val="en-US" w:eastAsia="zh-CN"/>
        </w:rPr>
        <w:t>6</w:t>
      </w:r>
      <w:r>
        <w:rPr>
          <w:rFonts w:ascii="黑体" w:hAnsi="黑体" w:eastAsia="黑体"/>
        </w:rPr>
        <w:t>-</w:t>
      </w:r>
      <w:r>
        <w:rPr>
          <w:rFonts w:hint="default" w:ascii="黑体" w:hAnsi="黑体" w:eastAsia="黑体"/>
          <w:lang w:val="en-US"/>
        </w:rPr>
        <w:t>0</w:t>
      </w:r>
      <w:r>
        <w:rPr>
          <w:rFonts w:hint="eastAsia" w:ascii="黑体" w:hAnsi="黑体" w:eastAsia="黑体"/>
          <w:lang w:val="en-US" w:eastAsia="zh-CN"/>
        </w:rPr>
        <w:t>03</w:t>
      </w:r>
      <w:bookmarkStart w:id="1" w:name="_GoBack"/>
      <w:bookmarkEnd w:id="1"/>
    </w:p>
    <w:p w14:paraId="04835C37">
      <w:pPr>
        <w:rPr>
          <w:rFonts w:eastAsia="黑体"/>
        </w:rPr>
      </w:pPr>
    </w:p>
    <w:p w14:paraId="6BC6211D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bookmarkStart w:id="0" w:name="OLE_LINK1"/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 w14:paraId="0596C16B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境外控股子公司发布20</w:t>
      </w:r>
      <w:r>
        <w:rPr>
          <w:rFonts w:ascii="黑体" w:eastAsia="黑体"/>
          <w:b/>
          <w:bCs/>
          <w:color w:val="FF0000"/>
          <w:sz w:val="36"/>
          <w:szCs w:val="36"/>
        </w:rPr>
        <w:t>2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年第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四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季度产量销量</w:t>
      </w:r>
    </w:p>
    <w:bookmarkEnd w:id="0"/>
    <w:p w14:paraId="1356DEF3">
      <w:pPr>
        <w:spacing w:line="420" w:lineRule="exact"/>
        <w:jc w:val="center"/>
        <w:rPr>
          <w:rFonts w:eastAsia="黑体"/>
          <w:bCs/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372100" cy="1072515"/>
                <wp:effectExtent l="4445" t="4445" r="14605" b="88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C011BE"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18.65pt;height:84.45pt;width:423pt;z-index:251660288;mso-width-relative:page;mso-height-relative:page;" fillcolor="#FFFFFF" filled="t" stroked="t" coordsize="21600,21600" o:gfxdata="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jPzc3XAAAABwEAAA8AAAAAAAAAAQAgAAAAIgAA&#10;AGRycy9kb3ducmV2LnhtbFBLAQIUABQAAAAIAIdO4kCt8S5bCQIAADc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1C011BE"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shape>
            </w:pict>
          </mc:Fallback>
        </mc:AlternateContent>
      </w:r>
    </w:p>
    <w:p w14:paraId="23F48B16">
      <w:pPr>
        <w:ind w:firstLine="420" w:firstLineChars="200"/>
      </w:pPr>
    </w:p>
    <w:p w14:paraId="4C6E76ED">
      <w:pPr>
        <w:ind w:firstLine="420" w:firstLineChars="200"/>
      </w:pPr>
    </w:p>
    <w:p w14:paraId="062642AE">
      <w:pPr>
        <w:ind w:firstLine="420" w:firstLineChars="200"/>
      </w:pPr>
    </w:p>
    <w:p w14:paraId="48045C88">
      <w:pPr>
        <w:ind w:firstLine="560" w:firstLineChars="200"/>
        <w:rPr>
          <w:sz w:val="28"/>
        </w:rPr>
      </w:pPr>
    </w:p>
    <w:p w14:paraId="4F7C86B1">
      <w:pPr>
        <w:spacing w:line="500" w:lineRule="exact"/>
        <w:rPr>
          <w:sz w:val="28"/>
        </w:rPr>
      </w:pPr>
    </w:p>
    <w:p w14:paraId="58CAC87F">
      <w:pPr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兖矿能源集团股份有限公司控股子公司兖煤澳大利亚有限公司（“兖煤澳洲公司”，澳大利亚证券交易所上市代码“YAL”、香港联合交易所有限公司上市代码“03668”）发布了20</w:t>
      </w: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hint="eastAsia" w:ascii="宋体" w:hAnsi="宋体"/>
          <w:sz w:val="28"/>
        </w:rPr>
        <w:t>年第</w:t>
      </w:r>
      <w:r>
        <w:rPr>
          <w:rFonts w:hint="eastAsia" w:ascii="宋体" w:hAnsi="宋体"/>
          <w:sz w:val="28"/>
          <w:lang w:val="en-US" w:eastAsia="zh-CN"/>
        </w:rPr>
        <w:t>四</w:t>
      </w:r>
      <w:r>
        <w:rPr>
          <w:rFonts w:hint="eastAsia" w:ascii="宋体" w:hAnsi="宋体"/>
          <w:sz w:val="28"/>
        </w:rPr>
        <w:t>季度运营数据公告，主要情况如下表：</w:t>
      </w:r>
    </w:p>
    <w:p w14:paraId="1EF1E67A">
      <w:pPr>
        <w:spacing w:line="500" w:lineRule="exact"/>
        <w:ind w:firstLine="6864" w:firstLineChars="3256"/>
        <w:jc w:val="right"/>
        <w:rPr>
          <w:b/>
          <w:szCs w:val="21"/>
        </w:rPr>
      </w:pPr>
      <w:r>
        <w:rPr>
          <w:rFonts w:hint="eastAsia"/>
          <w:b/>
          <w:szCs w:val="21"/>
        </w:rPr>
        <w:t xml:space="preserve">单位：百万吨 </w:t>
      </w:r>
    </w:p>
    <w:tbl>
      <w:tblPr>
        <w:tblStyle w:val="8"/>
        <w:tblW w:w="9271" w:type="dxa"/>
        <w:tblInd w:w="-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1134"/>
        <w:gridCol w:w="1052"/>
        <w:gridCol w:w="1017"/>
        <w:gridCol w:w="1134"/>
        <w:gridCol w:w="1134"/>
        <w:gridCol w:w="1191"/>
      </w:tblGrid>
      <w:tr w14:paraId="32C7A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609" w:type="dxa"/>
            <w:vMerge w:val="restart"/>
            <w:vAlign w:val="center"/>
          </w:tcPr>
          <w:p w14:paraId="3708A74E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03" w:type="dxa"/>
            <w:gridSpan w:val="3"/>
            <w:vAlign w:val="center"/>
          </w:tcPr>
          <w:p w14:paraId="0D5E48C5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 w:val="24"/>
              </w:rPr>
              <w:t xml:space="preserve">季度 </w:t>
            </w:r>
          </w:p>
        </w:tc>
        <w:tc>
          <w:tcPr>
            <w:tcW w:w="3459" w:type="dxa"/>
            <w:gridSpan w:val="3"/>
            <w:vAlign w:val="center"/>
          </w:tcPr>
          <w:p w14:paraId="51ECA40D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全年</w:t>
            </w:r>
          </w:p>
        </w:tc>
      </w:tr>
      <w:tr w14:paraId="4F8AF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609" w:type="dxa"/>
            <w:vMerge w:val="continue"/>
            <w:vAlign w:val="center"/>
          </w:tcPr>
          <w:p w14:paraId="2652B31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EF1863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1052" w:type="dxa"/>
            <w:vAlign w:val="center"/>
          </w:tcPr>
          <w:p w14:paraId="26F5A857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1017" w:type="dxa"/>
            <w:vAlign w:val="center"/>
          </w:tcPr>
          <w:p w14:paraId="70E0D0F0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增减幅</w:t>
            </w:r>
          </w:p>
        </w:tc>
        <w:tc>
          <w:tcPr>
            <w:tcW w:w="1134" w:type="dxa"/>
            <w:vAlign w:val="center"/>
          </w:tcPr>
          <w:p w14:paraId="51918DD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1134" w:type="dxa"/>
            <w:vAlign w:val="center"/>
          </w:tcPr>
          <w:p w14:paraId="5BB2A1F1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1191" w:type="dxa"/>
            <w:vAlign w:val="center"/>
          </w:tcPr>
          <w:p w14:paraId="50D11E0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增减幅</w:t>
            </w:r>
          </w:p>
        </w:tc>
      </w:tr>
      <w:tr w14:paraId="5450E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09" w:type="dxa"/>
            <w:vAlign w:val="center"/>
          </w:tcPr>
          <w:p w14:paraId="693FB20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商品煤产量</w:t>
            </w:r>
          </w:p>
          <w:p w14:paraId="16539B9D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（权益份额）</w:t>
            </w:r>
          </w:p>
        </w:tc>
        <w:tc>
          <w:tcPr>
            <w:tcW w:w="1134" w:type="dxa"/>
            <w:vAlign w:val="center"/>
          </w:tcPr>
          <w:p w14:paraId="23B2355C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10.4</w:t>
            </w:r>
          </w:p>
        </w:tc>
        <w:tc>
          <w:tcPr>
            <w:tcW w:w="1052" w:type="dxa"/>
            <w:vAlign w:val="center"/>
          </w:tcPr>
          <w:p w14:paraId="3CCBE264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9.7</w:t>
            </w:r>
          </w:p>
        </w:tc>
        <w:tc>
          <w:tcPr>
            <w:tcW w:w="1017" w:type="dxa"/>
            <w:vAlign w:val="center"/>
          </w:tcPr>
          <w:p w14:paraId="4DA82DBF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7%</w:t>
            </w:r>
          </w:p>
        </w:tc>
        <w:tc>
          <w:tcPr>
            <w:tcW w:w="1134" w:type="dxa"/>
            <w:vAlign w:val="center"/>
          </w:tcPr>
          <w:p w14:paraId="45B73E36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38.6</w:t>
            </w:r>
          </w:p>
        </w:tc>
        <w:tc>
          <w:tcPr>
            <w:tcW w:w="1134" w:type="dxa"/>
            <w:vAlign w:val="center"/>
          </w:tcPr>
          <w:p w14:paraId="397A0535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36.9</w:t>
            </w:r>
          </w:p>
        </w:tc>
        <w:tc>
          <w:tcPr>
            <w:tcW w:w="1191" w:type="dxa"/>
            <w:vAlign w:val="center"/>
          </w:tcPr>
          <w:p w14:paraId="6C6F8526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5%</w:t>
            </w:r>
          </w:p>
        </w:tc>
      </w:tr>
      <w:tr w14:paraId="76B3C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 w14:paraId="5A84CF03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商品煤销量</w:t>
            </w:r>
          </w:p>
          <w:p w14:paraId="1BD280CF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（权益份额）</w:t>
            </w:r>
          </w:p>
        </w:tc>
        <w:tc>
          <w:tcPr>
            <w:tcW w:w="1134" w:type="dxa"/>
            <w:vAlign w:val="center"/>
          </w:tcPr>
          <w:p w14:paraId="59BB123B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10.8</w:t>
            </w:r>
          </w:p>
        </w:tc>
        <w:tc>
          <w:tcPr>
            <w:tcW w:w="1052" w:type="dxa"/>
            <w:vAlign w:val="center"/>
          </w:tcPr>
          <w:p w14:paraId="0CE95C2C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10.4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1C11AE0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4%</w:t>
            </w:r>
          </w:p>
        </w:tc>
        <w:tc>
          <w:tcPr>
            <w:tcW w:w="1134" w:type="dxa"/>
            <w:vAlign w:val="center"/>
          </w:tcPr>
          <w:p w14:paraId="72E71740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38.1</w:t>
            </w:r>
          </w:p>
        </w:tc>
        <w:tc>
          <w:tcPr>
            <w:tcW w:w="1134" w:type="dxa"/>
            <w:vAlign w:val="center"/>
          </w:tcPr>
          <w:p w14:paraId="123F89F6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37.7</w:t>
            </w:r>
          </w:p>
        </w:tc>
        <w:tc>
          <w:tcPr>
            <w:tcW w:w="1191" w:type="dxa"/>
            <w:vAlign w:val="center"/>
          </w:tcPr>
          <w:p w14:paraId="2BBD3389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1%</w:t>
            </w:r>
          </w:p>
        </w:tc>
      </w:tr>
      <w:tr w14:paraId="3D589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 w14:paraId="01329EEC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平均实现价格</w:t>
            </w:r>
          </w:p>
          <w:p w14:paraId="0769CFF4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（澳元/吨）</w:t>
            </w:r>
          </w:p>
        </w:tc>
        <w:tc>
          <w:tcPr>
            <w:tcW w:w="1134" w:type="dxa"/>
            <w:vAlign w:val="center"/>
          </w:tcPr>
          <w:p w14:paraId="037373DC"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  <w:t>148</w:t>
            </w:r>
          </w:p>
        </w:tc>
        <w:tc>
          <w:tcPr>
            <w:tcW w:w="1052" w:type="dxa"/>
            <w:vAlign w:val="center"/>
          </w:tcPr>
          <w:p w14:paraId="3B7B8F2E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lang w:val="en-US" w:eastAsia="zh-CN"/>
              </w:rPr>
              <w:t>176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F38A8E7"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  <w:t>16%</w:t>
            </w:r>
          </w:p>
        </w:tc>
        <w:tc>
          <w:tcPr>
            <w:tcW w:w="1134" w:type="dxa"/>
            <w:vAlign w:val="center"/>
          </w:tcPr>
          <w:p w14:paraId="194F12FB"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  <w:t>146</w:t>
            </w:r>
          </w:p>
        </w:tc>
        <w:tc>
          <w:tcPr>
            <w:tcW w:w="1134" w:type="dxa"/>
            <w:vAlign w:val="center"/>
          </w:tcPr>
          <w:p w14:paraId="6A6E2EDA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lang w:val="en-US" w:eastAsia="zh-CN"/>
              </w:rPr>
              <w:t>176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2E6FC2F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17%</w:t>
            </w:r>
          </w:p>
        </w:tc>
      </w:tr>
    </w:tbl>
    <w:p w14:paraId="06859C98">
      <w:pPr>
        <w:spacing w:before="156" w:beforeLines="50" w:line="54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r>
        <w:fldChar w:fldCharType="begin"/>
      </w:r>
      <w:r>
        <w:instrText xml:space="preserve"> HYPERLINK "http://www2.asx.com.au" </w:instrText>
      </w:r>
      <w:r>
        <w:fldChar w:fldCharType="separate"/>
      </w:r>
      <w:r>
        <w:rPr>
          <w:rStyle w:val="13"/>
          <w:sz w:val="28"/>
          <w:szCs w:val="28"/>
        </w:rPr>
        <w:t>http://www2.asx.com.au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）及香港联合交易所有限公司网站（</w:t>
      </w:r>
      <w:r>
        <w:fldChar w:fldCharType="begin"/>
      </w:r>
      <w:r>
        <w:instrText xml:space="preserve"> HYPERLINK "http://www.asx.com.au/asx/statistics/announcements.do?by=asxCode&amp;asxCode=YAL&amp;timeframe=D&amp;period=W" </w:instrText>
      </w:r>
      <w:r>
        <w:fldChar w:fldCharType="separate"/>
      </w:r>
      <w:r>
        <w:rPr>
          <w:rStyle w:val="13"/>
          <w:sz w:val="28"/>
          <w:szCs w:val="28"/>
        </w:rPr>
        <w:t xml:space="preserve">http://www.hkexnews.hk 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）发布的报告全文。</w:t>
      </w:r>
    </w:p>
    <w:p w14:paraId="206E110C">
      <w:pPr>
        <w:spacing w:before="156" w:beforeLines="50" w:line="540" w:lineRule="exact"/>
        <w:ind w:firstLine="560" w:firstLineChars="200"/>
        <w:rPr>
          <w:rFonts w:hint="eastAsia"/>
          <w:sz w:val="28"/>
        </w:rPr>
      </w:pPr>
    </w:p>
    <w:p w14:paraId="52CA1D91">
      <w:pPr>
        <w:spacing w:before="156" w:beforeLines="50" w:line="540" w:lineRule="exact"/>
        <w:ind w:firstLine="560" w:firstLineChars="200"/>
        <w:rPr>
          <w:rFonts w:hint="eastAsia"/>
          <w:sz w:val="28"/>
        </w:rPr>
      </w:pPr>
    </w:p>
    <w:p w14:paraId="70E94F1C">
      <w:pPr>
        <w:spacing w:line="540" w:lineRule="exact"/>
        <w:ind w:firstLine="3920" w:firstLineChars="1400"/>
        <w:rPr>
          <w:sz w:val="28"/>
        </w:rPr>
      </w:pPr>
      <w:r>
        <w:rPr>
          <w:rFonts w:hint="eastAsia"/>
          <w:sz w:val="28"/>
        </w:rPr>
        <w:t>兖矿能源集团</w:t>
      </w:r>
      <w:r>
        <w:rPr>
          <w:sz w:val="28"/>
        </w:rPr>
        <w:t>股份有限公司</w:t>
      </w:r>
      <w:r>
        <w:rPr>
          <w:rFonts w:hint="eastAsia"/>
          <w:sz w:val="28"/>
        </w:rPr>
        <w:t>董事会</w:t>
      </w:r>
    </w:p>
    <w:p w14:paraId="523797DB">
      <w:pPr>
        <w:spacing w:line="540" w:lineRule="exact"/>
        <w:ind w:firstLine="5040" w:firstLineChars="18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6</w:t>
      </w:r>
      <w:r>
        <w:rPr>
          <w:rFonts w:hint="eastAsia" w:ascii="宋体" w:hAnsi="宋体"/>
          <w:sz w:val="28"/>
        </w:rPr>
        <w:t>年1月</w:t>
      </w:r>
      <w:r>
        <w:rPr>
          <w:rFonts w:hint="eastAsia" w:ascii="宋体" w:hAnsi="宋体"/>
          <w:sz w:val="28"/>
          <w:lang w:val="en-US" w:eastAsia="zh-CN"/>
        </w:rPr>
        <w:t>19</w:t>
      </w:r>
      <w:r>
        <w:rPr>
          <w:rFonts w:hint="eastAsia"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FFC69">
    <w:pPr>
      <w:pStyle w:val="5"/>
      <w:rPr>
        <w:rStyle w:val="1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A7E2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FA7E2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C01179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32C3E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5</w:t>
    </w:r>
    <w:r>
      <w:rPr>
        <w:rStyle w:val="11"/>
      </w:rPr>
      <w:fldChar w:fldCharType="end"/>
    </w:r>
  </w:p>
  <w:p w14:paraId="25C44E1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KSO_WPS_MARK_KEY" w:val="cc61b76d-8204-4216-8c74-4c47d34eebc2"/>
  </w:docVars>
  <w:rsids>
    <w:rsidRoot w:val="00DD0F32"/>
    <w:rsid w:val="0000098C"/>
    <w:rsid w:val="000017A1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4027"/>
    <w:rsid w:val="0008789E"/>
    <w:rsid w:val="00090240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6880"/>
    <w:rsid w:val="00120082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694D"/>
    <w:rsid w:val="001C5C05"/>
    <w:rsid w:val="001D77DB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665FB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E0FA8"/>
    <w:rsid w:val="002F0A46"/>
    <w:rsid w:val="002F619D"/>
    <w:rsid w:val="0030546C"/>
    <w:rsid w:val="003070E3"/>
    <w:rsid w:val="0031098F"/>
    <w:rsid w:val="00314906"/>
    <w:rsid w:val="00330E71"/>
    <w:rsid w:val="0033114F"/>
    <w:rsid w:val="00337554"/>
    <w:rsid w:val="00341DDB"/>
    <w:rsid w:val="00350EC5"/>
    <w:rsid w:val="003530E8"/>
    <w:rsid w:val="003541AC"/>
    <w:rsid w:val="0035565E"/>
    <w:rsid w:val="00363D84"/>
    <w:rsid w:val="00366180"/>
    <w:rsid w:val="0036756A"/>
    <w:rsid w:val="00367581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D6637"/>
    <w:rsid w:val="003E4BD3"/>
    <w:rsid w:val="003F0BC5"/>
    <w:rsid w:val="003F2441"/>
    <w:rsid w:val="003F5471"/>
    <w:rsid w:val="00403BAF"/>
    <w:rsid w:val="00412316"/>
    <w:rsid w:val="004216F5"/>
    <w:rsid w:val="004219CD"/>
    <w:rsid w:val="004540B5"/>
    <w:rsid w:val="0045735E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2BA3"/>
    <w:rsid w:val="005B41C7"/>
    <w:rsid w:val="005B4372"/>
    <w:rsid w:val="005B619F"/>
    <w:rsid w:val="005C0102"/>
    <w:rsid w:val="005C7CFB"/>
    <w:rsid w:val="005D405D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10C2D"/>
    <w:rsid w:val="00731E79"/>
    <w:rsid w:val="00733D27"/>
    <w:rsid w:val="00737AB9"/>
    <w:rsid w:val="00744D3E"/>
    <w:rsid w:val="00746AE0"/>
    <w:rsid w:val="00750122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743F"/>
    <w:rsid w:val="0084234C"/>
    <w:rsid w:val="008465BC"/>
    <w:rsid w:val="00850FED"/>
    <w:rsid w:val="00854F55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52F"/>
    <w:rsid w:val="00892BDD"/>
    <w:rsid w:val="008A67C3"/>
    <w:rsid w:val="008B5896"/>
    <w:rsid w:val="008D21AF"/>
    <w:rsid w:val="008D6C19"/>
    <w:rsid w:val="008E00E5"/>
    <w:rsid w:val="008F4A8F"/>
    <w:rsid w:val="008F7414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0E21"/>
    <w:rsid w:val="0096320C"/>
    <w:rsid w:val="009662E2"/>
    <w:rsid w:val="0097210C"/>
    <w:rsid w:val="00974EFA"/>
    <w:rsid w:val="009831E4"/>
    <w:rsid w:val="00985213"/>
    <w:rsid w:val="009A54E9"/>
    <w:rsid w:val="009A7876"/>
    <w:rsid w:val="009B28A6"/>
    <w:rsid w:val="009B4E63"/>
    <w:rsid w:val="009B7848"/>
    <w:rsid w:val="009D6E3D"/>
    <w:rsid w:val="009F29B2"/>
    <w:rsid w:val="00A05357"/>
    <w:rsid w:val="00A10D27"/>
    <w:rsid w:val="00A1208D"/>
    <w:rsid w:val="00A15346"/>
    <w:rsid w:val="00A23634"/>
    <w:rsid w:val="00A276C4"/>
    <w:rsid w:val="00A312E7"/>
    <w:rsid w:val="00A326D5"/>
    <w:rsid w:val="00A32C39"/>
    <w:rsid w:val="00A35746"/>
    <w:rsid w:val="00A37A2A"/>
    <w:rsid w:val="00A41097"/>
    <w:rsid w:val="00A436B3"/>
    <w:rsid w:val="00A55B77"/>
    <w:rsid w:val="00A5676D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41C0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D7044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6765"/>
    <w:rsid w:val="00C1779E"/>
    <w:rsid w:val="00C23A9D"/>
    <w:rsid w:val="00C23B4C"/>
    <w:rsid w:val="00C35345"/>
    <w:rsid w:val="00C3703D"/>
    <w:rsid w:val="00C404F0"/>
    <w:rsid w:val="00C407ED"/>
    <w:rsid w:val="00C45A5F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1046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DF7904"/>
    <w:rsid w:val="00E02D7D"/>
    <w:rsid w:val="00E031D4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0F75"/>
    <w:rsid w:val="00E623E5"/>
    <w:rsid w:val="00E63163"/>
    <w:rsid w:val="00E65F71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F106D2"/>
    <w:rsid w:val="00F11218"/>
    <w:rsid w:val="00F13681"/>
    <w:rsid w:val="00F13E84"/>
    <w:rsid w:val="00F1576E"/>
    <w:rsid w:val="00F164A1"/>
    <w:rsid w:val="00F16E76"/>
    <w:rsid w:val="00F2304F"/>
    <w:rsid w:val="00F23EF7"/>
    <w:rsid w:val="00F314F3"/>
    <w:rsid w:val="00F31EC3"/>
    <w:rsid w:val="00F32EF4"/>
    <w:rsid w:val="00F33416"/>
    <w:rsid w:val="00F50704"/>
    <w:rsid w:val="00F55501"/>
    <w:rsid w:val="00F56758"/>
    <w:rsid w:val="00F620D2"/>
    <w:rsid w:val="00F658C5"/>
    <w:rsid w:val="00F65CF6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69"/>
    <w:rsid w:val="00FB13FA"/>
    <w:rsid w:val="00FC4DC0"/>
    <w:rsid w:val="00FD159F"/>
    <w:rsid w:val="00FE2970"/>
    <w:rsid w:val="00FE48F7"/>
    <w:rsid w:val="00FF2780"/>
    <w:rsid w:val="00FF6BA8"/>
    <w:rsid w:val="00FF7CAE"/>
    <w:rsid w:val="14BC5A16"/>
    <w:rsid w:val="157E0E4B"/>
    <w:rsid w:val="1C965845"/>
    <w:rsid w:val="1EB6452A"/>
    <w:rsid w:val="235A71CA"/>
    <w:rsid w:val="26281FDF"/>
    <w:rsid w:val="2B010507"/>
    <w:rsid w:val="2B872FC2"/>
    <w:rsid w:val="2E1A0A00"/>
    <w:rsid w:val="2E734FEE"/>
    <w:rsid w:val="2F181C6E"/>
    <w:rsid w:val="31BB31DD"/>
    <w:rsid w:val="41811729"/>
    <w:rsid w:val="446D3893"/>
    <w:rsid w:val="460141E8"/>
    <w:rsid w:val="476F7E1A"/>
    <w:rsid w:val="47FC4A5F"/>
    <w:rsid w:val="4DFB1B37"/>
    <w:rsid w:val="527D4699"/>
    <w:rsid w:val="5B3A2C90"/>
    <w:rsid w:val="5C2A5AEB"/>
    <w:rsid w:val="5FED41D0"/>
    <w:rsid w:val="66622467"/>
    <w:rsid w:val="66911768"/>
    <w:rsid w:val="68676219"/>
    <w:rsid w:val="6BFF2DDB"/>
    <w:rsid w:val="6C4F77F2"/>
    <w:rsid w:val="6DEE0073"/>
    <w:rsid w:val="73716260"/>
    <w:rsid w:val="7CFB1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Header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Balloon Text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8">
    <w:name w:val="Comment Text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9">
    <w:name w:val="Comment Subject Char"/>
    <w:basedOn w:val="18"/>
    <w:link w:val="7"/>
    <w:qFormat/>
    <w:uiPriority w:val="0"/>
    <w:rPr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Table Paragraph"/>
    <w:basedOn w:val="1"/>
    <w:qFormat/>
    <w:uiPriority w:val="1"/>
    <w:pPr>
      <w:spacing w:before="124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C070B-DFC7-4BFD-A2F0-A267317861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307</Words>
  <Characters>428</Characters>
  <Lines>6</Lines>
  <Paragraphs>1</Paragraphs>
  <TotalTime>16</TotalTime>
  <ScaleCrop>false</ScaleCrop>
  <LinksUpToDate>false</LinksUpToDate>
  <CharactersWithSpaces>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2017-10-17T08:27:00Z</dcterms:created>
  <dc:creator>yzc_panst</dc:creator>
  <cp:lastModifiedBy>徐沛德</cp:lastModifiedBy>
  <cp:lastPrinted>2023-10-18T02:07:00Z</cp:lastPrinted>
  <dcterms:modified xsi:type="dcterms:W3CDTF">2026-01-19T06:21:10Z</dcterms:modified>
  <dc:title>股票代码：600188             股票简称：兖州煤业             编号：临2008-0●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5B77E7CEEC58BC6AFAE8886BEB80DBEB">
    <vt:lpwstr>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</vt:lpwstr>
  </property>
  <property fmtid="{D5CDD505-2E9C-101B-9397-08002B2CF9AE}" pid="4" name="ICV">
    <vt:lpwstr>24B0F9D7994C4685B881AC736E668204_13</vt:lpwstr>
  </property>
  <property fmtid="{D5CDD505-2E9C-101B-9397-08002B2CF9AE}" pid="5" name="KSOTemplateDocerSaveRecord">
    <vt:lpwstr>eyJoZGlkIjoiYjBmMGIyNTdkYmRhZDVkOGY4ODcwZWNiYWEwYWYzNzIiLCJ1c2VySWQiOiI0NDYyMDcwMjAifQ==</vt:lpwstr>
  </property>
</Properties>
</file>