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81122">
      <w:pPr>
        <w:adjustRightInd w:val="0"/>
        <w:snapToGrid w:val="0"/>
        <w:spacing w:line="300" w:lineRule="auto"/>
        <w:rPr>
          <w:rFonts w:hint="default" w:ascii="黑体" w:hAnsi="黑体" w:eastAsia="黑体" w:cs="Times New Roman"/>
          <w:sz w:val="21"/>
          <w:szCs w:val="21"/>
          <w:lang w:val="en-US" w:eastAsia="zh-CN"/>
        </w:rPr>
      </w:pPr>
      <w:r>
        <w:rPr>
          <w:rFonts w:hint="eastAsia" w:ascii="黑体" w:hAnsi="黑体" w:eastAsia="黑体" w:cs="Times New Roman"/>
          <w:sz w:val="21"/>
          <w:szCs w:val="21"/>
        </w:rPr>
        <w:t>股票</w:t>
      </w:r>
      <w:r>
        <w:rPr>
          <w:rFonts w:ascii="黑体" w:hAnsi="黑体" w:eastAsia="黑体" w:cs="Times New Roman"/>
          <w:sz w:val="21"/>
          <w:szCs w:val="21"/>
        </w:rPr>
        <w:t xml:space="preserve">代码：600188      </w:t>
      </w:r>
      <w:r>
        <w:rPr>
          <w:rFonts w:hint="eastAsia" w:ascii="黑体" w:hAnsi="黑体" w:eastAsia="黑体" w:cs="Times New Roman"/>
          <w:sz w:val="21"/>
          <w:szCs w:val="21"/>
        </w:rPr>
        <w:t xml:space="preserve"> </w:t>
      </w:r>
      <w:r>
        <w:rPr>
          <w:rFonts w:ascii="黑体" w:hAnsi="黑体" w:eastAsia="黑体" w:cs="Times New Roman"/>
          <w:sz w:val="21"/>
          <w:szCs w:val="21"/>
        </w:rPr>
        <w:t xml:space="preserve">     </w:t>
      </w:r>
      <w:r>
        <w:rPr>
          <w:rFonts w:hint="eastAsia" w:ascii="黑体" w:hAnsi="黑体" w:eastAsia="黑体" w:cs="Times New Roman"/>
          <w:sz w:val="21"/>
          <w:szCs w:val="21"/>
        </w:rPr>
        <w:t>股票</w:t>
      </w:r>
      <w:r>
        <w:rPr>
          <w:rFonts w:ascii="黑体" w:hAnsi="黑体" w:eastAsia="黑体" w:cs="Times New Roman"/>
          <w:sz w:val="21"/>
          <w:szCs w:val="21"/>
        </w:rPr>
        <w:t xml:space="preserve">简称：兖矿能源    </w:t>
      </w:r>
      <w:r>
        <w:rPr>
          <w:rFonts w:hint="eastAsia" w:ascii="黑体" w:hAnsi="黑体" w:eastAsia="黑体" w:cs="Times New Roman"/>
          <w:sz w:val="21"/>
          <w:szCs w:val="21"/>
        </w:rPr>
        <w:t xml:space="preserve"> </w:t>
      </w:r>
      <w:r>
        <w:rPr>
          <w:rFonts w:ascii="黑体" w:hAnsi="黑体" w:eastAsia="黑体" w:cs="Times New Roman"/>
          <w:sz w:val="21"/>
          <w:szCs w:val="21"/>
        </w:rPr>
        <w:t xml:space="preserve">      编号：临202</w:t>
      </w:r>
      <w:r>
        <w:rPr>
          <w:rFonts w:hint="eastAsia" w:ascii="黑体" w:hAnsi="黑体" w:eastAsia="黑体" w:cs="Times New Roman"/>
          <w:sz w:val="21"/>
          <w:szCs w:val="21"/>
        </w:rPr>
        <w:t>5</w:t>
      </w:r>
      <w:r>
        <w:rPr>
          <w:rFonts w:ascii="黑体" w:hAnsi="黑体" w:eastAsia="黑体" w:cs="Times New Roman"/>
          <w:sz w:val="21"/>
          <w:szCs w:val="21"/>
        </w:rPr>
        <w:t>-</w:t>
      </w:r>
      <w:r>
        <w:rPr>
          <w:rFonts w:hint="eastAsia" w:ascii="黑体" w:hAnsi="黑体" w:eastAsia="黑体" w:cs="Times New Roman"/>
          <w:sz w:val="21"/>
          <w:szCs w:val="21"/>
          <w:lang w:val="en-US" w:eastAsia="zh-CN"/>
        </w:rPr>
        <w:t>071</w:t>
      </w:r>
      <w:bookmarkStart w:id="6" w:name="_GoBack"/>
      <w:bookmarkEnd w:id="6"/>
    </w:p>
    <w:p w14:paraId="2519A509">
      <w:pPr>
        <w:adjustRightInd w:val="0"/>
        <w:snapToGrid w:val="0"/>
        <w:spacing w:line="560" w:lineRule="exact"/>
        <w:jc w:val="center"/>
        <w:rPr>
          <w:rFonts w:ascii="仿宋_GB2312" w:hAnsi="宋体" w:eastAsia="仿宋_GB2312"/>
          <w:sz w:val="30"/>
          <w:szCs w:val="30"/>
        </w:rPr>
      </w:pPr>
    </w:p>
    <w:p w14:paraId="1508F25E">
      <w:pPr>
        <w:spacing w:line="520" w:lineRule="exact"/>
        <w:jc w:val="center"/>
        <w:rPr>
          <w:rFonts w:hint="eastAsia" w:eastAsia="黑体"/>
          <w:b/>
          <w:bCs/>
          <w:color w:val="FF0000"/>
          <w:sz w:val="36"/>
          <w:szCs w:val="36"/>
        </w:rPr>
      </w:pPr>
      <w:r>
        <w:rPr>
          <w:rFonts w:hint="eastAsia" w:eastAsia="黑体"/>
          <w:b/>
          <w:bCs/>
          <w:color w:val="FF0000"/>
          <w:sz w:val="36"/>
          <w:szCs w:val="36"/>
        </w:rPr>
        <w:t>兖矿能源集团股份有限公司</w:t>
      </w:r>
    </w:p>
    <w:p w14:paraId="12B9B7DC">
      <w:pPr>
        <w:spacing w:line="520" w:lineRule="exact"/>
        <w:jc w:val="center"/>
        <w:rPr>
          <w:rFonts w:eastAsia="黑体"/>
          <w:b/>
          <w:bCs/>
          <w:color w:val="FF0000"/>
          <w:sz w:val="36"/>
          <w:szCs w:val="36"/>
        </w:rPr>
      </w:pPr>
      <w:r>
        <w:rPr>
          <w:rFonts w:hint="eastAsia" w:eastAsia="黑体"/>
          <w:b/>
          <w:bCs/>
          <w:color w:val="FF0000"/>
          <w:sz w:val="36"/>
          <w:szCs w:val="36"/>
        </w:rPr>
        <w:t>关于收购山东能源装备集团高端支架制造有限公司100%股权暨关联交易公告</w:t>
      </w:r>
    </w:p>
    <w:p w14:paraId="2BAAB8E3">
      <w:pPr>
        <w:adjustRightInd w:val="0"/>
        <w:snapToGrid w:val="0"/>
        <w:spacing w:line="360" w:lineRule="auto"/>
        <w:jc w:val="center"/>
        <w:rPr>
          <w:rFonts w:ascii="宋体" w:hAnsi="宋体"/>
          <w:sz w:val="24"/>
        </w:rPr>
      </w:pPr>
    </w:p>
    <w:p w14:paraId="61417EC7">
      <w:pPr>
        <w:pBdr>
          <w:top w:val="single" w:color="auto" w:sz="4" w:space="1"/>
          <w:left w:val="single" w:color="auto" w:sz="4" w:space="4"/>
          <w:bottom w:val="single" w:color="auto" w:sz="4" w:space="2"/>
          <w:right w:val="single" w:color="auto" w:sz="4" w:space="4"/>
        </w:pBdr>
        <w:adjustRightInd w:val="0"/>
        <w:spacing w:line="560" w:lineRule="exact"/>
        <w:ind w:firstLine="560" w:firstLineChars="200"/>
        <w:rPr>
          <w:rFonts w:ascii="宋体" w:hAnsi="宋体"/>
          <w:color w:val="000000"/>
          <w:sz w:val="28"/>
          <w:szCs w:val="28"/>
        </w:rPr>
      </w:pPr>
      <w:r>
        <w:rPr>
          <w:rFonts w:hint="eastAsia" w:ascii="宋体" w:hAnsi="宋体"/>
          <w:color w:val="000000"/>
          <w:sz w:val="28"/>
          <w:szCs w:val="28"/>
        </w:rPr>
        <w:t>本公司董事会及全体董事保证本公告内容不存在任何虚假记载、误导性陈述或者重大遗漏，并对其内容的真实性、准确性和完整性承担法律责任。</w:t>
      </w:r>
    </w:p>
    <w:p w14:paraId="7B331478">
      <w:pPr>
        <w:adjustRightInd w:val="0"/>
        <w:snapToGrid w:val="0"/>
        <w:spacing w:line="360" w:lineRule="auto"/>
        <w:rPr>
          <w:rFonts w:ascii="宋体" w:hAnsi="宋体"/>
          <w:color w:val="000000"/>
          <w:sz w:val="24"/>
        </w:rPr>
      </w:pPr>
    </w:p>
    <w:p w14:paraId="0E2ECBD2">
      <w:pPr>
        <w:adjustRightInd w:val="0"/>
        <w:snapToGrid w:val="0"/>
        <w:spacing w:line="560" w:lineRule="exact"/>
        <w:ind w:firstLine="602" w:firstLineChars="200"/>
        <w:rPr>
          <w:rFonts w:ascii="宋体" w:hAnsi="宋体" w:cs="仿宋_GB2312"/>
          <w:b/>
          <w:bCs/>
          <w:color w:val="000000"/>
          <w:sz w:val="30"/>
          <w:szCs w:val="30"/>
        </w:rPr>
      </w:pPr>
      <w:r>
        <w:rPr>
          <w:rFonts w:hint="eastAsia" w:ascii="宋体" w:hAnsi="宋体" w:cs="仿宋_GB2312"/>
          <w:b/>
          <w:bCs/>
          <w:color w:val="000000"/>
          <w:sz w:val="30"/>
          <w:szCs w:val="30"/>
        </w:rPr>
        <w:t>重要内容提示：</w:t>
      </w:r>
    </w:p>
    <w:p w14:paraId="00D299AF">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901" w:hanging="420"/>
        <w:textAlignment w:val="auto"/>
        <w:rPr>
          <w:rFonts w:ascii="宋体" w:hAnsi="宋体"/>
          <w:sz w:val="28"/>
          <w:szCs w:val="28"/>
        </w:rPr>
      </w:pPr>
      <w:r>
        <w:rPr>
          <w:rFonts w:hint="eastAsia" w:ascii="宋体" w:hAnsi="宋体"/>
          <w:sz w:val="28"/>
          <w:szCs w:val="28"/>
        </w:rPr>
        <w:t>兖矿能源集团股份有限公司（“兖矿能源”“公司”）</w:t>
      </w:r>
      <w:r>
        <w:rPr>
          <w:rFonts w:hint="eastAsia" w:ascii="宋体" w:hAnsi="宋体"/>
          <w:sz w:val="28"/>
          <w:szCs w:val="28"/>
          <w:lang w:val="en-US" w:eastAsia="zh-CN"/>
        </w:rPr>
        <w:t>全资附属公司</w:t>
      </w:r>
      <w:r>
        <w:rPr>
          <w:rFonts w:hint="eastAsia" w:ascii="宋体" w:hAnsi="宋体" w:eastAsia="宋体" w:cs="宋体"/>
          <w:sz w:val="28"/>
          <w:szCs w:val="30"/>
          <w:lang w:val="en-US" w:eastAsia="zh-CN"/>
        </w:rPr>
        <w:t>兖矿东华重工有限公司（“东华重工”）</w:t>
      </w:r>
      <w:r>
        <w:rPr>
          <w:rFonts w:hint="eastAsia" w:ascii="宋体" w:hAnsi="宋体" w:cs="宋体"/>
          <w:sz w:val="28"/>
          <w:szCs w:val="30"/>
          <w:lang w:val="en-US" w:eastAsia="zh-CN"/>
        </w:rPr>
        <w:t>，</w:t>
      </w:r>
      <w:r>
        <w:rPr>
          <w:rFonts w:hint="eastAsia" w:ascii="宋体" w:hAnsi="宋体"/>
          <w:sz w:val="28"/>
          <w:szCs w:val="28"/>
        </w:rPr>
        <w:t>拟</w:t>
      </w:r>
      <w:r>
        <w:rPr>
          <w:rFonts w:hint="eastAsia" w:ascii="宋体" w:hAnsi="宋体"/>
          <w:sz w:val="28"/>
          <w:szCs w:val="28"/>
          <w:lang w:val="en-US" w:eastAsia="zh-CN"/>
        </w:rPr>
        <w:t>收购山东能源集团重型装备制造（集团）有限公司（“山能装备”）持有的山东能源装备集团高端支架制造有限公司（“高端支架公司”）100%股权</w:t>
      </w:r>
      <w:r>
        <w:rPr>
          <w:rFonts w:hint="eastAsia" w:ascii="宋体" w:hAnsi="宋体"/>
          <w:sz w:val="28"/>
          <w:szCs w:val="28"/>
        </w:rPr>
        <w:t>（“本次</w:t>
      </w:r>
      <w:r>
        <w:rPr>
          <w:rFonts w:hint="eastAsia" w:ascii="宋体" w:hAnsi="宋体"/>
          <w:sz w:val="28"/>
          <w:szCs w:val="28"/>
          <w:lang w:val="en-US" w:eastAsia="zh-CN"/>
        </w:rPr>
        <w:t>交易</w:t>
      </w:r>
      <w:r>
        <w:rPr>
          <w:rFonts w:hint="eastAsia" w:ascii="宋体" w:hAnsi="宋体"/>
          <w:sz w:val="28"/>
          <w:szCs w:val="28"/>
        </w:rPr>
        <w:t>”）。</w:t>
      </w:r>
    </w:p>
    <w:p w14:paraId="2FAE3A9E">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901" w:hanging="420"/>
        <w:textAlignment w:val="auto"/>
        <w:rPr>
          <w:rFonts w:ascii="宋体" w:hAnsi="宋体"/>
          <w:sz w:val="28"/>
          <w:szCs w:val="28"/>
        </w:rPr>
      </w:pPr>
      <w:r>
        <w:rPr>
          <w:rFonts w:hint="eastAsia" w:ascii="宋体" w:hAnsi="宋体"/>
          <w:sz w:val="28"/>
          <w:szCs w:val="28"/>
        </w:rPr>
        <w:t>本次交易构成关联交易</w:t>
      </w:r>
      <w:r>
        <w:rPr>
          <w:rFonts w:hint="eastAsia" w:ascii="宋体" w:hAnsi="宋体"/>
          <w:sz w:val="28"/>
          <w:szCs w:val="28"/>
          <w:lang w:eastAsia="zh-CN"/>
        </w:rPr>
        <w:t>。</w:t>
      </w:r>
    </w:p>
    <w:p w14:paraId="75C6875C">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901" w:hanging="420"/>
        <w:textAlignment w:val="auto"/>
        <w:rPr>
          <w:rFonts w:ascii="宋体" w:hAnsi="宋体"/>
          <w:sz w:val="28"/>
          <w:szCs w:val="28"/>
        </w:rPr>
      </w:pPr>
      <w:r>
        <w:rPr>
          <w:rFonts w:hint="eastAsia" w:ascii="宋体" w:hAnsi="宋体"/>
          <w:sz w:val="28"/>
          <w:szCs w:val="28"/>
        </w:rPr>
        <w:t>本次交易未构成重大资产重组</w:t>
      </w:r>
      <w:r>
        <w:rPr>
          <w:rFonts w:hint="eastAsia" w:ascii="宋体" w:hAnsi="宋体"/>
          <w:sz w:val="28"/>
          <w:szCs w:val="28"/>
          <w:lang w:eastAsia="zh-CN"/>
        </w:rPr>
        <w:t>。</w:t>
      </w:r>
    </w:p>
    <w:p w14:paraId="62A07B15">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901" w:hanging="420"/>
        <w:textAlignment w:val="auto"/>
        <w:rPr>
          <w:rFonts w:ascii="宋体" w:hAnsi="宋体"/>
          <w:sz w:val="28"/>
          <w:szCs w:val="28"/>
        </w:rPr>
      </w:pPr>
      <w:r>
        <w:rPr>
          <w:rFonts w:hint="eastAsia" w:ascii="宋体" w:hAnsi="宋体"/>
          <w:sz w:val="28"/>
          <w:szCs w:val="28"/>
        </w:rPr>
        <w:t>本次交易已经公司第九届董事会第</w:t>
      </w:r>
      <w:r>
        <w:rPr>
          <w:rFonts w:hint="eastAsia" w:ascii="宋体" w:hAnsi="宋体"/>
          <w:sz w:val="28"/>
          <w:szCs w:val="28"/>
          <w:lang w:val="en-US" w:eastAsia="zh-CN"/>
        </w:rPr>
        <w:t>二十</w:t>
      </w:r>
      <w:r>
        <w:rPr>
          <w:rFonts w:hint="eastAsia" w:ascii="宋体" w:hAnsi="宋体"/>
          <w:sz w:val="28"/>
          <w:szCs w:val="28"/>
        </w:rPr>
        <w:t>次会议审议</w:t>
      </w:r>
      <w:r>
        <w:rPr>
          <w:rFonts w:hint="eastAsia" w:ascii="宋体" w:hAnsi="宋体"/>
          <w:sz w:val="28"/>
          <w:szCs w:val="28"/>
          <w:lang w:val="en-US" w:eastAsia="zh-CN"/>
        </w:rPr>
        <w:t>批准</w:t>
      </w:r>
      <w:r>
        <w:rPr>
          <w:rFonts w:hint="eastAsia" w:ascii="宋体" w:hAnsi="宋体"/>
          <w:sz w:val="28"/>
          <w:szCs w:val="28"/>
        </w:rPr>
        <w:t>，无需提交公司股东会审议。</w:t>
      </w:r>
    </w:p>
    <w:p w14:paraId="43BB9D8E">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901" w:hanging="420"/>
        <w:textAlignment w:val="auto"/>
        <w:rPr>
          <w:rFonts w:ascii="黑体" w:hAnsi="黑体" w:eastAsia="黑体"/>
          <w:b/>
          <w:color w:val="000000"/>
          <w:sz w:val="30"/>
          <w:szCs w:val="30"/>
        </w:rPr>
      </w:pPr>
      <w:r>
        <w:rPr>
          <w:rFonts w:hint="eastAsia" w:ascii="宋体" w:hAnsi="宋体"/>
          <w:sz w:val="28"/>
          <w:szCs w:val="28"/>
        </w:rPr>
        <w:t>截至本公告日，除日常关联交易外，过去12个月内公司与控股股东山东能源集团有限公司</w:t>
      </w:r>
      <w:r>
        <w:rPr>
          <w:rFonts w:hint="eastAsia" w:ascii="宋体" w:hAnsi="宋体"/>
          <w:sz w:val="28"/>
          <w:szCs w:val="28"/>
          <w:lang w:eastAsia="zh-CN"/>
        </w:rPr>
        <w:t>（“</w:t>
      </w:r>
      <w:r>
        <w:rPr>
          <w:rFonts w:hint="eastAsia" w:ascii="宋体" w:hAnsi="宋体"/>
          <w:sz w:val="28"/>
          <w:szCs w:val="28"/>
          <w:lang w:val="en-US" w:eastAsia="zh-CN"/>
        </w:rPr>
        <w:t>山东能源</w:t>
      </w:r>
      <w:r>
        <w:rPr>
          <w:rFonts w:hint="eastAsia" w:ascii="宋体" w:hAnsi="宋体"/>
          <w:sz w:val="28"/>
          <w:szCs w:val="28"/>
          <w:lang w:eastAsia="zh-CN"/>
        </w:rPr>
        <w:t>”）</w:t>
      </w:r>
      <w:r>
        <w:rPr>
          <w:rFonts w:hint="eastAsia" w:ascii="宋体" w:hAnsi="宋体"/>
          <w:sz w:val="28"/>
          <w:szCs w:val="28"/>
        </w:rPr>
        <w:t>及其下属公司发生的关联交易累计次数为</w:t>
      </w:r>
      <w:r>
        <w:rPr>
          <w:rFonts w:hint="eastAsia" w:ascii="宋体" w:hAnsi="宋体"/>
          <w:sz w:val="28"/>
          <w:szCs w:val="28"/>
          <w:lang w:val="en-US" w:eastAsia="zh-CN"/>
        </w:rPr>
        <w:t>5</w:t>
      </w:r>
      <w:r>
        <w:rPr>
          <w:rFonts w:hint="eastAsia" w:ascii="宋体" w:hAnsi="宋体"/>
          <w:sz w:val="28"/>
          <w:szCs w:val="28"/>
        </w:rPr>
        <w:t>次，金额为</w:t>
      </w:r>
      <w:r>
        <w:rPr>
          <w:rFonts w:hint="eastAsia" w:ascii="宋体" w:hAnsi="宋体"/>
          <w:sz w:val="28"/>
          <w:szCs w:val="28"/>
          <w:lang w:val="en-US" w:eastAsia="zh-CN"/>
        </w:rPr>
        <w:t>155.15亿</w:t>
      </w:r>
      <w:r>
        <w:rPr>
          <w:rFonts w:hint="eastAsia" w:ascii="宋体" w:hAnsi="宋体"/>
          <w:sz w:val="28"/>
          <w:szCs w:val="28"/>
        </w:rPr>
        <w:t>元</w:t>
      </w:r>
      <w:r>
        <w:rPr>
          <w:rFonts w:hint="eastAsia" w:ascii="宋体" w:hAnsi="宋体"/>
          <w:sz w:val="28"/>
          <w:szCs w:val="28"/>
          <w:lang w:eastAsia="zh-CN"/>
        </w:rPr>
        <w:t>，</w:t>
      </w:r>
      <w:r>
        <w:rPr>
          <w:rFonts w:hint="eastAsia" w:ascii="宋体" w:hAnsi="宋体"/>
          <w:sz w:val="28"/>
          <w:szCs w:val="28"/>
        </w:rPr>
        <w:t>其中未达到披露标准的关联交易次数为</w:t>
      </w:r>
      <w:r>
        <w:rPr>
          <w:rFonts w:hint="eastAsia" w:ascii="宋体" w:hAnsi="宋体"/>
          <w:sz w:val="28"/>
          <w:szCs w:val="28"/>
          <w:lang w:val="en-US" w:eastAsia="zh-CN"/>
        </w:rPr>
        <w:t>2</w:t>
      </w:r>
      <w:r>
        <w:rPr>
          <w:rFonts w:hint="eastAsia" w:ascii="宋体" w:hAnsi="宋体"/>
          <w:sz w:val="28"/>
          <w:szCs w:val="28"/>
        </w:rPr>
        <w:t>次，金额</w:t>
      </w:r>
      <w:r>
        <w:rPr>
          <w:rFonts w:hint="eastAsia" w:ascii="宋体" w:hAnsi="宋体"/>
          <w:sz w:val="28"/>
          <w:szCs w:val="28"/>
          <w:lang w:val="en-US" w:eastAsia="zh-CN"/>
        </w:rPr>
        <w:t>为3.57</w:t>
      </w:r>
      <w:r>
        <w:rPr>
          <w:rFonts w:hint="eastAsia" w:ascii="宋体" w:hAnsi="宋体"/>
          <w:sz w:val="28"/>
          <w:szCs w:val="28"/>
        </w:rPr>
        <w:t>亿</w:t>
      </w:r>
      <w:r>
        <w:rPr>
          <w:rFonts w:hint="eastAsia" w:ascii="宋体" w:hAnsi="宋体"/>
          <w:sz w:val="28"/>
          <w:szCs w:val="28"/>
          <w:lang w:val="en-US" w:eastAsia="zh-CN"/>
        </w:rPr>
        <w:t>元</w:t>
      </w:r>
      <w:r>
        <w:rPr>
          <w:rFonts w:hint="eastAsia" w:ascii="宋体" w:hAnsi="宋体"/>
          <w:sz w:val="28"/>
          <w:szCs w:val="28"/>
        </w:rPr>
        <w:t>。</w:t>
      </w:r>
    </w:p>
    <w:p w14:paraId="528E245C">
      <w:pPr>
        <w:rPr>
          <w:rFonts w:ascii="黑体" w:hAnsi="黑体" w:eastAsia="黑体"/>
          <w:b/>
          <w:color w:val="000000"/>
          <w:sz w:val="30"/>
          <w:szCs w:val="30"/>
        </w:rPr>
      </w:pPr>
      <w:r>
        <w:rPr>
          <w:rFonts w:ascii="黑体" w:hAnsi="黑体" w:eastAsia="黑体"/>
          <w:b/>
          <w:color w:val="000000"/>
          <w:sz w:val="30"/>
          <w:szCs w:val="30"/>
        </w:rPr>
        <w:br w:type="page"/>
      </w:r>
    </w:p>
    <w:p w14:paraId="7C8D8C4E">
      <w:pPr>
        <w:autoSpaceDE w:val="0"/>
        <w:autoSpaceDN w:val="0"/>
        <w:adjustRightInd w:val="0"/>
        <w:snapToGrid w:val="0"/>
        <w:spacing w:line="560" w:lineRule="exact"/>
        <w:ind w:firstLine="602" w:firstLineChars="200"/>
        <w:rPr>
          <w:rFonts w:ascii="黑体" w:hAnsi="黑体" w:eastAsia="黑体"/>
          <w:b/>
          <w:color w:val="000000"/>
          <w:sz w:val="30"/>
          <w:szCs w:val="30"/>
        </w:rPr>
      </w:pPr>
    </w:p>
    <w:p w14:paraId="4925231F">
      <w:pPr>
        <w:keepNext w:val="0"/>
        <w:keepLines w:val="0"/>
        <w:pageBreakBefore w:val="0"/>
        <w:kinsoku/>
        <w:wordWrap/>
        <w:overflowPunct/>
        <w:topLinePunct w:val="0"/>
        <w:autoSpaceDE w:val="0"/>
        <w:autoSpaceDN w:val="0"/>
        <w:bidi w:val="0"/>
        <w:adjustRightInd w:val="0"/>
        <w:snapToGrid w:val="0"/>
        <w:spacing w:line="520" w:lineRule="exact"/>
        <w:ind w:firstLine="560" w:firstLineChars="200"/>
        <w:textAlignment w:val="auto"/>
        <w:outlineLvl w:val="0"/>
        <w:rPr>
          <w:rFonts w:ascii="黑体" w:hAnsi="黑体" w:eastAsia="黑体"/>
          <w:b w:val="0"/>
          <w:bCs/>
          <w:color w:val="000000"/>
          <w:sz w:val="28"/>
          <w:szCs w:val="28"/>
        </w:rPr>
      </w:pPr>
      <w:r>
        <w:rPr>
          <w:rFonts w:hint="eastAsia" w:ascii="黑体" w:hAnsi="黑体" w:eastAsia="黑体"/>
          <w:b w:val="0"/>
          <w:bCs/>
          <w:color w:val="000000"/>
          <w:sz w:val="28"/>
          <w:szCs w:val="28"/>
        </w:rPr>
        <w:t>一、</w:t>
      </w:r>
      <w:r>
        <w:rPr>
          <w:rFonts w:hint="eastAsia" w:ascii="黑体" w:hAnsi="黑体" w:eastAsia="黑体"/>
          <w:b w:val="0"/>
          <w:bCs/>
          <w:color w:val="000000"/>
          <w:sz w:val="28"/>
          <w:szCs w:val="28"/>
          <w:lang w:val="en-US" w:eastAsia="zh-CN"/>
        </w:rPr>
        <w:t>本次交易</w:t>
      </w:r>
      <w:r>
        <w:rPr>
          <w:rFonts w:hint="eastAsia" w:ascii="黑体" w:hAnsi="黑体" w:eastAsia="黑体"/>
          <w:b w:val="0"/>
          <w:bCs/>
          <w:color w:val="000000"/>
          <w:sz w:val="28"/>
          <w:szCs w:val="28"/>
        </w:rPr>
        <w:t>概述</w:t>
      </w:r>
    </w:p>
    <w:p w14:paraId="200460FE">
      <w:pPr>
        <w:keepNext w:val="0"/>
        <w:keepLines w:val="0"/>
        <w:pageBreakBefore w:val="0"/>
        <w:kinsoku/>
        <w:wordWrap/>
        <w:overflowPunct/>
        <w:topLinePunct w:val="0"/>
        <w:bidi w:val="0"/>
        <w:adjustRightInd w:val="0"/>
        <w:snapToGrid w:val="0"/>
        <w:spacing w:line="520" w:lineRule="exact"/>
        <w:ind w:firstLine="562" w:firstLineChars="200"/>
        <w:textAlignment w:val="auto"/>
        <w:rPr>
          <w:rFonts w:hint="eastAsia" w:ascii="楷体_GB2312" w:hAnsi="楷体_GB2312" w:eastAsia="楷体_GB2312" w:cs="楷体_GB2312"/>
          <w:b/>
          <w:sz w:val="28"/>
          <w:szCs w:val="28"/>
        </w:rPr>
      </w:pPr>
      <w:r>
        <w:rPr>
          <w:rFonts w:hint="eastAsia" w:ascii="楷体_GB2312" w:hAnsi="楷体_GB2312" w:eastAsia="楷体_GB2312" w:cs="楷体_GB2312"/>
          <w:b/>
          <w:sz w:val="28"/>
          <w:szCs w:val="28"/>
        </w:rPr>
        <w:t>（一）本次</w:t>
      </w:r>
      <w:r>
        <w:rPr>
          <w:rFonts w:hint="eastAsia" w:ascii="楷体_GB2312" w:hAnsi="楷体_GB2312" w:eastAsia="楷体_GB2312" w:cs="楷体_GB2312"/>
          <w:b/>
          <w:sz w:val="28"/>
          <w:szCs w:val="28"/>
          <w:lang w:val="en-US" w:eastAsia="zh-CN"/>
        </w:rPr>
        <w:t>交易</w:t>
      </w:r>
      <w:r>
        <w:rPr>
          <w:rFonts w:hint="eastAsia" w:ascii="楷体_GB2312" w:hAnsi="楷体_GB2312" w:eastAsia="楷体_GB2312" w:cs="楷体_GB2312"/>
          <w:b/>
          <w:sz w:val="28"/>
          <w:szCs w:val="28"/>
        </w:rPr>
        <w:t>基本情况</w:t>
      </w:r>
    </w:p>
    <w:p w14:paraId="3450128F">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2025年</w:t>
      </w:r>
      <w:r>
        <w:rPr>
          <w:rFonts w:hint="eastAsia" w:ascii="宋体" w:hAnsi="宋体" w:cs="宋体"/>
          <w:sz w:val="28"/>
          <w:szCs w:val="28"/>
          <w:lang w:val="en-US" w:eastAsia="zh-CN"/>
        </w:rPr>
        <w:t>11月27日</w:t>
      </w:r>
      <w:r>
        <w:rPr>
          <w:rFonts w:hint="eastAsia" w:ascii="宋体" w:hAnsi="宋体" w:eastAsia="宋体" w:cs="宋体"/>
          <w:sz w:val="28"/>
          <w:szCs w:val="28"/>
          <w:lang w:val="en-US" w:eastAsia="zh-CN"/>
        </w:rPr>
        <w:t>，东华重工与山能装备签署《股权转让协议》</w:t>
      </w:r>
      <w:r>
        <w:rPr>
          <w:rFonts w:hint="eastAsia" w:ascii="宋体" w:hAnsi="宋体" w:cs="宋体"/>
          <w:sz w:val="28"/>
          <w:szCs w:val="28"/>
          <w:lang w:val="en-US" w:eastAsia="zh-CN"/>
        </w:rPr>
        <w:t>，东华重工</w:t>
      </w:r>
      <w:r>
        <w:rPr>
          <w:rFonts w:hint="eastAsia" w:ascii="宋体" w:hAnsi="宋体" w:eastAsia="宋体" w:cs="宋体"/>
          <w:sz w:val="28"/>
          <w:szCs w:val="28"/>
          <w:lang w:val="en-US" w:eastAsia="zh-CN"/>
        </w:rPr>
        <w:t>以评估值34</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484.74万元收购</w:t>
      </w:r>
      <w:r>
        <w:rPr>
          <w:rFonts w:hint="eastAsia" w:ascii="宋体" w:hAnsi="宋体"/>
          <w:sz w:val="28"/>
          <w:szCs w:val="28"/>
          <w:lang w:val="en-US" w:eastAsia="zh-CN"/>
        </w:rPr>
        <w:t>山能装备持有的高端支架公司100%股权</w:t>
      </w:r>
      <w:r>
        <w:rPr>
          <w:rFonts w:hint="eastAsia" w:ascii="宋体" w:hAnsi="宋体" w:eastAsia="宋体" w:cs="宋体"/>
          <w:sz w:val="28"/>
          <w:szCs w:val="28"/>
          <w:lang w:val="en-US" w:eastAsia="zh-CN"/>
        </w:rPr>
        <w:t>。</w:t>
      </w:r>
    </w:p>
    <w:p w14:paraId="49BBBB9B">
      <w:pPr>
        <w:keepNext w:val="0"/>
        <w:keepLines w:val="0"/>
        <w:pageBreakBefore w:val="0"/>
        <w:kinsoku/>
        <w:wordWrap/>
        <w:overflowPunct/>
        <w:topLinePunct w:val="0"/>
        <w:bidi w:val="0"/>
        <w:adjustRightInd w:val="0"/>
        <w:snapToGrid w:val="0"/>
        <w:spacing w:line="520" w:lineRule="exact"/>
        <w:ind w:firstLine="562" w:firstLineChars="200"/>
        <w:textAlignment w:val="auto"/>
        <w:rPr>
          <w:rFonts w:hint="eastAsia" w:ascii="楷体_GB2312" w:hAnsi="楷体_GB2312" w:eastAsia="楷体_GB2312" w:cs="楷体_GB2312"/>
          <w:b/>
          <w:sz w:val="28"/>
          <w:szCs w:val="28"/>
        </w:rPr>
      </w:pPr>
      <w:r>
        <w:rPr>
          <w:rFonts w:hint="eastAsia" w:ascii="楷体_GB2312" w:hAnsi="楷体_GB2312" w:eastAsia="楷体_GB2312" w:cs="楷体_GB2312"/>
          <w:b/>
          <w:sz w:val="28"/>
          <w:szCs w:val="28"/>
        </w:rPr>
        <w:t>（二）本次</w:t>
      </w:r>
      <w:r>
        <w:rPr>
          <w:rFonts w:hint="eastAsia" w:ascii="楷体_GB2312" w:hAnsi="楷体_GB2312" w:eastAsia="楷体_GB2312" w:cs="楷体_GB2312"/>
          <w:b/>
          <w:sz w:val="28"/>
          <w:szCs w:val="28"/>
          <w:lang w:val="en-US" w:eastAsia="zh-CN"/>
        </w:rPr>
        <w:t>交易</w:t>
      </w:r>
      <w:r>
        <w:rPr>
          <w:rFonts w:hint="eastAsia" w:ascii="楷体_GB2312" w:hAnsi="楷体_GB2312" w:eastAsia="楷体_GB2312" w:cs="楷体_GB2312"/>
          <w:b/>
          <w:sz w:val="28"/>
          <w:szCs w:val="28"/>
        </w:rPr>
        <w:t>履行的程序</w:t>
      </w:r>
    </w:p>
    <w:p w14:paraId="1F15E24C">
      <w:pPr>
        <w:keepNext w:val="0"/>
        <w:keepLines w:val="0"/>
        <w:pageBreakBefore w:val="0"/>
        <w:kinsoku/>
        <w:wordWrap/>
        <w:overflowPunct/>
        <w:topLinePunct w:val="0"/>
        <w:bidi w:val="0"/>
        <w:adjustRightInd w:val="0"/>
        <w:snapToGrid w:val="0"/>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2025年</w:t>
      </w:r>
      <w:r>
        <w:rPr>
          <w:rFonts w:hint="eastAsia" w:ascii="宋体" w:hAnsi="宋体" w:cs="宋体"/>
          <w:sz w:val="28"/>
          <w:szCs w:val="28"/>
          <w:lang w:eastAsia="zh-CN"/>
        </w:rPr>
        <w:t>11月27日</w:t>
      </w:r>
      <w:r>
        <w:rPr>
          <w:rFonts w:hint="eastAsia" w:ascii="宋体" w:hAnsi="宋体" w:eastAsia="宋体" w:cs="宋体"/>
          <w:sz w:val="28"/>
          <w:szCs w:val="28"/>
        </w:rPr>
        <w:t>，公司召开第九届董事会第</w:t>
      </w:r>
      <w:r>
        <w:rPr>
          <w:rFonts w:hint="eastAsia" w:ascii="宋体" w:hAnsi="宋体" w:eastAsia="宋体" w:cs="宋体"/>
          <w:sz w:val="28"/>
          <w:szCs w:val="28"/>
          <w:lang w:val="en-US" w:eastAsia="zh-CN"/>
        </w:rPr>
        <w:t>二十</w:t>
      </w:r>
      <w:r>
        <w:rPr>
          <w:rFonts w:hint="eastAsia" w:ascii="宋体" w:hAnsi="宋体" w:eastAsia="宋体" w:cs="宋体"/>
          <w:sz w:val="28"/>
          <w:szCs w:val="28"/>
        </w:rPr>
        <w:t>次会议</w:t>
      </w:r>
      <w:r>
        <w:rPr>
          <w:rFonts w:hint="eastAsia" w:ascii="宋体" w:hAnsi="宋体" w:eastAsia="宋体" w:cs="宋体"/>
          <w:sz w:val="28"/>
          <w:szCs w:val="28"/>
          <w:lang w:eastAsia="zh-CN"/>
        </w:rPr>
        <w:t>，</w:t>
      </w:r>
      <w:r>
        <w:rPr>
          <w:rFonts w:hint="eastAsia" w:ascii="宋体" w:hAnsi="宋体" w:eastAsia="宋体" w:cs="宋体"/>
          <w:sz w:val="28"/>
          <w:szCs w:val="28"/>
        </w:rPr>
        <w:t>审议</w:t>
      </w:r>
      <w:r>
        <w:rPr>
          <w:rFonts w:hint="eastAsia" w:ascii="宋体" w:hAnsi="宋体" w:eastAsia="宋体" w:cs="宋体"/>
          <w:sz w:val="28"/>
          <w:szCs w:val="28"/>
          <w:lang w:val="en-US" w:eastAsia="zh-CN"/>
        </w:rPr>
        <w:t>批准</w:t>
      </w:r>
      <w:r>
        <w:rPr>
          <w:rFonts w:hint="eastAsia" w:ascii="宋体" w:hAnsi="宋体" w:eastAsia="宋体" w:cs="宋体"/>
          <w:sz w:val="28"/>
          <w:szCs w:val="28"/>
        </w:rPr>
        <w:t>了《</w:t>
      </w:r>
      <w:r>
        <w:rPr>
          <w:rFonts w:hint="eastAsia" w:ascii="宋体" w:hAnsi="宋体" w:eastAsia="宋体" w:cs="宋体"/>
          <w:sz w:val="28"/>
          <w:szCs w:val="28"/>
          <w:lang w:val="en-US" w:eastAsia="zh-CN"/>
        </w:rPr>
        <w:t>关于收购高端支架公司100%股权的议案</w:t>
      </w:r>
      <w:r>
        <w:rPr>
          <w:rFonts w:hint="eastAsia" w:ascii="宋体" w:hAnsi="宋体" w:eastAsia="宋体" w:cs="宋体"/>
          <w:sz w:val="28"/>
          <w:szCs w:val="28"/>
        </w:rPr>
        <w:t>》，关联董事李伟、刘健、刘强、张海军回避表决。本次交易</w:t>
      </w:r>
      <w:r>
        <w:rPr>
          <w:rFonts w:hint="eastAsia" w:ascii="宋体" w:hAnsi="宋体" w:cs="宋体"/>
          <w:sz w:val="28"/>
          <w:szCs w:val="28"/>
          <w:lang w:val="en-US" w:eastAsia="zh-CN"/>
        </w:rPr>
        <w:t>已经</w:t>
      </w:r>
      <w:r>
        <w:rPr>
          <w:rFonts w:hint="eastAsia" w:ascii="宋体" w:hAnsi="宋体" w:eastAsia="宋体" w:cs="宋体"/>
          <w:sz w:val="28"/>
          <w:szCs w:val="28"/>
        </w:rPr>
        <w:t>公司独立董事专门会议审议通过并同意提交董事会审议。</w:t>
      </w:r>
    </w:p>
    <w:p w14:paraId="14346D24">
      <w:pPr>
        <w:keepNext w:val="0"/>
        <w:keepLines w:val="0"/>
        <w:pageBreakBefore w:val="0"/>
        <w:kinsoku/>
        <w:wordWrap/>
        <w:overflowPunct/>
        <w:topLinePunct w:val="0"/>
        <w:bidi w:val="0"/>
        <w:adjustRightInd w:val="0"/>
        <w:snapToGrid w:val="0"/>
        <w:spacing w:line="520" w:lineRule="exact"/>
        <w:ind w:firstLine="560" w:firstLineChars="200"/>
        <w:jc w:val="both"/>
        <w:textAlignment w:val="auto"/>
        <w:rPr>
          <w:rFonts w:hint="eastAsia" w:ascii="宋体" w:hAnsi="宋体" w:eastAsia="宋体" w:cs="仿宋_GB2312"/>
          <w:sz w:val="28"/>
          <w:szCs w:val="28"/>
        </w:rPr>
      </w:pPr>
      <w:r>
        <w:rPr>
          <w:rFonts w:hint="eastAsia" w:ascii="宋体" w:hAnsi="宋体" w:eastAsia="宋体" w:cs="宋体"/>
          <w:sz w:val="28"/>
          <w:szCs w:val="28"/>
          <w:lang w:val="en-US" w:eastAsia="zh-CN"/>
        </w:rPr>
        <w:t>根据公司上市地监管规则和《公司章程》规定</w:t>
      </w:r>
      <w:r>
        <w:rPr>
          <w:rFonts w:hint="eastAsia" w:ascii="宋体" w:hAnsi="宋体" w:cs="宋体"/>
          <w:sz w:val="28"/>
          <w:szCs w:val="30"/>
        </w:rPr>
        <w:t>，基于关联交易连续十二个月累计计算原则，</w:t>
      </w:r>
      <w:r>
        <w:rPr>
          <w:rFonts w:hint="eastAsia" w:ascii="宋体" w:hAnsi="宋体" w:eastAsia="宋体" w:cs="宋体"/>
          <w:sz w:val="28"/>
          <w:szCs w:val="28"/>
          <w:lang w:val="en-US" w:eastAsia="zh-CN"/>
        </w:rPr>
        <w:t>本次交易属于公司</w:t>
      </w:r>
      <w:r>
        <w:rPr>
          <w:rFonts w:hint="eastAsia" w:ascii="宋体" w:hAnsi="宋体" w:cs="宋体"/>
          <w:sz w:val="28"/>
          <w:szCs w:val="28"/>
          <w:lang w:val="en-US" w:eastAsia="zh-CN"/>
        </w:rPr>
        <w:t>董事会</w:t>
      </w:r>
      <w:r>
        <w:rPr>
          <w:rFonts w:hint="eastAsia" w:ascii="宋体" w:hAnsi="宋体" w:eastAsia="宋体" w:cs="宋体"/>
          <w:sz w:val="28"/>
          <w:szCs w:val="28"/>
          <w:lang w:val="en-US" w:eastAsia="zh-CN"/>
        </w:rPr>
        <w:t>审批权限，</w:t>
      </w:r>
      <w:r>
        <w:rPr>
          <w:rFonts w:hint="eastAsia" w:ascii="宋体" w:hAnsi="宋体" w:cs="宋体"/>
          <w:sz w:val="28"/>
          <w:szCs w:val="28"/>
          <w:lang w:val="en-US" w:eastAsia="zh-CN"/>
        </w:rPr>
        <w:t>无</w:t>
      </w:r>
      <w:r>
        <w:rPr>
          <w:rFonts w:hint="eastAsia" w:ascii="宋体" w:hAnsi="宋体" w:eastAsia="宋体" w:cs="宋体"/>
          <w:sz w:val="28"/>
          <w:szCs w:val="28"/>
          <w:lang w:val="en-US" w:eastAsia="zh-CN"/>
        </w:rPr>
        <w:t>需提交股东会审议。</w:t>
      </w:r>
    </w:p>
    <w:p w14:paraId="394461F2">
      <w:pPr>
        <w:keepNext w:val="0"/>
        <w:keepLines w:val="0"/>
        <w:pageBreakBefore w:val="0"/>
        <w:kinsoku/>
        <w:wordWrap/>
        <w:overflowPunct/>
        <w:topLinePunct w:val="0"/>
        <w:bidi w:val="0"/>
        <w:adjustRightInd w:val="0"/>
        <w:snapToGrid w:val="0"/>
        <w:spacing w:line="520" w:lineRule="exact"/>
        <w:ind w:firstLine="562" w:firstLineChars="200"/>
        <w:textAlignment w:val="auto"/>
        <w:rPr>
          <w:rFonts w:hint="eastAsia" w:ascii="楷体_GB2312" w:hAnsi="楷体_GB2312" w:eastAsia="楷体_GB2312" w:cs="楷体_GB2312"/>
          <w:b/>
          <w:sz w:val="28"/>
          <w:szCs w:val="28"/>
        </w:rPr>
      </w:pPr>
      <w:r>
        <w:rPr>
          <w:rFonts w:hint="eastAsia" w:ascii="楷体_GB2312" w:hAnsi="楷体_GB2312" w:eastAsia="楷体_GB2312" w:cs="楷体_GB2312"/>
          <w:b/>
          <w:sz w:val="28"/>
          <w:szCs w:val="28"/>
        </w:rPr>
        <w:t>（三）本次</w:t>
      </w:r>
      <w:r>
        <w:rPr>
          <w:rFonts w:hint="eastAsia" w:ascii="楷体_GB2312" w:hAnsi="楷体_GB2312" w:eastAsia="楷体_GB2312" w:cs="楷体_GB2312"/>
          <w:b/>
          <w:sz w:val="28"/>
          <w:szCs w:val="28"/>
          <w:lang w:val="en-US" w:eastAsia="zh-CN"/>
        </w:rPr>
        <w:t>交易</w:t>
      </w:r>
      <w:r>
        <w:rPr>
          <w:rFonts w:hint="eastAsia" w:ascii="楷体_GB2312" w:hAnsi="楷体_GB2312" w:eastAsia="楷体_GB2312" w:cs="楷体_GB2312"/>
          <w:b/>
          <w:sz w:val="28"/>
          <w:szCs w:val="28"/>
        </w:rPr>
        <w:t>性质</w:t>
      </w:r>
    </w:p>
    <w:p w14:paraId="2293D55D">
      <w:pPr>
        <w:keepNext w:val="0"/>
        <w:keepLines w:val="0"/>
        <w:pageBreakBefore w:val="0"/>
        <w:kinsoku/>
        <w:wordWrap/>
        <w:overflowPunct/>
        <w:topLinePunct w:val="0"/>
        <w:bidi w:val="0"/>
        <w:adjustRightInd w:val="0"/>
        <w:snapToGrid w:val="0"/>
        <w:spacing w:line="520" w:lineRule="exact"/>
        <w:ind w:firstLine="560" w:firstLineChars="200"/>
        <w:textAlignment w:val="auto"/>
        <w:rPr>
          <w:rFonts w:ascii="宋体" w:hAnsi="宋体" w:cs="仿宋_GB2312"/>
          <w:sz w:val="28"/>
          <w:szCs w:val="28"/>
        </w:rPr>
      </w:pPr>
      <w:r>
        <w:rPr>
          <w:rFonts w:hint="eastAsia" w:ascii="宋体" w:hAnsi="宋体" w:cs="仿宋_GB2312"/>
          <w:sz w:val="28"/>
          <w:szCs w:val="28"/>
          <w:lang w:val="en-US" w:eastAsia="zh-CN"/>
        </w:rPr>
        <w:t>山能装备为山东能源的控股</w:t>
      </w:r>
      <w:r>
        <w:rPr>
          <w:rFonts w:hint="eastAsia" w:ascii="宋体" w:hAnsi="宋体" w:cs="仿宋_GB2312"/>
          <w:sz w:val="28"/>
          <w:szCs w:val="28"/>
        </w:rPr>
        <w:t>子公司，本次</w:t>
      </w:r>
      <w:r>
        <w:rPr>
          <w:rFonts w:hint="eastAsia" w:ascii="宋体" w:hAnsi="宋体" w:cs="仿宋_GB2312"/>
          <w:sz w:val="28"/>
          <w:szCs w:val="28"/>
          <w:lang w:val="en-US" w:eastAsia="zh-CN"/>
        </w:rPr>
        <w:t>交易</w:t>
      </w:r>
      <w:r>
        <w:rPr>
          <w:rFonts w:hint="eastAsia" w:ascii="宋体" w:hAnsi="宋体" w:cs="仿宋_GB2312"/>
          <w:sz w:val="28"/>
          <w:szCs w:val="28"/>
        </w:rPr>
        <w:t>构成</w:t>
      </w:r>
      <w:r>
        <w:rPr>
          <w:rFonts w:hint="eastAsia" w:ascii="宋体" w:hAnsi="宋体" w:cs="仿宋_GB2312"/>
          <w:sz w:val="28"/>
          <w:szCs w:val="30"/>
        </w:rPr>
        <w:t>公司与控股股东间的关联交易</w:t>
      </w:r>
      <w:r>
        <w:rPr>
          <w:rFonts w:hint="eastAsia" w:ascii="宋体" w:hAnsi="宋体" w:cs="仿宋_GB2312"/>
          <w:sz w:val="28"/>
          <w:szCs w:val="28"/>
        </w:rPr>
        <w:t>；不构成《上市公司重大资产重组管理办法》规定的重大资产重组。</w:t>
      </w:r>
    </w:p>
    <w:p w14:paraId="00E3810A">
      <w:pPr>
        <w:keepNext w:val="0"/>
        <w:keepLines w:val="0"/>
        <w:pageBreakBefore w:val="0"/>
        <w:widowControl/>
        <w:kinsoku/>
        <w:wordWrap/>
        <w:overflowPunct/>
        <w:topLinePunct w:val="0"/>
        <w:bidi w:val="0"/>
        <w:adjustRightInd w:val="0"/>
        <w:snapToGrid w:val="0"/>
        <w:spacing w:line="520" w:lineRule="exact"/>
        <w:ind w:firstLine="562" w:firstLineChars="200"/>
        <w:textAlignment w:val="auto"/>
        <w:rPr>
          <w:rFonts w:hint="eastAsia" w:ascii="楷体_GB2312" w:hAnsi="楷体_GB2312" w:eastAsia="楷体_GB2312" w:cs="楷体_GB2312"/>
          <w:b/>
          <w:color w:val="000000"/>
          <w:sz w:val="28"/>
          <w:szCs w:val="28"/>
        </w:rPr>
      </w:pPr>
      <w:r>
        <w:rPr>
          <w:rFonts w:hint="eastAsia" w:ascii="楷体_GB2312" w:hAnsi="楷体_GB2312" w:eastAsia="楷体_GB2312" w:cs="楷体_GB2312"/>
          <w:b/>
          <w:color w:val="000000"/>
          <w:sz w:val="28"/>
          <w:szCs w:val="28"/>
        </w:rPr>
        <w:t>（四）过往12个月内与同一关联人之间的关联交易</w:t>
      </w:r>
    </w:p>
    <w:p w14:paraId="6876E467">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截至本公告</w:t>
      </w:r>
      <w:r>
        <w:rPr>
          <w:rFonts w:hint="eastAsia" w:ascii="宋体" w:hAnsi="宋体" w:cs="Times New Roman"/>
          <w:color w:val="000000"/>
          <w:sz w:val="28"/>
          <w:szCs w:val="28"/>
          <w:lang w:val="en-US" w:eastAsia="zh-CN"/>
        </w:rPr>
        <w:t>披露</w:t>
      </w:r>
      <w:r>
        <w:rPr>
          <w:rFonts w:hint="eastAsia" w:ascii="宋体" w:hAnsi="宋体" w:eastAsia="宋体" w:cs="Times New Roman"/>
          <w:color w:val="000000"/>
          <w:sz w:val="28"/>
          <w:szCs w:val="28"/>
        </w:rPr>
        <w:t>日，除日常关联交易外，过去12个月内公司与</w:t>
      </w:r>
      <w:r>
        <w:rPr>
          <w:rFonts w:hint="eastAsia" w:ascii="宋体" w:hAnsi="宋体" w:eastAsia="宋体" w:cs="Times New Roman"/>
          <w:color w:val="000000"/>
          <w:sz w:val="28"/>
          <w:szCs w:val="28"/>
          <w:lang w:val="en-US" w:eastAsia="zh-CN"/>
        </w:rPr>
        <w:t>山东能源</w:t>
      </w:r>
      <w:r>
        <w:rPr>
          <w:rFonts w:hint="eastAsia" w:ascii="宋体" w:hAnsi="宋体" w:eastAsia="宋体" w:cs="Times New Roman"/>
          <w:color w:val="000000"/>
          <w:sz w:val="28"/>
          <w:szCs w:val="28"/>
        </w:rPr>
        <w:t>及其下属公司发生的关联交易累计次数为</w:t>
      </w:r>
      <w:r>
        <w:rPr>
          <w:rFonts w:hint="eastAsia" w:ascii="宋体" w:hAnsi="宋体" w:eastAsia="宋体" w:cs="Times New Roman"/>
          <w:color w:val="000000"/>
          <w:sz w:val="28"/>
          <w:szCs w:val="28"/>
          <w:lang w:val="en-US" w:eastAsia="zh-CN"/>
        </w:rPr>
        <w:t>5</w:t>
      </w:r>
      <w:r>
        <w:rPr>
          <w:rFonts w:hint="eastAsia" w:ascii="宋体" w:hAnsi="宋体" w:eastAsia="宋体" w:cs="Times New Roman"/>
          <w:color w:val="000000"/>
          <w:sz w:val="28"/>
          <w:szCs w:val="28"/>
        </w:rPr>
        <w:t>次，金额</w:t>
      </w:r>
      <w:r>
        <w:rPr>
          <w:rFonts w:hint="eastAsia" w:ascii="宋体" w:hAnsi="宋体" w:eastAsia="宋体" w:cs="Times New Roman"/>
          <w:color w:val="000000"/>
          <w:sz w:val="28"/>
          <w:szCs w:val="28"/>
          <w:lang w:val="en-US" w:eastAsia="zh-CN"/>
        </w:rPr>
        <w:t>155.1</w:t>
      </w:r>
      <w:r>
        <w:rPr>
          <w:rFonts w:hint="eastAsia" w:ascii="宋体" w:hAnsi="宋体" w:cs="Times New Roman"/>
          <w:color w:val="000000"/>
          <w:sz w:val="28"/>
          <w:szCs w:val="28"/>
          <w:lang w:val="en-US" w:eastAsia="zh-CN"/>
        </w:rPr>
        <w:t>5</w:t>
      </w:r>
      <w:r>
        <w:rPr>
          <w:rFonts w:hint="eastAsia" w:ascii="宋体" w:hAnsi="宋体" w:eastAsia="宋体" w:cs="Times New Roman"/>
          <w:color w:val="000000"/>
          <w:sz w:val="28"/>
          <w:szCs w:val="28"/>
          <w:lang w:val="en-US" w:eastAsia="zh-CN"/>
        </w:rPr>
        <w:t>亿</w:t>
      </w:r>
      <w:r>
        <w:rPr>
          <w:rFonts w:hint="eastAsia" w:ascii="宋体" w:hAnsi="宋体" w:eastAsia="宋体" w:cs="Times New Roman"/>
          <w:color w:val="000000"/>
          <w:sz w:val="28"/>
          <w:szCs w:val="28"/>
        </w:rPr>
        <w:t>元</w:t>
      </w:r>
      <w:r>
        <w:rPr>
          <w:rFonts w:hint="eastAsia" w:ascii="宋体" w:hAnsi="宋体"/>
          <w:sz w:val="28"/>
          <w:szCs w:val="28"/>
          <w:lang w:eastAsia="zh-CN"/>
        </w:rPr>
        <w:t>，</w:t>
      </w:r>
      <w:r>
        <w:rPr>
          <w:rFonts w:hint="eastAsia" w:ascii="宋体" w:hAnsi="宋体"/>
          <w:sz w:val="28"/>
          <w:szCs w:val="28"/>
        </w:rPr>
        <w:t>其中未达到披露标准的次数为</w:t>
      </w:r>
      <w:r>
        <w:rPr>
          <w:rFonts w:hint="eastAsia" w:ascii="宋体" w:hAnsi="宋体"/>
          <w:sz w:val="28"/>
          <w:szCs w:val="28"/>
          <w:lang w:val="en-US" w:eastAsia="zh-CN"/>
        </w:rPr>
        <w:t>2</w:t>
      </w:r>
      <w:r>
        <w:rPr>
          <w:rFonts w:hint="eastAsia" w:ascii="宋体" w:hAnsi="宋体"/>
          <w:sz w:val="28"/>
          <w:szCs w:val="28"/>
        </w:rPr>
        <w:t>次，金额</w:t>
      </w:r>
      <w:r>
        <w:rPr>
          <w:rFonts w:hint="eastAsia" w:ascii="宋体" w:hAnsi="宋体"/>
          <w:sz w:val="28"/>
          <w:szCs w:val="28"/>
          <w:lang w:val="en-US" w:eastAsia="zh-CN"/>
        </w:rPr>
        <w:t>3.57</w:t>
      </w:r>
      <w:r>
        <w:rPr>
          <w:rFonts w:hint="eastAsia" w:ascii="宋体" w:hAnsi="宋体"/>
          <w:sz w:val="28"/>
          <w:szCs w:val="28"/>
        </w:rPr>
        <w:t>亿</w:t>
      </w:r>
      <w:r>
        <w:rPr>
          <w:rFonts w:hint="eastAsia" w:ascii="宋体" w:hAnsi="宋体"/>
          <w:sz w:val="28"/>
          <w:szCs w:val="28"/>
          <w:lang w:val="en-US" w:eastAsia="zh-CN"/>
        </w:rPr>
        <w:t>元</w:t>
      </w:r>
      <w:r>
        <w:rPr>
          <w:rFonts w:hint="eastAsia" w:ascii="宋体" w:hAnsi="宋体" w:eastAsia="宋体" w:cs="Times New Roman"/>
          <w:color w:val="000000"/>
          <w:sz w:val="28"/>
          <w:szCs w:val="28"/>
        </w:rPr>
        <w:t>。</w:t>
      </w:r>
    </w:p>
    <w:p w14:paraId="22C581BA">
      <w:pPr>
        <w:keepNext w:val="0"/>
        <w:keepLines w:val="0"/>
        <w:pageBreakBefore w:val="0"/>
        <w:kinsoku/>
        <w:wordWrap/>
        <w:overflowPunct/>
        <w:topLinePunct w:val="0"/>
        <w:autoSpaceDE w:val="0"/>
        <w:autoSpaceDN w:val="0"/>
        <w:bidi w:val="0"/>
        <w:adjustRightInd w:val="0"/>
        <w:snapToGrid w:val="0"/>
        <w:spacing w:line="520" w:lineRule="exact"/>
        <w:ind w:firstLine="560" w:firstLineChars="200"/>
        <w:textAlignment w:val="auto"/>
        <w:outlineLvl w:val="0"/>
        <w:rPr>
          <w:rFonts w:ascii="黑体" w:hAnsi="黑体" w:eastAsia="黑体"/>
          <w:b w:val="0"/>
          <w:bCs/>
          <w:color w:val="000000"/>
          <w:sz w:val="28"/>
          <w:szCs w:val="28"/>
        </w:rPr>
      </w:pPr>
      <w:r>
        <w:rPr>
          <w:rFonts w:hint="eastAsia" w:ascii="黑体" w:hAnsi="黑体" w:eastAsia="黑体"/>
          <w:b w:val="0"/>
          <w:bCs/>
          <w:color w:val="000000"/>
          <w:sz w:val="28"/>
          <w:szCs w:val="28"/>
        </w:rPr>
        <w:t>二、关联人介绍</w:t>
      </w:r>
    </w:p>
    <w:p w14:paraId="20BF9ACB">
      <w:pPr>
        <w:keepNext w:val="0"/>
        <w:keepLines w:val="0"/>
        <w:pageBreakBefore w:val="0"/>
        <w:widowControl/>
        <w:kinsoku/>
        <w:wordWrap/>
        <w:overflowPunct/>
        <w:topLinePunct w:val="0"/>
        <w:bidi w:val="0"/>
        <w:adjustRightInd w:val="0"/>
        <w:snapToGrid w:val="0"/>
        <w:spacing w:line="520" w:lineRule="exact"/>
        <w:ind w:firstLine="562" w:firstLineChars="200"/>
        <w:textAlignment w:val="auto"/>
        <w:rPr>
          <w:rFonts w:hint="eastAsia" w:ascii="楷体_GB2312" w:hAnsi="楷体_GB2312" w:eastAsia="楷体_GB2312" w:cs="楷体_GB2312"/>
          <w:b/>
          <w:color w:val="000000"/>
          <w:sz w:val="28"/>
          <w:szCs w:val="28"/>
        </w:rPr>
      </w:pPr>
      <w:r>
        <w:rPr>
          <w:rFonts w:hint="eastAsia" w:ascii="楷体_GB2312" w:hAnsi="楷体_GB2312" w:eastAsia="楷体_GB2312" w:cs="楷体_GB2312"/>
          <w:b/>
          <w:color w:val="000000"/>
          <w:sz w:val="28"/>
          <w:szCs w:val="28"/>
        </w:rPr>
        <w:t>（一）关联关系介绍</w:t>
      </w:r>
    </w:p>
    <w:p w14:paraId="529F5656">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ascii="宋体" w:hAnsi="宋体"/>
          <w:color w:val="000000"/>
          <w:sz w:val="28"/>
          <w:szCs w:val="28"/>
        </w:rPr>
      </w:pPr>
      <w:r>
        <w:rPr>
          <w:rFonts w:hint="eastAsia" w:ascii="宋体" w:hAnsi="宋体"/>
          <w:color w:val="000000"/>
          <w:sz w:val="28"/>
          <w:szCs w:val="28"/>
          <w:lang w:val="en-US" w:eastAsia="zh-CN"/>
        </w:rPr>
        <w:t>山能装备</w:t>
      </w:r>
      <w:r>
        <w:rPr>
          <w:rFonts w:hint="eastAsia" w:ascii="宋体" w:hAnsi="宋体"/>
          <w:color w:val="000000"/>
          <w:sz w:val="28"/>
          <w:szCs w:val="28"/>
        </w:rPr>
        <w:t>系</w:t>
      </w:r>
      <w:r>
        <w:rPr>
          <w:rFonts w:hint="eastAsia" w:ascii="宋体" w:hAnsi="宋体"/>
          <w:color w:val="000000"/>
          <w:sz w:val="28"/>
          <w:szCs w:val="28"/>
          <w:lang w:eastAsia="zh-CN"/>
        </w:rPr>
        <w:t>山东能源</w:t>
      </w:r>
      <w:r>
        <w:rPr>
          <w:rFonts w:hint="eastAsia" w:ascii="宋体" w:hAnsi="宋体"/>
          <w:color w:val="000000"/>
          <w:sz w:val="28"/>
          <w:szCs w:val="28"/>
        </w:rPr>
        <w:t>的</w:t>
      </w:r>
      <w:r>
        <w:rPr>
          <w:rFonts w:hint="eastAsia" w:ascii="宋体" w:hAnsi="宋体"/>
          <w:color w:val="000000"/>
          <w:sz w:val="28"/>
          <w:szCs w:val="28"/>
          <w:lang w:val="en-US" w:eastAsia="zh-CN"/>
        </w:rPr>
        <w:t>控股</w:t>
      </w:r>
      <w:r>
        <w:rPr>
          <w:rFonts w:hint="eastAsia" w:ascii="宋体" w:hAnsi="宋体"/>
          <w:color w:val="000000"/>
          <w:sz w:val="28"/>
          <w:szCs w:val="28"/>
        </w:rPr>
        <w:t>子公司，根据《上海证券交易所股票上市规则》的相关规定，</w:t>
      </w:r>
      <w:r>
        <w:rPr>
          <w:rFonts w:hint="eastAsia" w:ascii="宋体" w:hAnsi="宋体"/>
          <w:color w:val="000000"/>
          <w:sz w:val="28"/>
          <w:szCs w:val="28"/>
          <w:lang w:val="en-US" w:eastAsia="zh-CN"/>
        </w:rPr>
        <w:t>山能装备</w:t>
      </w:r>
      <w:r>
        <w:rPr>
          <w:rFonts w:hint="eastAsia" w:ascii="宋体" w:hAnsi="宋体"/>
          <w:color w:val="000000"/>
          <w:sz w:val="28"/>
          <w:szCs w:val="28"/>
        </w:rPr>
        <w:t>系公司关联方。</w:t>
      </w:r>
    </w:p>
    <w:p w14:paraId="3141F46D">
      <w:pPr>
        <w:keepNext w:val="0"/>
        <w:keepLines w:val="0"/>
        <w:pageBreakBefore w:val="0"/>
        <w:widowControl/>
        <w:kinsoku/>
        <w:wordWrap/>
        <w:overflowPunct/>
        <w:topLinePunct w:val="0"/>
        <w:bidi w:val="0"/>
        <w:adjustRightInd w:val="0"/>
        <w:snapToGrid w:val="0"/>
        <w:spacing w:line="520" w:lineRule="exact"/>
        <w:ind w:firstLine="562" w:firstLineChars="200"/>
        <w:textAlignment w:val="auto"/>
        <w:rPr>
          <w:rFonts w:ascii="宋体" w:hAnsi="宋体" w:cs="仿宋_GB2312"/>
          <w:sz w:val="28"/>
          <w:szCs w:val="28"/>
        </w:rPr>
      </w:pPr>
      <w:r>
        <w:rPr>
          <w:rFonts w:hint="eastAsia" w:ascii="楷体_GB2312" w:hAnsi="楷体_GB2312" w:eastAsia="楷体_GB2312" w:cs="楷体_GB2312"/>
          <w:b/>
          <w:color w:val="000000"/>
          <w:sz w:val="28"/>
          <w:szCs w:val="28"/>
        </w:rPr>
        <w:t>（二）关联人基本情况</w:t>
      </w:r>
    </w:p>
    <w:p w14:paraId="73755AE3">
      <w:pPr>
        <w:keepNext w:val="0"/>
        <w:keepLines w:val="0"/>
        <w:pageBreakBefore w:val="0"/>
        <w:widowControl/>
        <w:kinsoku/>
        <w:wordWrap/>
        <w:overflowPunct/>
        <w:topLinePunct w:val="0"/>
        <w:autoSpaceDE/>
        <w:autoSpaceDN/>
        <w:bidi w:val="0"/>
        <w:adjustRightInd w:val="0"/>
        <w:snapToGrid w:val="0"/>
        <w:spacing w:afterAutospacing="0" w:line="520" w:lineRule="exact"/>
        <w:ind w:firstLine="560" w:firstLineChars="200"/>
        <w:textAlignment w:val="auto"/>
        <w:rPr>
          <w:rFonts w:ascii="宋体" w:hAnsi="宋体" w:cs="仿宋_GB2312"/>
          <w:sz w:val="28"/>
          <w:szCs w:val="28"/>
        </w:rPr>
      </w:pPr>
      <w:r>
        <w:rPr>
          <w:rFonts w:ascii="宋体" w:hAnsi="宋体" w:cs="仿宋_GB2312"/>
          <w:sz w:val="28"/>
          <w:szCs w:val="28"/>
        </w:rPr>
        <w:t>1</w:t>
      </w:r>
      <w:r>
        <w:rPr>
          <w:rFonts w:hint="eastAsia" w:ascii="宋体" w:hAnsi="宋体" w:cs="仿宋_GB2312"/>
          <w:sz w:val="28"/>
          <w:szCs w:val="28"/>
          <w:lang w:val="en-US" w:eastAsia="zh-CN"/>
        </w:rPr>
        <w:t>.</w:t>
      </w:r>
      <w:r>
        <w:rPr>
          <w:rFonts w:ascii="宋体" w:hAnsi="宋体" w:cs="仿宋_GB2312"/>
          <w:sz w:val="28"/>
          <w:szCs w:val="28"/>
        </w:rPr>
        <w:t>基本情况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1"/>
        <w:gridCol w:w="5865"/>
      </w:tblGrid>
      <w:tr w14:paraId="67A4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vAlign w:val="center"/>
          </w:tcPr>
          <w:p w14:paraId="2AD4655A">
            <w:pPr>
              <w:spacing w:before="78" w:beforeLines="25" w:after="78" w:afterLines="25"/>
              <w:jc w:val="center"/>
              <w:rPr>
                <w:rFonts w:ascii="宋体" w:hAnsi="宋体"/>
                <w:b/>
                <w:sz w:val="24"/>
              </w:rPr>
            </w:pPr>
            <w:r>
              <w:rPr>
                <w:rFonts w:hint="eastAsia" w:ascii="宋体" w:hAnsi="宋体"/>
                <w:b/>
                <w:sz w:val="24"/>
              </w:rPr>
              <w:t>名称</w:t>
            </w:r>
          </w:p>
        </w:tc>
        <w:tc>
          <w:tcPr>
            <w:tcW w:w="5865" w:type="dxa"/>
            <w:vAlign w:val="center"/>
          </w:tcPr>
          <w:p w14:paraId="713F2141">
            <w:pPr>
              <w:spacing w:before="78" w:beforeLines="25" w:after="78" w:afterLines="25"/>
              <w:rPr>
                <w:rFonts w:ascii="宋体" w:hAnsi="宋体"/>
                <w:sz w:val="24"/>
              </w:rPr>
            </w:pPr>
            <w:r>
              <w:rPr>
                <w:rFonts w:hint="eastAsia" w:ascii="宋体" w:hAnsi="宋体"/>
                <w:sz w:val="24"/>
                <w:lang w:val="en-US" w:eastAsia="zh-CN"/>
              </w:rPr>
              <w:t>山东能源集团重型装备制造（集团）有限公司</w:t>
            </w:r>
          </w:p>
        </w:tc>
      </w:tr>
      <w:tr w14:paraId="5293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vAlign w:val="center"/>
          </w:tcPr>
          <w:p w14:paraId="16712B6C">
            <w:pPr>
              <w:spacing w:before="78" w:beforeLines="25" w:after="78" w:afterLines="25"/>
              <w:jc w:val="center"/>
              <w:rPr>
                <w:rFonts w:ascii="宋体" w:hAnsi="宋体"/>
                <w:b/>
                <w:sz w:val="24"/>
              </w:rPr>
            </w:pPr>
            <w:r>
              <w:rPr>
                <w:rFonts w:hint="eastAsia" w:ascii="宋体" w:hAnsi="宋体"/>
                <w:b/>
                <w:sz w:val="24"/>
              </w:rPr>
              <w:t>统一社会信用代码</w:t>
            </w:r>
          </w:p>
        </w:tc>
        <w:tc>
          <w:tcPr>
            <w:tcW w:w="5865" w:type="dxa"/>
            <w:shd w:val="clear" w:color="auto" w:fill="auto"/>
            <w:vAlign w:val="center"/>
          </w:tcPr>
          <w:p w14:paraId="34B60860">
            <w:pPr>
              <w:spacing w:before="78" w:beforeLines="25" w:after="78" w:afterLines="25"/>
              <w:rPr>
                <w:rFonts w:ascii="宋体" w:hAnsi="宋体" w:eastAsia="宋体" w:cs="Times New Roman"/>
                <w:kern w:val="2"/>
                <w:sz w:val="24"/>
                <w:szCs w:val="24"/>
                <w:lang w:val="en-US" w:eastAsia="zh-CN" w:bidi="ar-SA"/>
              </w:rPr>
            </w:pPr>
            <w:r>
              <w:rPr>
                <w:rFonts w:hint="eastAsia" w:ascii="宋体" w:hAnsi="宋体"/>
                <w:sz w:val="24"/>
                <w:lang w:val="en-US" w:eastAsia="zh-CN"/>
              </w:rPr>
              <w:t>91370900869611107U</w:t>
            </w:r>
          </w:p>
        </w:tc>
      </w:tr>
      <w:tr w14:paraId="5D4E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vAlign w:val="center"/>
          </w:tcPr>
          <w:p w14:paraId="593461E1">
            <w:pPr>
              <w:spacing w:before="78" w:beforeLines="25" w:after="78" w:afterLines="25"/>
              <w:jc w:val="center"/>
              <w:rPr>
                <w:rFonts w:ascii="宋体" w:hAnsi="宋体"/>
                <w:b/>
                <w:sz w:val="24"/>
              </w:rPr>
            </w:pPr>
            <w:r>
              <w:rPr>
                <w:rFonts w:hint="eastAsia" w:ascii="宋体" w:hAnsi="宋体"/>
                <w:b/>
                <w:sz w:val="24"/>
              </w:rPr>
              <w:t>成立时间</w:t>
            </w:r>
          </w:p>
        </w:tc>
        <w:tc>
          <w:tcPr>
            <w:tcW w:w="5865" w:type="dxa"/>
            <w:shd w:val="clear" w:color="auto" w:fill="auto"/>
            <w:vAlign w:val="center"/>
          </w:tcPr>
          <w:p w14:paraId="19DB3510">
            <w:pPr>
              <w:spacing w:before="78" w:beforeLines="25" w:after="78" w:afterLines="25"/>
              <w:rPr>
                <w:rFonts w:ascii="宋体" w:hAnsi="宋体" w:eastAsia="宋体" w:cs="Times New Roman"/>
                <w:kern w:val="2"/>
                <w:sz w:val="24"/>
                <w:szCs w:val="24"/>
                <w:lang w:val="en-US" w:eastAsia="zh-CN" w:bidi="ar-SA"/>
              </w:rPr>
            </w:pPr>
            <w:r>
              <w:rPr>
                <w:rFonts w:hint="eastAsia" w:ascii="宋体" w:hAnsi="宋体"/>
                <w:sz w:val="24"/>
              </w:rPr>
              <w:t>2000-03-17</w:t>
            </w:r>
          </w:p>
        </w:tc>
      </w:tr>
      <w:tr w14:paraId="1237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vAlign w:val="center"/>
          </w:tcPr>
          <w:p w14:paraId="021D59CC">
            <w:pPr>
              <w:spacing w:before="78" w:beforeLines="25" w:after="78" w:afterLines="25"/>
              <w:jc w:val="center"/>
              <w:rPr>
                <w:rFonts w:ascii="宋体" w:hAnsi="宋体"/>
                <w:b/>
                <w:sz w:val="24"/>
              </w:rPr>
            </w:pPr>
            <w:r>
              <w:rPr>
                <w:rFonts w:hint="eastAsia" w:ascii="宋体" w:hAnsi="宋体"/>
                <w:b/>
                <w:sz w:val="24"/>
              </w:rPr>
              <w:t>注册地</w:t>
            </w:r>
          </w:p>
        </w:tc>
        <w:tc>
          <w:tcPr>
            <w:tcW w:w="5865" w:type="dxa"/>
            <w:shd w:val="clear" w:color="auto" w:fill="auto"/>
            <w:vAlign w:val="center"/>
          </w:tcPr>
          <w:p w14:paraId="1E2BAF91">
            <w:pPr>
              <w:spacing w:before="78" w:beforeLines="25" w:after="78" w:afterLines="25"/>
              <w:rPr>
                <w:rFonts w:ascii="宋体" w:hAnsi="宋体" w:eastAsia="宋体" w:cs="Times New Roman"/>
                <w:kern w:val="2"/>
                <w:sz w:val="24"/>
                <w:szCs w:val="24"/>
                <w:lang w:val="en-US" w:eastAsia="zh-CN" w:bidi="ar-SA"/>
              </w:rPr>
            </w:pPr>
            <w:r>
              <w:rPr>
                <w:rFonts w:hint="eastAsia" w:ascii="宋体" w:hAnsi="宋体"/>
                <w:sz w:val="24"/>
              </w:rPr>
              <w:t>山东省泰安高新区长城路以东、东天门大街以北奥源时代大厦18、19、20层</w:t>
            </w:r>
          </w:p>
        </w:tc>
      </w:tr>
      <w:tr w14:paraId="388A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vAlign w:val="center"/>
          </w:tcPr>
          <w:p w14:paraId="55E73ABF">
            <w:pPr>
              <w:spacing w:before="78" w:beforeLines="25" w:after="78" w:afterLines="25"/>
              <w:jc w:val="center"/>
              <w:rPr>
                <w:rFonts w:ascii="宋体" w:hAnsi="宋体"/>
                <w:b/>
                <w:sz w:val="24"/>
              </w:rPr>
            </w:pPr>
            <w:r>
              <w:rPr>
                <w:rFonts w:hint="eastAsia" w:ascii="宋体" w:hAnsi="宋体"/>
                <w:b/>
                <w:sz w:val="24"/>
              </w:rPr>
              <w:t>法定代表人</w:t>
            </w:r>
          </w:p>
        </w:tc>
        <w:tc>
          <w:tcPr>
            <w:tcW w:w="5865" w:type="dxa"/>
            <w:shd w:val="clear" w:color="auto" w:fill="auto"/>
            <w:vAlign w:val="center"/>
          </w:tcPr>
          <w:p w14:paraId="0907A971">
            <w:pPr>
              <w:spacing w:before="78" w:beforeLines="25" w:after="78" w:afterLines="25"/>
              <w:rPr>
                <w:rFonts w:ascii="宋体" w:hAnsi="宋体" w:eastAsia="宋体" w:cs="Times New Roman"/>
                <w:kern w:val="2"/>
                <w:sz w:val="24"/>
                <w:szCs w:val="24"/>
                <w:lang w:val="en-US" w:eastAsia="zh-CN" w:bidi="ar-SA"/>
              </w:rPr>
            </w:pPr>
            <w:r>
              <w:rPr>
                <w:rFonts w:hint="eastAsia" w:ascii="宋体" w:hAnsi="宋体"/>
                <w:sz w:val="24"/>
                <w:lang w:val="en-US" w:eastAsia="zh-CN"/>
              </w:rPr>
              <w:t>冯军</w:t>
            </w:r>
          </w:p>
        </w:tc>
      </w:tr>
      <w:tr w14:paraId="085C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vAlign w:val="center"/>
          </w:tcPr>
          <w:p w14:paraId="394B2459">
            <w:pPr>
              <w:spacing w:before="78" w:beforeLines="25" w:after="78" w:afterLines="25"/>
              <w:jc w:val="center"/>
              <w:rPr>
                <w:rFonts w:ascii="宋体" w:hAnsi="宋体"/>
                <w:b/>
                <w:sz w:val="24"/>
              </w:rPr>
            </w:pPr>
            <w:r>
              <w:rPr>
                <w:rFonts w:hint="eastAsia" w:ascii="宋体" w:hAnsi="宋体"/>
                <w:b/>
                <w:sz w:val="24"/>
              </w:rPr>
              <w:t>注册资本</w:t>
            </w:r>
          </w:p>
        </w:tc>
        <w:tc>
          <w:tcPr>
            <w:tcW w:w="5865" w:type="dxa"/>
            <w:shd w:val="clear" w:color="auto" w:fill="auto"/>
            <w:vAlign w:val="center"/>
          </w:tcPr>
          <w:p w14:paraId="20664C18">
            <w:pPr>
              <w:spacing w:before="78" w:beforeLines="25" w:after="78" w:afterLines="25"/>
              <w:rPr>
                <w:rFonts w:hint="eastAsia" w:ascii="宋体" w:hAnsi="宋体" w:eastAsia="宋体" w:cs="Times New Roman"/>
                <w:kern w:val="2"/>
                <w:sz w:val="24"/>
                <w:szCs w:val="24"/>
                <w:lang w:val="en-US" w:eastAsia="zh-CN" w:bidi="ar-SA"/>
              </w:rPr>
            </w:pPr>
            <w:r>
              <w:rPr>
                <w:rFonts w:hint="eastAsia" w:ascii="宋体" w:hAnsi="宋体"/>
                <w:sz w:val="24"/>
              </w:rPr>
              <w:t>人民币492,688.065814万</w:t>
            </w:r>
            <w:r>
              <w:rPr>
                <w:rFonts w:hint="eastAsia" w:ascii="宋体" w:hAnsi="宋体"/>
                <w:sz w:val="24"/>
                <w:lang w:val="en-US" w:eastAsia="zh-CN"/>
              </w:rPr>
              <w:t>元</w:t>
            </w:r>
          </w:p>
        </w:tc>
      </w:tr>
      <w:tr w14:paraId="40C1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vAlign w:val="center"/>
          </w:tcPr>
          <w:p w14:paraId="46EF8257">
            <w:pPr>
              <w:spacing w:before="78" w:beforeLines="25" w:after="78" w:afterLines="25"/>
              <w:jc w:val="center"/>
              <w:rPr>
                <w:rFonts w:ascii="宋体" w:hAnsi="宋体"/>
                <w:b/>
                <w:sz w:val="24"/>
              </w:rPr>
            </w:pPr>
            <w:r>
              <w:rPr>
                <w:rFonts w:hint="eastAsia" w:ascii="宋体" w:hAnsi="宋体"/>
                <w:b/>
                <w:sz w:val="24"/>
              </w:rPr>
              <w:t>经营范围</w:t>
            </w:r>
          </w:p>
        </w:tc>
        <w:tc>
          <w:tcPr>
            <w:tcW w:w="5865" w:type="dxa"/>
            <w:shd w:val="clear" w:color="auto" w:fill="auto"/>
            <w:vAlign w:val="center"/>
          </w:tcPr>
          <w:p w14:paraId="6A9F2E79">
            <w:pPr>
              <w:spacing w:before="78" w:beforeLines="25" w:after="78" w:afterLines="25"/>
              <w:rPr>
                <w:rFonts w:hint="eastAsia" w:ascii="宋体" w:hAnsi="宋体"/>
                <w:sz w:val="24"/>
              </w:rPr>
            </w:pPr>
            <w:r>
              <w:rPr>
                <w:rFonts w:hint="eastAsia" w:ascii="宋体" w:hAnsi="宋体"/>
                <w:sz w:val="24"/>
              </w:rPr>
              <w:t>许可项目：特种设备设计；特种设备制造；特种设备安装改造修理；发电、输电、供电业务；各类工程建设活动；货物进出口；技术进出口；检验检测服务。（依法须经批准的项目，经相关部门批准后方可开展经营活动，具体经营项目以相关部门批准文件或许可证件为准）</w:t>
            </w:r>
          </w:p>
          <w:p w14:paraId="01298FBA">
            <w:pPr>
              <w:spacing w:before="78" w:beforeLines="25" w:after="78" w:afterLines="25"/>
              <w:rPr>
                <w:rFonts w:ascii="宋体" w:hAnsi="宋体" w:eastAsia="宋体" w:cs="Times New Roman"/>
                <w:kern w:val="2"/>
                <w:sz w:val="24"/>
                <w:szCs w:val="24"/>
                <w:lang w:val="en-US" w:eastAsia="zh-CN" w:bidi="ar-SA"/>
              </w:rPr>
            </w:pPr>
            <w:r>
              <w:rPr>
                <w:rFonts w:hint="eastAsia" w:ascii="宋体" w:hAnsi="宋体"/>
                <w:sz w:val="24"/>
              </w:rPr>
              <w:t>一般项目：矿山机械制造；矿山机械销售；通用设备制造（不含特种设备制造）；通用设备修理；专用设备制造（不含许可类专业设备制造）；专用设备修理；特种设备销售；机械设备销售；环境保护专用设备制造；环保咨询服务；节能管理服务；有色金属合金制造；有色金属合金销售；电机制造；机械电气设备制造；电气机械设备销售；变压器、整流器和电感器制造；电气设备修理；电气设备销售；橡胶制品制造；橡胶制品销售；仪器仪表制造；仪器仪表销售；隧道施工专用机械制造；隧道施工专用机械销售；以自有资金从事投资活动；太阳能发电技术服务；技术服务、技术开发、技术咨询、技术交流、技术转让、技术推广；新材料技术研发；新型建筑材料制造（不含危险化学品）；建筑材料销售；特种设备出租；非居住房地产租赁；机械设备租赁；光伏发电设备租赁；生产性废旧金属回收；专用化学产品销售（不含危险化学品）；金属表面处理及热处理加工；金属材料销售；木材销售；润滑油销售。（除依法须经批准的项目外，凭营业执照依法自主开展经营活动）</w:t>
            </w:r>
          </w:p>
        </w:tc>
      </w:tr>
      <w:tr w14:paraId="39366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vAlign w:val="center"/>
          </w:tcPr>
          <w:p w14:paraId="29E32B42">
            <w:pPr>
              <w:spacing w:before="78" w:beforeLines="25" w:after="78" w:afterLines="25"/>
              <w:jc w:val="center"/>
              <w:rPr>
                <w:rFonts w:ascii="宋体" w:hAnsi="宋体"/>
                <w:b/>
                <w:sz w:val="24"/>
              </w:rPr>
            </w:pPr>
            <w:r>
              <w:rPr>
                <w:rFonts w:hint="eastAsia" w:ascii="宋体" w:hAnsi="宋体"/>
                <w:b/>
                <w:sz w:val="24"/>
              </w:rPr>
              <w:t>股权结构</w:t>
            </w:r>
          </w:p>
        </w:tc>
        <w:tc>
          <w:tcPr>
            <w:tcW w:w="5865" w:type="dxa"/>
            <w:shd w:val="clear" w:color="auto" w:fill="auto"/>
            <w:vAlign w:val="center"/>
          </w:tcPr>
          <w:p w14:paraId="0363E2D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sz w:val="24"/>
                <w:lang w:val="en-US" w:eastAsia="zh-CN"/>
              </w:rPr>
            </w:pPr>
            <w:r>
              <w:rPr>
                <w:rFonts w:hint="eastAsia" w:ascii="宋体" w:hAnsi="宋体"/>
                <w:sz w:val="24"/>
              </w:rPr>
              <w:t>山东能源集团有限公司</w:t>
            </w:r>
            <w:r>
              <w:rPr>
                <w:rFonts w:hint="eastAsia" w:ascii="宋体" w:hAnsi="宋体"/>
                <w:sz w:val="24"/>
                <w:lang w:val="en-US" w:eastAsia="zh-CN"/>
              </w:rPr>
              <w:t>持股64.189%，</w:t>
            </w:r>
          </w:p>
          <w:p w14:paraId="22304AA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sz w:val="24"/>
                <w:lang w:val="en-US" w:eastAsia="zh-CN"/>
              </w:rPr>
            </w:pPr>
            <w:r>
              <w:rPr>
                <w:rFonts w:hint="eastAsia" w:ascii="宋体" w:hAnsi="宋体"/>
                <w:sz w:val="24"/>
                <w:lang w:val="en-US" w:eastAsia="zh-CN"/>
              </w:rPr>
              <w:t>枣庄矿业（集团）有限责任公司持股15.103%，</w:t>
            </w:r>
          </w:p>
          <w:p w14:paraId="131034D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sz w:val="24"/>
                <w:lang w:val="en-US" w:eastAsia="zh-CN"/>
              </w:rPr>
            </w:pPr>
            <w:r>
              <w:rPr>
                <w:rFonts w:hint="default" w:ascii="宋体" w:hAnsi="宋体"/>
                <w:sz w:val="24"/>
                <w:lang w:val="en-US" w:eastAsia="zh-CN"/>
              </w:rPr>
              <w:t>临沂矿业集团有限责任公司</w:t>
            </w:r>
            <w:r>
              <w:rPr>
                <w:rFonts w:hint="eastAsia" w:ascii="宋体" w:hAnsi="宋体"/>
                <w:sz w:val="24"/>
                <w:lang w:val="en-US" w:eastAsia="zh-CN"/>
              </w:rPr>
              <w:t>持股10.5596%，</w:t>
            </w:r>
          </w:p>
          <w:p w14:paraId="13013851">
            <w:pPr>
              <w:keepNext w:val="0"/>
              <w:keepLines w:val="0"/>
              <w:pageBreakBefore w:val="0"/>
              <w:widowControl w:val="0"/>
              <w:kinsoku/>
              <w:wordWrap/>
              <w:overflowPunct/>
              <w:topLinePunct w:val="0"/>
              <w:autoSpaceDE/>
              <w:autoSpaceDN/>
              <w:bidi w:val="0"/>
              <w:adjustRightInd/>
              <w:snapToGrid/>
              <w:textAlignment w:val="auto"/>
              <w:rPr>
                <w:rFonts w:ascii="宋体" w:hAnsi="宋体" w:eastAsia="宋体" w:cs="Times New Roman"/>
                <w:kern w:val="2"/>
                <w:sz w:val="24"/>
                <w:szCs w:val="24"/>
                <w:lang w:val="en-US" w:eastAsia="zh-CN" w:bidi="ar-SA"/>
              </w:rPr>
            </w:pPr>
            <w:r>
              <w:rPr>
                <w:rFonts w:hint="eastAsia" w:ascii="宋体" w:hAnsi="宋体"/>
                <w:sz w:val="24"/>
              </w:rPr>
              <w:fldChar w:fldCharType="begin"/>
            </w:r>
            <w:r>
              <w:rPr>
                <w:rFonts w:hint="eastAsia" w:ascii="宋体" w:hAnsi="宋体"/>
                <w:sz w:val="24"/>
              </w:rPr>
              <w:instrText xml:space="preserve"> HYPERLINK "https://www.tianyancha.com/company/211128348" \t "https://www.tianyancha.com/company/_blank" </w:instrText>
            </w:r>
            <w:r>
              <w:rPr>
                <w:rFonts w:hint="eastAsia" w:ascii="宋体" w:hAnsi="宋体"/>
                <w:sz w:val="24"/>
              </w:rPr>
              <w:fldChar w:fldCharType="separate"/>
            </w:r>
            <w:r>
              <w:rPr>
                <w:rFonts w:hint="default" w:ascii="宋体" w:hAnsi="宋体"/>
                <w:sz w:val="24"/>
              </w:rPr>
              <w:t>新汶矿业集团有限责任公司</w:t>
            </w:r>
            <w:r>
              <w:rPr>
                <w:rFonts w:hint="default" w:ascii="宋体" w:hAnsi="宋体"/>
                <w:sz w:val="24"/>
              </w:rPr>
              <w:fldChar w:fldCharType="end"/>
            </w:r>
            <w:r>
              <w:rPr>
                <w:rFonts w:hint="eastAsia" w:ascii="宋体" w:hAnsi="宋体"/>
                <w:sz w:val="24"/>
                <w:lang w:val="en-US" w:eastAsia="zh-CN"/>
              </w:rPr>
              <w:t>持股10.1484%。</w:t>
            </w:r>
          </w:p>
        </w:tc>
      </w:tr>
      <w:tr w14:paraId="76EF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vAlign w:val="center"/>
          </w:tcPr>
          <w:p w14:paraId="751BF2B9">
            <w:pPr>
              <w:spacing w:before="78" w:beforeLines="25" w:after="78" w:afterLines="25"/>
              <w:jc w:val="center"/>
              <w:rPr>
                <w:rFonts w:ascii="宋体" w:hAnsi="宋体"/>
                <w:b/>
                <w:sz w:val="24"/>
              </w:rPr>
            </w:pPr>
            <w:r>
              <w:rPr>
                <w:rFonts w:hint="eastAsia" w:ascii="宋体" w:hAnsi="宋体"/>
                <w:b/>
                <w:sz w:val="24"/>
              </w:rPr>
              <w:t>是否被失信被执行人</w:t>
            </w:r>
          </w:p>
        </w:tc>
        <w:tc>
          <w:tcPr>
            <w:tcW w:w="5865" w:type="dxa"/>
            <w:shd w:val="clear" w:color="auto" w:fill="auto"/>
            <w:vAlign w:val="center"/>
          </w:tcPr>
          <w:p w14:paraId="4831AB71">
            <w:pPr>
              <w:spacing w:before="78" w:beforeLines="25" w:after="78" w:afterLines="25"/>
              <w:jc w:val="left"/>
              <w:rPr>
                <w:rFonts w:ascii="宋体" w:hAnsi="宋体" w:eastAsia="宋体" w:cs="Times New Roman"/>
                <w:kern w:val="2"/>
                <w:sz w:val="24"/>
                <w:szCs w:val="24"/>
                <w:lang w:val="en-US" w:eastAsia="zh-CN" w:bidi="ar-SA"/>
              </w:rPr>
            </w:pPr>
            <w:r>
              <w:rPr>
                <w:rFonts w:hint="eastAsia" w:ascii="宋体" w:hAnsi="宋体"/>
                <w:sz w:val="24"/>
                <w:lang w:val="en-US" w:eastAsia="zh-CN"/>
              </w:rPr>
              <w:t>否</w:t>
            </w:r>
          </w:p>
        </w:tc>
      </w:tr>
    </w:tbl>
    <w:p w14:paraId="0BF34285">
      <w:pPr>
        <w:keepNext w:val="0"/>
        <w:keepLines w:val="0"/>
        <w:pageBreakBefore w:val="0"/>
        <w:widowControl/>
        <w:kinsoku/>
        <w:wordWrap/>
        <w:overflowPunct/>
        <w:topLinePunct w:val="0"/>
        <w:autoSpaceDE/>
        <w:autoSpaceDN/>
        <w:bidi w:val="0"/>
        <w:adjustRightInd w:val="0"/>
        <w:snapToGrid w:val="0"/>
        <w:spacing w:beforeAutospacing="0" w:line="560" w:lineRule="exact"/>
        <w:ind w:firstLine="560" w:firstLineChars="200"/>
        <w:textAlignment w:val="auto"/>
        <w:rPr>
          <w:rFonts w:ascii="宋体" w:hAnsi="宋体" w:cs="仿宋_GB2312"/>
          <w:sz w:val="28"/>
          <w:szCs w:val="28"/>
        </w:rPr>
      </w:pPr>
      <w:r>
        <w:rPr>
          <w:rFonts w:ascii="宋体" w:hAnsi="宋体" w:cs="仿宋_GB2312"/>
          <w:sz w:val="28"/>
          <w:szCs w:val="28"/>
        </w:rPr>
        <w:t>2</w:t>
      </w:r>
      <w:r>
        <w:rPr>
          <w:rFonts w:hint="eastAsia" w:ascii="宋体" w:hAnsi="宋体" w:cs="仿宋_GB2312"/>
          <w:sz w:val="28"/>
          <w:szCs w:val="28"/>
          <w:lang w:eastAsia="zh-CN"/>
        </w:rPr>
        <w:t>.</w:t>
      </w:r>
      <w:r>
        <w:rPr>
          <w:rFonts w:hint="eastAsia" w:ascii="宋体" w:hAnsi="宋体" w:cs="仿宋_GB2312"/>
          <w:sz w:val="28"/>
          <w:szCs w:val="28"/>
        </w:rPr>
        <w:t>最近一年又一期财务数据</w:t>
      </w:r>
    </w:p>
    <w:p w14:paraId="2EA40C5C">
      <w:pPr>
        <w:widowControl/>
        <w:adjustRightInd w:val="0"/>
        <w:snapToGrid w:val="0"/>
        <w:spacing w:line="560" w:lineRule="exact"/>
        <w:ind w:firstLine="480" w:firstLineChars="200"/>
        <w:jc w:val="right"/>
        <w:rPr>
          <w:rFonts w:ascii="宋体" w:hAnsi="宋体" w:cs="仿宋_GB2312"/>
          <w:sz w:val="24"/>
          <w:szCs w:val="21"/>
        </w:rPr>
      </w:pPr>
      <w:r>
        <w:rPr>
          <w:rFonts w:hint="eastAsia" w:ascii="宋体" w:hAnsi="宋体" w:cs="仿宋_GB2312"/>
          <w:sz w:val="24"/>
          <w:szCs w:val="21"/>
        </w:rPr>
        <w:t>单位：万元</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3456"/>
        <w:gridCol w:w="3339"/>
      </w:tblGrid>
      <w:tr w14:paraId="7CD8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vAlign w:val="center"/>
          </w:tcPr>
          <w:p w14:paraId="0E8B9A8E">
            <w:pPr>
              <w:spacing w:before="78" w:beforeLines="25" w:after="78" w:afterLines="25"/>
              <w:jc w:val="center"/>
              <w:rPr>
                <w:rFonts w:ascii="宋体" w:hAnsi="宋体"/>
                <w:b/>
                <w:sz w:val="24"/>
              </w:rPr>
            </w:pPr>
            <w:r>
              <w:rPr>
                <w:rFonts w:hint="eastAsia" w:ascii="宋体" w:hAnsi="宋体"/>
                <w:b/>
                <w:sz w:val="24"/>
              </w:rPr>
              <w:t>科目</w:t>
            </w:r>
          </w:p>
        </w:tc>
        <w:tc>
          <w:tcPr>
            <w:tcW w:w="3456" w:type="dxa"/>
          </w:tcPr>
          <w:p w14:paraId="61D5E97B">
            <w:pPr>
              <w:spacing w:before="78" w:beforeLines="25" w:after="78" w:afterLines="25"/>
              <w:jc w:val="center"/>
              <w:rPr>
                <w:rFonts w:ascii="宋体" w:hAnsi="宋体"/>
                <w:b/>
                <w:sz w:val="24"/>
              </w:rPr>
            </w:pPr>
            <w:r>
              <w:rPr>
                <w:rFonts w:hint="eastAsia" w:ascii="宋体" w:hAnsi="宋体"/>
                <w:b/>
                <w:sz w:val="24"/>
              </w:rPr>
              <w:t>截至</w:t>
            </w:r>
            <w:r>
              <w:rPr>
                <w:rFonts w:ascii="宋体" w:hAnsi="宋体"/>
                <w:b/>
                <w:sz w:val="24"/>
              </w:rPr>
              <w:t>2025</w:t>
            </w:r>
            <w:r>
              <w:rPr>
                <w:rFonts w:hint="eastAsia" w:ascii="宋体" w:hAnsi="宋体"/>
                <w:b/>
                <w:sz w:val="24"/>
              </w:rPr>
              <w:t>年</w:t>
            </w:r>
            <w:r>
              <w:rPr>
                <w:rFonts w:ascii="宋体" w:hAnsi="宋体"/>
                <w:b/>
                <w:sz w:val="24"/>
              </w:rPr>
              <w:t>9</w:t>
            </w:r>
            <w:r>
              <w:rPr>
                <w:rFonts w:hint="eastAsia" w:ascii="宋体" w:hAnsi="宋体"/>
                <w:b/>
                <w:sz w:val="24"/>
              </w:rPr>
              <w:t>月</w:t>
            </w:r>
            <w:r>
              <w:rPr>
                <w:rFonts w:ascii="宋体" w:hAnsi="宋体"/>
                <w:b/>
                <w:sz w:val="24"/>
              </w:rPr>
              <w:t>30</w:t>
            </w:r>
            <w:r>
              <w:rPr>
                <w:rFonts w:hint="eastAsia" w:ascii="宋体" w:hAnsi="宋体"/>
                <w:b/>
                <w:sz w:val="24"/>
              </w:rPr>
              <w:t>日</w:t>
            </w:r>
          </w:p>
          <w:p w14:paraId="2E83FF41">
            <w:pPr>
              <w:spacing w:before="78" w:beforeLines="25" w:after="78" w:afterLines="25"/>
              <w:jc w:val="center"/>
              <w:rPr>
                <w:rFonts w:ascii="宋体" w:hAnsi="宋体"/>
                <w:b/>
                <w:sz w:val="24"/>
              </w:rPr>
            </w:pPr>
            <w:r>
              <w:rPr>
                <w:rFonts w:hint="eastAsia" w:ascii="宋体" w:hAnsi="宋体"/>
                <w:b/>
                <w:sz w:val="24"/>
              </w:rPr>
              <w:t>（未经审计）</w:t>
            </w:r>
          </w:p>
        </w:tc>
        <w:tc>
          <w:tcPr>
            <w:tcW w:w="3339" w:type="dxa"/>
          </w:tcPr>
          <w:p w14:paraId="52E730EE">
            <w:pPr>
              <w:spacing w:before="78" w:beforeLines="25" w:after="78" w:afterLines="25"/>
              <w:jc w:val="center"/>
              <w:rPr>
                <w:rFonts w:ascii="宋体" w:hAnsi="宋体"/>
                <w:b/>
                <w:sz w:val="24"/>
              </w:rPr>
            </w:pPr>
            <w:r>
              <w:rPr>
                <w:rFonts w:hint="eastAsia" w:ascii="宋体" w:hAnsi="宋体"/>
                <w:b/>
                <w:sz w:val="24"/>
              </w:rPr>
              <w:t>截至</w:t>
            </w:r>
            <w:r>
              <w:rPr>
                <w:rFonts w:ascii="宋体" w:hAnsi="宋体"/>
                <w:b/>
                <w:sz w:val="24"/>
              </w:rPr>
              <w:t>2024</w:t>
            </w:r>
            <w:r>
              <w:rPr>
                <w:rFonts w:hint="eastAsia" w:ascii="宋体" w:hAnsi="宋体"/>
                <w:b/>
                <w:sz w:val="24"/>
              </w:rPr>
              <w:t>年</w:t>
            </w:r>
            <w:r>
              <w:rPr>
                <w:rFonts w:ascii="宋体" w:hAnsi="宋体"/>
                <w:b/>
                <w:sz w:val="24"/>
              </w:rPr>
              <w:t>12</w:t>
            </w:r>
            <w:r>
              <w:rPr>
                <w:rFonts w:hint="eastAsia" w:ascii="宋体" w:hAnsi="宋体"/>
                <w:b/>
                <w:sz w:val="24"/>
              </w:rPr>
              <w:t>月</w:t>
            </w:r>
            <w:r>
              <w:rPr>
                <w:rFonts w:ascii="宋体" w:hAnsi="宋体"/>
                <w:b/>
                <w:sz w:val="24"/>
              </w:rPr>
              <w:t>31</w:t>
            </w:r>
            <w:r>
              <w:rPr>
                <w:rFonts w:hint="eastAsia" w:ascii="宋体" w:hAnsi="宋体"/>
                <w:b/>
                <w:sz w:val="24"/>
              </w:rPr>
              <w:t>日</w:t>
            </w:r>
          </w:p>
          <w:p w14:paraId="129DA6B2">
            <w:pPr>
              <w:spacing w:before="78" w:beforeLines="25" w:after="78" w:afterLines="25"/>
              <w:jc w:val="center"/>
              <w:rPr>
                <w:rFonts w:ascii="宋体" w:hAnsi="宋体"/>
                <w:b/>
                <w:sz w:val="24"/>
              </w:rPr>
            </w:pPr>
            <w:r>
              <w:rPr>
                <w:rFonts w:hint="eastAsia" w:ascii="宋体" w:hAnsi="宋体"/>
                <w:b/>
                <w:sz w:val="24"/>
              </w:rPr>
              <w:t>（经审计）</w:t>
            </w:r>
          </w:p>
        </w:tc>
      </w:tr>
      <w:tr w14:paraId="2143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tcPr>
          <w:p w14:paraId="544E89BA">
            <w:pPr>
              <w:spacing w:before="78" w:beforeLines="25" w:after="78" w:afterLines="25"/>
              <w:jc w:val="center"/>
              <w:rPr>
                <w:rFonts w:ascii="宋体" w:hAnsi="宋体"/>
                <w:sz w:val="24"/>
              </w:rPr>
            </w:pPr>
            <w:r>
              <w:rPr>
                <w:rFonts w:hint="eastAsia" w:ascii="宋体" w:hAnsi="宋体"/>
                <w:sz w:val="24"/>
              </w:rPr>
              <w:t>资产总额</w:t>
            </w:r>
          </w:p>
        </w:tc>
        <w:tc>
          <w:tcPr>
            <w:tcW w:w="3456" w:type="dxa"/>
            <w:vAlign w:val="top"/>
          </w:tcPr>
          <w:p w14:paraId="349B5177">
            <w:pPr>
              <w:spacing w:before="78" w:beforeLines="25" w:after="78" w:afterLines="25"/>
              <w:jc w:val="right"/>
              <w:rPr>
                <w:rFonts w:ascii="宋体" w:hAnsi="宋体"/>
                <w:sz w:val="24"/>
              </w:rPr>
            </w:pPr>
            <w:r>
              <w:rPr>
                <w:rFonts w:hint="eastAsia" w:ascii="宋体" w:hAnsi="宋体"/>
                <w:sz w:val="24"/>
              </w:rPr>
              <w:t>1,095,534.21</w:t>
            </w:r>
          </w:p>
        </w:tc>
        <w:tc>
          <w:tcPr>
            <w:tcW w:w="3339" w:type="dxa"/>
            <w:vAlign w:val="top"/>
          </w:tcPr>
          <w:p w14:paraId="0C2189BE">
            <w:pPr>
              <w:spacing w:before="78" w:beforeLines="25" w:after="78" w:afterLines="25"/>
              <w:jc w:val="right"/>
              <w:rPr>
                <w:rFonts w:ascii="宋体" w:hAnsi="宋体"/>
                <w:sz w:val="24"/>
              </w:rPr>
            </w:pPr>
            <w:r>
              <w:rPr>
                <w:rFonts w:hint="eastAsia" w:ascii="宋体" w:hAnsi="宋体"/>
                <w:sz w:val="24"/>
              </w:rPr>
              <w:t>993,044.26</w:t>
            </w:r>
          </w:p>
        </w:tc>
      </w:tr>
      <w:tr w14:paraId="7F4D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tcPr>
          <w:p w14:paraId="0FE28F94">
            <w:pPr>
              <w:spacing w:before="78" w:beforeLines="25" w:after="78" w:afterLines="25"/>
              <w:jc w:val="center"/>
              <w:rPr>
                <w:rFonts w:ascii="宋体" w:hAnsi="宋体"/>
                <w:sz w:val="24"/>
              </w:rPr>
            </w:pPr>
            <w:r>
              <w:rPr>
                <w:rFonts w:hint="eastAsia" w:ascii="宋体" w:hAnsi="宋体"/>
                <w:sz w:val="24"/>
              </w:rPr>
              <w:t>负债总额</w:t>
            </w:r>
          </w:p>
        </w:tc>
        <w:tc>
          <w:tcPr>
            <w:tcW w:w="3456" w:type="dxa"/>
            <w:vAlign w:val="top"/>
          </w:tcPr>
          <w:p w14:paraId="050530F1">
            <w:pPr>
              <w:spacing w:before="78" w:beforeLines="25" w:after="78" w:afterLines="25"/>
              <w:jc w:val="right"/>
              <w:rPr>
                <w:rFonts w:ascii="宋体" w:hAnsi="宋体"/>
                <w:sz w:val="24"/>
              </w:rPr>
            </w:pPr>
            <w:r>
              <w:rPr>
                <w:rFonts w:hint="eastAsia" w:ascii="宋体" w:hAnsi="宋体"/>
                <w:sz w:val="24"/>
              </w:rPr>
              <w:t>1,214,533.26</w:t>
            </w:r>
          </w:p>
        </w:tc>
        <w:tc>
          <w:tcPr>
            <w:tcW w:w="3339" w:type="dxa"/>
            <w:vAlign w:val="top"/>
          </w:tcPr>
          <w:p w14:paraId="0A28B396">
            <w:pPr>
              <w:spacing w:before="78" w:beforeLines="25" w:after="78" w:afterLines="25"/>
              <w:jc w:val="right"/>
              <w:rPr>
                <w:rFonts w:ascii="宋体" w:hAnsi="宋体"/>
                <w:sz w:val="24"/>
              </w:rPr>
            </w:pPr>
            <w:r>
              <w:rPr>
                <w:rFonts w:hint="eastAsia" w:ascii="宋体" w:hAnsi="宋体"/>
                <w:sz w:val="24"/>
              </w:rPr>
              <w:t>1,293,549.05</w:t>
            </w:r>
          </w:p>
        </w:tc>
      </w:tr>
      <w:tr w14:paraId="0AE3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tcPr>
          <w:p w14:paraId="38187247">
            <w:pPr>
              <w:spacing w:before="78" w:beforeLines="25" w:after="78" w:afterLines="25"/>
              <w:jc w:val="center"/>
              <w:rPr>
                <w:rFonts w:hint="default" w:ascii="宋体" w:hAnsi="宋体" w:eastAsia="宋体"/>
                <w:sz w:val="24"/>
                <w:lang w:val="en-US" w:eastAsia="zh-CN"/>
              </w:rPr>
            </w:pPr>
            <w:r>
              <w:rPr>
                <w:rFonts w:hint="eastAsia" w:ascii="宋体" w:hAnsi="宋体"/>
                <w:sz w:val="24"/>
                <w:lang w:val="en-US" w:eastAsia="zh-CN"/>
              </w:rPr>
              <w:t>所有者权益</w:t>
            </w:r>
          </w:p>
        </w:tc>
        <w:tc>
          <w:tcPr>
            <w:tcW w:w="3456" w:type="dxa"/>
            <w:vAlign w:val="top"/>
          </w:tcPr>
          <w:p w14:paraId="2CADA21E">
            <w:pPr>
              <w:spacing w:before="78" w:beforeLines="25" w:after="78" w:afterLines="25"/>
              <w:jc w:val="right"/>
              <w:rPr>
                <w:rFonts w:ascii="宋体" w:hAnsi="宋体"/>
                <w:sz w:val="24"/>
              </w:rPr>
            </w:pPr>
            <w:r>
              <w:rPr>
                <w:rFonts w:hint="eastAsia" w:ascii="宋体" w:hAnsi="宋体"/>
                <w:sz w:val="24"/>
              </w:rPr>
              <w:t>-118,999.05</w:t>
            </w:r>
          </w:p>
        </w:tc>
        <w:tc>
          <w:tcPr>
            <w:tcW w:w="3339" w:type="dxa"/>
            <w:vAlign w:val="top"/>
          </w:tcPr>
          <w:p w14:paraId="3979A116">
            <w:pPr>
              <w:spacing w:before="78" w:beforeLines="25" w:after="78" w:afterLines="25"/>
              <w:jc w:val="right"/>
              <w:rPr>
                <w:rFonts w:ascii="宋体" w:hAnsi="宋体"/>
                <w:sz w:val="24"/>
              </w:rPr>
            </w:pPr>
            <w:r>
              <w:rPr>
                <w:rFonts w:hint="eastAsia" w:ascii="宋体" w:hAnsi="宋体"/>
                <w:sz w:val="24"/>
              </w:rPr>
              <w:t>-300,504.79</w:t>
            </w:r>
          </w:p>
        </w:tc>
      </w:tr>
      <w:tr w14:paraId="47BB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vAlign w:val="center"/>
          </w:tcPr>
          <w:p w14:paraId="761D9158">
            <w:pPr>
              <w:spacing w:before="78" w:beforeLines="25" w:after="78" w:afterLines="25"/>
              <w:jc w:val="center"/>
              <w:rPr>
                <w:rFonts w:ascii="宋体" w:hAnsi="宋体"/>
                <w:b/>
                <w:sz w:val="24"/>
              </w:rPr>
            </w:pPr>
            <w:r>
              <w:rPr>
                <w:rFonts w:hint="eastAsia" w:ascii="宋体" w:hAnsi="宋体"/>
                <w:b/>
                <w:sz w:val="24"/>
              </w:rPr>
              <w:t>科目</w:t>
            </w:r>
          </w:p>
        </w:tc>
        <w:tc>
          <w:tcPr>
            <w:tcW w:w="3456" w:type="dxa"/>
            <w:vAlign w:val="center"/>
          </w:tcPr>
          <w:p w14:paraId="2987A642">
            <w:pPr>
              <w:spacing w:before="78" w:beforeLines="25" w:after="78" w:afterLines="25"/>
              <w:jc w:val="center"/>
              <w:rPr>
                <w:rFonts w:hint="eastAsia" w:ascii="宋体" w:hAnsi="宋体"/>
                <w:b/>
                <w:sz w:val="24"/>
              </w:rPr>
            </w:pPr>
            <w:r>
              <w:rPr>
                <w:rFonts w:ascii="宋体" w:hAnsi="宋体"/>
                <w:b/>
                <w:sz w:val="24"/>
              </w:rPr>
              <w:t>2025</w:t>
            </w:r>
            <w:r>
              <w:rPr>
                <w:rFonts w:hint="eastAsia" w:ascii="宋体" w:hAnsi="宋体"/>
                <w:b/>
                <w:sz w:val="24"/>
              </w:rPr>
              <w:t>年1</w:t>
            </w:r>
            <w:r>
              <w:rPr>
                <w:rFonts w:ascii="宋体" w:hAnsi="宋体"/>
                <w:b/>
                <w:sz w:val="24"/>
              </w:rPr>
              <w:t>-9</w:t>
            </w:r>
            <w:r>
              <w:rPr>
                <w:rFonts w:hint="eastAsia" w:ascii="宋体" w:hAnsi="宋体"/>
                <w:b/>
                <w:sz w:val="24"/>
              </w:rPr>
              <w:t>月</w:t>
            </w:r>
          </w:p>
          <w:p w14:paraId="6DCA72F8">
            <w:pPr>
              <w:spacing w:before="78" w:beforeLines="25" w:after="78" w:afterLines="25"/>
              <w:jc w:val="center"/>
              <w:rPr>
                <w:rFonts w:hint="eastAsia" w:ascii="宋体" w:hAnsi="宋体"/>
                <w:b/>
                <w:sz w:val="24"/>
              </w:rPr>
            </w:pPr>
            <w:r>
              <w:rPr>
                <w:rFonts w:hint="eastAsia" w:ascii="宋体" w:hAnsi="宋体"/>
                <w:b/>
                <w:sz w:val="24"/>
              </w:rPr>
              <w:t>（未经审计）</w:t>
            </w:r>
          </w:p>
        </w:tc>
        <w:tc>
          <w:tcPr>
            <w:tcW w:w="3339" w:type="dxa"/>
            <w:vAlign w:val="center"/>
          </w:tcPr>
          <w:p w14:paraId="62F6B3F1">
            <w:pPr>
              <w:spacing w:before="78" w:beforeLines="25" w:after="78" w:afterLines="25"/>
              <w:jc w:val="center"/>
              <w:rPr>
                <w:rFonts w:hint="eastAsia" w:ascii="宋体" w:hAnsi="宋体"/>
                <w:b/>
                <w:sz w:val="24"/>
              </w:rPr>
            </w:pPr>
            <w:r>
              <w:rPr>
                <w:rFonts w:ascii="宋体" w:hAnsi="宋体"/>
                <w:b/>
                <w:sz w:val="24"/>
              </w:rPr>
              <w:t>2024</w:t>
            </w:r>
            <w:r>
              <w:rPr>
                <w:rFonts w:hint="eastAsia" w:ascii="宋体" w:hAnsi="宋体"/>
                <w:b/>
                <w:sz w:val="24"/>
              </w:rPr>
              <w:t>年度</w:t>
            </w:r>
          </w:p>
          <w:p w14:paraId="0C176E88">
            <w:pPr>
              <w:spacing w:before="78" w:beforeLines="25" w:after="78" w:afterLines="25"/>
              <w:jc w:val="center"/>
              <w:rPr>
                <w:rFonts w:hint="eastAsia" w:ascii="宋体" w:hAnsi="宋体"/>
                <w:b/>
                <w:sz w:val="24"/>
              </w:rPr>
            </w:pPr>
            <w:r>
              <w:rPr>
                <w:rFonts w:hint="eastAsia" w:ascii="宋体" w:hAnsi="宋体"/>
                <w:b/>
                <w:sz w:val="24"/>
              </w:rPr>
              <w:t>（经审计）</w:t>
            </w:r>
          </w:p>
        </w:tc>
      </w:tr>
      <w:tr w14:paraId="4D15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tcPr>
          <w:p w14:paraId="001F27A4">
            <w:pPr>
              <w:spacing w:before="78" w:beforeLines="25" w:after="78" w:afterLines="25"/>
              <w:jc w:val="center"/>
              <w:rPr>
                <w:rFonts w:ascii="宋体" w:hAnsi="宋体"/>
                <w:sz w:val="24"/>
              </w:rPr>
            </w:pPr>
            <w:r>
              <w:rPr>
                <w:rFonts w:hint="eastAsia" w:ascii="宋体" w:hAnsi="宋体"/>
                <w:sz w:val="24"/>
              </w:rPr>
              <w:t>营业收入</w:t>
            </w:r>
          </w:p>
        </w:tc>
        <w:tc>
          <w:tcPr>
            <w:tcW w:w="3456" w:type="dxa"/>
            <w:shd w:val="clear" w:color="auto" w:fill="auto"/>
            <w:vAlign w:val="top"/>
          </w:tcPr>
          <w:p w14:paraId="0A611A02">
            <w:pPr>
              <w:spacing w:before="78" w:beforeLines="25" w:after="78" w:afterLines="25"/>
              <w:jc w:val="right"/>
              <w:rPr>
                <w:rFonts w:ascii="宋体" w:hAnsi="宋体" w:eastAsia="宋体" w:cs="Times New Roman"/>
                <w:kern w:val="2"/>
                <w:sz w:val="24"/>
                <w:szCs w:val="24"/>
                <w:lang w:val="en-US" w:eastAsia="zh-CN" w:bidi="ar-SA"/>
              </w:rPr>
            </w:pPr>
            <w:r>
              <w:rPr>
                <w:rFonts w:hint="eastAsia" w:ascii="宋体" w:hAnsi="宋体"/>
                <w:sz w:val="24"/>
              </w:rPr>
              <w:t>166,111.35</w:t>
            </w:r>
          </w:p>
        </w:tc>
        <w:tc>
          <w:tcPr>
            <w:tcW w:w="3339" w:type="dxa"/>
            <w:shd w:val="clear" w:color="auto" w:fill="auto"/>
            <w:vAlign w:val="top"/>
          </w:tcPr>
          <w:p w14:paraId="46051D89">
            <w:pPr>
              <w:spacing w:before="78" w:beforeLines="25" w:after="78" w:afterLines="25"/>
              <w:jc w:val="right"/>
              <w:rPr>
                <w:rFonts w:ascii="宋体" w:hAnsi="宋体" w:eastAsia="宋体" w:cs="Times New Roman"/>
                <w:kern w:val="2"/>
                <w:sz w:val="24"/>
                <w:szCs w:val="24"/>
                <w:lang w:val="en-US" w:eastAsia="zh-CN" w:bidi="ar-SA"/>
              </w:rPr>
            </w:pPr>
            <w:r>
              <w:rPr>
                <w:rFonts w:hint="eastAsia" w:ascii="宋体" w:hAnsi="宋体"/>
                <w:sz w:val="24"/>
              </w:rPr>
              <w:t>185,345.71</w:t>
            </w:r>
          </w:p>
        </w:tc>
      </w:tr>
      <w:tr w14:paraId="30F3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tcPr>
          <w:p w14:paraId="08BCFD94">
            <w:pPr>
              <w:spacing w:before="78" w:beforeLines="25" w:after="78" w:afterLines="25"/>
              <w:jc w:val="center"/>
              <w:rPr>
                <w:rFonts w:ascii="宋体" w:hAnsi="宋体"/>
                <w:sz w:val="24"/>
              </w:rPr>
            </w:pPr>
            <w:r>
              <w:rPr>
                <w:rFonts w:hint="eastAsia" w:ascii="宋体" w:hAnsi="宋体"/>
                <w:sz w:val="24"/>
              </w:rPr>
              <w:t>净利润</w:t>
            </w:r>
          </w:p>
        </w:tc>
        <w:tc>
          <w:tcPr>
            <w:tcW w:w="3456" w:type="dxa"/>
            <w:shd w:val="clear" w:color="auto" w:fill="auto"/>
            <w:vAlign w:val="top"/>
          </w:tcPr>
          <w:p w14:paraId="33E7087F">
            <w:pPr>
              <w:spacing w:before="78" w:beforeLines="25" w:after="78" w:afterLines="25"/>
              <w:jc w:val="right"/>
              <w:rPr>
                <w:rFonts w:ascii="宋体" w:hAnsi="宋体" w:eastAsia="宋体" w:cs="Times New Roman"/>
                <w:kern w:val="2"/>
                <w:sz w:val="24"/>
                <w:szCs w:val="24"/>
                <w:lang w:val="en-US" w:eastAsia="zh-CN" w:bidi="ar-SA"/>
              </w:rPr>
            </w:pPr>
            <w:r>
              <w:rPr>
                <w:rFonts w:hint="eastAsia" w:ascii="宋体" w:hAnsi="宋体"/>
                <w:sz w:val="24"/>
              </w:rPr>
              <w:t>-60,432.63</w:t>
            </w:r>
          </w:p>
        </w:tc>
        <w:tc>
          <w:tcPr>
            <w:tcW w:w="3339" w:type="dxa"/>
            <w:shd w:val="clear" w:color="auto" w:fill="auto"/>
            <w:vAlign w:val="top"/>
          </w:tcPr>
          <w:p w14:paraId="45805DED">
            <w:pPr>
              <w:spacing w:before="78" w:beforeLines="25" w:after="78" w:afterLines="25"/>
              <w:jc w:val="right"/>
              <w:rPr>
                <w:rFonts w:ascii="宋体" w:hAnsi="宋体" w:eastAsia="宋体" w:cs="Times New Roman"/>
                <w:kern w:val="2"/>
                <w:sz w:val="24"/>
                <w:szCs w:val="24"/>
                <w:lang w:val="en-US" w:eastAsia="zh-CN" w:bidi="ar-SA"/>
              </w:rPr>
            </w:pPr>
            <w:r>
              <w:rPr>
                <w:rFonts w:hint="eastAsia" w:ascii="宋体" w:hAnsi="宋体"/>
                <w:sz w:val="24"/>
              </w:rPr>
              <w:t>-63,434.53</w:t>
            </w:r>
          </w:p>
        </w:tc>
      </w:tr>
    </w:tbl>
    <w:p w14:paraId="2B3D2C08">
      <w:pPr>
        <w:keepNext w:val="0"/>
        <w:keepLines w:val="0"/>
        <w:pageBreakBefore w:val="0"/>
        <w:widowControl w:val="0"/>
        <w:kinsoku/>
        <w:wordWrap/>
        <w:overflowPunct/>
        <w:topLinePunct w:val="0"/>
        <w:autoSpaceDE w:val="0"/>
        <w:autoSpaceDN w:val="0"/>
        <w:bidi w:val="0"/>
        <w:adjustRightInd w:val="0"/>
        <w:snapToGrid w:val="0"/>
        <w:spacing w:before="157" w:beforeLines="50" w:beforeAutospacing="0" w:line="560" w:lineRule="exact"/>
        <w:ind w:firstLine="600" w:firstLineChars="200"/>
        <w:textAlignment w:val="auto"/>
        <w:outlineLvl w:val="0"/>
        <w:rPr>
          <w:rFonts w:ascii="黑体" w:hAnsi="黑体" w:eastAsia="黑体"/>
          <w:b w:val="0"/>
          <w:bCs/>
          <w:color w:val="000000"/>
          <w:sz w:val="30"/>
          <w:szCs w:val="30"/>
        </w:rPr>
      </w:pPr>
      <w:r>
        <w:rPr>
          <w:rFonts w:hint="eastAsia" w:ascii="黑体" w:hAnsi="黑体" w:eastAsia="黑体"/>
          <w:b w:val="0"/>
          <w:bCs/>
          <w:color w:val="000000"/>
          <w:sz w:val="30"/>
          <w:szCs w:val="30"/>
        </w:rPr>
        <w:t>三、</w:t>
      </w:r>
      <w:r>
        <w:rPr>
          <w:rFonts w:hint="eastAsia" w:ascii="黑体" w:hAnsi="黑体" w:eastAsia="黑体"/>
          <w:b w:val="0"/>
          <w:bCs/>
          <w:color w:val="000000"/>
          <w:sz w:val="30"/>
          <w:szCs w:val="30"/>
          <w:lang w:val="en-US" w:eastAsia="zh-CN"/>
        </w:rPr>
        <w:t>交易</w:t>
      </w:r>
      <w:r>
        <w:rPr>
          <w:rFonts w:hint="eastAsia" w:ascii="黑体" w:hAnsi="黑体" w:eastAsia="黑体"/>
          <w:b w:val="0"/>
          <w:bCs/>
          <w:color w:val="000000"/>
          <w:sz w:val="30"/>
          <w:szCs w:val="30"/>
        </w:rPr>
        <w:t>标的基本情况</w:t>
      </w:r>
    </w:p>
    <w:p w14:paraId="7D3A1C73">
      <w:pPr>
        <w:widowControl/>
        <w:adjustRightInd w:val="0"/>
        <w:snapToGrid w:val="0"/>
        <w:spacing w:line="560" w:lineRule="exact"/>
        <w:ind w:firstLine="602" w:firstLineChars="200"/>
        <w:rPr>
          <w:rFonts w:hint="eastAsia" w:ascii="楷体_GB2312" w:hAnsi="楷体_GB2312" w:eastAsia="楷体_GB2312" w:cs="楷体_GB2312"/>
          <w:b/>
          <w:color w:val="000000"/>
          <w:sz w:val="30"/>
          <w:szCs w:val="30"/>
        </w:rPr>
      </w:pPr>
      <w:r>
        <w:rPr>
          <w:rFonts w:hint="eastAsia" w:ascii="楷体_GB2312" w:hAnsi="楷体_GB2312" w:eastAsia="楷体_GB2312" w:cs="楷体_GB2312"/>
          <w:b/>
          <w:color w:val="000000"/>
          <w:sz w:val="30"/>
          <w:szCs w:val="30"/>
        </w:rPr>
        <w:t>（一）</w:t>
      </w:r>
      <w:r>
        <w:rPr>
          <w:rFonts w:hint="eastAsia" w:ascii="楷体_GB2312" w:hAnsi="楷体_GB2312" w:eastAsia="楷体_GB2312" w:cs="楷体_GB2312"/>
          <w:b/>
          <w:color w:val="000000"/>
          <w:sz w:val="30"/>
          <w:szCs w:val="30"/>
          <w:lang w:val="en-US" w:eastAsia="zh-CN"/>
        </w:rPr>
        <w:t>交易</w:t>
      </w:r>
      <w:r>
        <w:rPr>
          <w:rFonts w:hint="eastAsia" w:ascii="楷体_GB2312" w:hAnsi="楷体_GB2312" w:eastAsia="楷体_GB2312" w:cs="楷体_GB2312"/>
          <w:b/>
          <w:color w:val="000000"/>
          <w:sz w:val="30"/>
          <w:szCs w:val="30"/>
        </w:rPr>
        <w:t>标的概况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033"/>
      </w:tblGrid>
      <w:tr w14:paraId="2050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5172A0A1">
            <w:pPr>
              <w:spacing w:before="78" w:beforeLines="25" w:after="78" w:afterLines="25"/>
              <w:jc w:val="center"/>
              <w:rPr>
                <w:rFonts w:ascii="宋体" w:hAnsi="宋体"/>
                <w:b/>
                <w:sz w:val="24"/>
              </w:rPr>
            </w:pPr>
            <w:r>
              <w:rPr>
                <w:rFonts w:hint="eastAsia" w:ascii="宋体" w:hAnsi="宋体"/>
                <w:b/>
                <w:sz w:val="24"/>
              </w:rPr>
              <w:t>名称</w:t>
            </w:r>
          </w:p>
        </w:tc>
        <w:tc>
          <w:tcPr>
            <w:tcW w:w="6033" w:type="dxa"/>
            <w:vAlign w:val="center"/>
          </w:tcPr>
          <w:p w14:paraId="4B200176">
            <w:pPr>
              <w:spacing w:before="78" w:beforeLines="25" w:after="78" w:afterLines="25"/>
              <w:rPr>
                <w:rFonts w:ascii="宋体" w:hAnsi="宋体"/>
                <w:sz w:val="24"/>
              </w:rPr>
            </w:pPr>
            <w:r>
              <w:rPr>
                <w:rFonts w:hint="eastAsia" w:ascii="宋体" w:hAnsi="宋体"/>
                <w:sz w:val="24"/>
                <w:lang w:val="en-US" w:eastAsia="zh-CN"/>
              </w:rPr>
              <w:t>山东能源装备集团高端支架制造有限公司</w:t>
            </w:r>
          </w:p>
        </w:tc>
      </w:tr>
      <w:tr w14:paraId="04FA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40188070">
            <w:pPr>
              <w:spacing w:before="78" w:beforeLines="25" w:after="78" w:afterLines="25"/>
              <w:jc w:val="center"/>
              <w:rPr>
                <w:rFonts w:ascii="宋体" w:hAnsi="宋体"/>
                <w:b/>
                <w:sz w:val="24"/>
              </w:rPr>
            </w:pPr>
            <w:r>
              <w:rPr>
                <w:rFonts w:hint="eastAsia" w:ascii="宋体" w:hAnsi="宋体"/>
                <w:b/>
                <w:sz w:val="24"/>
              </w:rPr>
              <w:t>统一社会信用代码</w:t>
            </w:r>
          </w:p>
        </w:tc>
        <w:tc>
          <w:tcPr>
            <w:tcW w:w="6033" w:type="dxa"/>
            <w:shd w:val="clear" w:color="auto" w:fill="auto"/>
            <w:vAlign w:val="center"/>
          </w:tcPr>
          <w:p w14:paraId="7AAFFF43">
            <w:pPr>
              <w:spacing w:before="78" w:beforeLines="25" w:after="78" w:afterLines="25"/>
              <w:rPr>
                <w:rFonts w:ascii="宋体" w:hAnsi="宋体" w:eastAsia="宋体" w:cs="Times New Roman"/>
                <w:kern w:val="2"/>
                <w:sz w:val="24"/>
                <w:szCs w:val="24"/>
                <w:highlight w:val="none"/>
                <w:lang w:val="en-US" w:eastAsia="zh-CN" w:bidi="ar-SA"/>
              </w:rPr>
            </w:pPr>
            <w:r>
              <w:rPr>
                <w:rFonts w:hint="eastAsia" w:ascii="宋体" w:hAnsi="宋体"/>
                <w:sz w:val="24"/>
                <w:highlight w:val="none"/>
                <w:lang w:val="en-US" w:eastAsia="zh-CN"/>
              </w:rPr>
              <w:t>91370982MAC62G6K0H</w:t>
            </w:r>
          </w:p>
        </w:tc>
      </w:tr>
      <w:tr w14:paraId="18BC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72BE5992">
            <w:pPr>
              <w:spacing w:before="78" w:beforeLines="25" w:after="78" w:afterLines="25"/>
              <w:jc w:val="center"/>
              <w:rPr>
                <w:rFonts w:ascii="宋体" w:hAnsi="宋体"/>
                <w:b/>
                <w:sz w:val="24"/>
              </w:rPr>
            </w:pPr>
            <w:r>
              <w:rPr>
                <w:rFonts w:hint="eastAsia" w:ascii="宋体" w:hAnsi="宋体"/>
                <w:b/>
                <w:sz w:val="24"/>
              </w:rPr>
              <w:t>成立时间</w:t>
            </w:r>
          </w:p>
        </w:tc>
        <w:tc>
          <w:tcPr>
            <w:tcW w:w="6033" w:type="dxa"/>
            <w:shd w:val="clear" w:color="auto" w:fill="auto"/>
            <w:vAlign w:val="center"/>
          </w:tcPr>
          <w:p w14:paraId="02AB73E8">
            <w:pPr>
              <w:spacing w:before="78" w:beforeLines="25" w:after="78" w:afterLines="25"/>
              <w:rPr>
                <w:rFonts w:hint="default" w:ascii="宋体" w:hAnsi="宋体" w:eastAsia="宋体" w:cs="Times New Roman"/>
                <w:kern w:val="2"/>
                <w:sz w:val="24"/>
                <w:szCs w:val="24"/>
                <w:highlight w:val="none"/>
                <w:lang w:val="en-US" w:eastAsia="zh-CN" w:bidi="ar-SA"/>
              </w:rPr>
            </w:pPr>
            <w:r>
              <w:rPr>
                <w:rFonts w:hint="eastAsia" w:ascii="宋体" w:hAnsi="宋体"/>
                <w:sz w:val="24"/>
                <w:highlight w:val="none"/>
                <w:lang w:val="en-US" w:eastAsia="zh-CN"/>
              </w:rPr>
              <w:t>2022年12月08日</w:t>
            </w:r>
          </w:p>
        </w:tc>
      </w:tr>
      <w:tr w14:paraId="77F5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55166B31">
            <w:pPr>
              <w:spacing w:before="78" w:beforeLines="25" w:after="78" w:afterLines="25"/>
              <w:jc w:val="center"/>
              <w:rPr>
                <w:rFonts w:ascii="宋体" w:hAnsi="宋体"/>
                <w:b/>
                <w:sz w:val="24"/>
              </w:rPr>
            </w:pPr>
            <w:r>
              <w:rPr>
                <w:rFonts w:hint="eastAsia" w:ascii="宋体" w:hAnsi="宋体"/>
                <w:b/>
                <w:sz w:val="24"/>
              </w:rPr>
              <w:t>注册地</w:t>
            </w:r>
          </w:p>
        </w:tc>
        <w:tc>
          <w:tcPr>
            <w:tcW w:w="6033" w:type="dxa"/>
            <w:shd w:val="clear" w:color="auto" w:fill="auto"/>
            <w:vAlign w:val="center"/>
          </w:tcPr>
          <w:p w14:paraId="1F779F0D">
            <w:pPr>
              <w:spacing w:before="78" w:beforeLines="25" w:after="78" w:afterLines="25"/>
              <w:rPr>
                <w:rFonts w:hint="default" w:ascii="宋体" w:hAnsi="宋体" w:eastAsia="宋体" w:cs="Times New Roman"/>
                <w:kern w:val="2"/>
                <w:sz w:val="24"/>
                <w:szCs w:val="24"/>
                <w:highlight w:val="none"/>
                <w:lang w:val="en-US" w:eastAsia="zh-CN" w:bidi="ar-SA"/>
              </w:rPr>
            </w:pPr>
            <w:r>
              <w:rPr>
                <w:rFonts w:hint="eastAsia" w:ascii="宋体" w:hAnsi="宋体"/>
                <w:sz w:val="24"/>
                <w:highlight w:val="none"/>
                <w:lang w:val="en-US" w:eastAsia="zh-CN"/>
              </w:rPr>
              <w:t>山东省泰安市</w:t>
            </w:r>
          </w:p>
        </w:tc>
      </w:tr>
      <w:tr w14:paraId="650D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7F2C4FC0">
            <w:pPr>
              <w:spacing w:before="78" w:beforeLines="25" w:after="78" w:afterLines="25"/>
              <w:jc w:val="center"/>
              <w:rPr>
                <w:rFonts w:ascii="宋体" w:hAnsi="宋体"/>
                <w:b/>
                <w:sz w:val="24"/>
              </w:rPr>
            </w:pPr>
            <w:r>
              <w:rPr>
                <w:rFonts w:hint="eastAsia" w:ascii="宋体" w:hAnsi="宋体"/>
                <w:b/>
                <w:sz w:val="24"/>
              </w:rPr>
              <w:t>法定代表人</w:t>
            </w:r>
          </w:p>
        </w:tc>
        <w:tc>
          <w:tcPr>
            <w:tcW w:w="6033" w:type="dxa"/>
            <w:shd w:val="clear" w:color="auto" w:fill="auto"/>
            <w:vAlign w:val="center"/>
          </w:tcPr>
          <w:p w14:paraId="3DF92F94">
            <w:pPr>
              <w:spacing w:before="78" w:beforeLines="25" w:after="78" w:afterLines="25"/>
              <w:rPr>
                <w:rFonts w:hint="eastAsia" w:ascii="宋体" w:hAnsi="宋体" w:eastAsia="宋体" w:cs="Times New Roman"/>
                <w:kern w:val="2"/>
                <w:sz w:val="24"/>
                <w:szCs w:val="24"/>
                <w:highlight w:val="none"/>
                <w:lang w:val="en-US" w:eastAsia="zh-CN" w:bidi="ar-SA"/>
              </w:rPr>
            </w:pPr>
            <w:r>
              <w:rPr>
                <w:rFonts w:hint="eastAsia" w:ascii="宋体" w:hAnsi="宋体"/>
                <w:sz w:val="24"/>
                <w:highlight w:val="none"/>
                <w:lang w:val="en-US" w:eastAsia="zh-CN"/>
              </w:rPr>
              <w:t>朱合伟</w:t>
            </w:r>
          </w:p>
        </w:tc>
      </w:tr>
      <w:tr w14:paraId="7002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19F7E8EA">
            <w:pPr>
              <w:spacing w:before="78" w:beforeLines="25" w:after="78" w:afterLines="25"/>
              <w:jc w:val="center"/>
              <w:rPr>
                <w:rFonts w:ascii="宋体" w:hAnsi="宋体"/>
                <w:b/>
                <w:sz w:val="24"/>
              </w:rPr>
            </w:pPr>
            <w:r>
              <w:rPr>
                <w:rFonts w:hint="eastAsia" w:ascii="宋体" w:hAnsi="宋体"/>
                <w:b/>
                <w:sz w:val="24"/>
              </w:rPr>
              <w:t>注册资本</w:t>
            </w:r>
          </w:p>
        </w:tc>
        <w:tc>
          <w:tcPr>
            <w:tcW w:w="6033" w:type="dxa"/>
            <w:shd w:val="clear" w:color="auto" w:fill="auto"/>
            <w:vAlign w:val="center"/>
          </w:tcPr>
          <w:p w14:paraId="09D35842">
            <w:pPr>
              <w:spacing w:before="78" w:beforeLines="25" w:after="78" w:afterLines="25"/>
              <w:rPr>
                <w:rFonts w:hint="default" w:ascii="宋体" w:hAnsi="宋体" w:eastAsia="宋体" w:cs="Times New Roman"/>
                <w:kern w:val="2"/>
                <w:sz w:val="24"/>
                <w:szCs w:val="24"/>
                <w:highlight w:val="none"/>
                <w:lang w:val="en-US" w:eastAsia="zh-CN" w:bidi="ar-SA"/>
              </w:rPr>
            </w:pPr>
            <w:r>
              <w:rPr>
                <w:rFonts w:hint="eastAsia" w:ascii="宋体" w:hAnsi="宋体"/>
                <w:sz w:val="24"/>
                <w:highlight w:val="none"/>
                <w:lang w:val="en-US" w:eastAsia="zh-CN"/>
              </w:rPr>
              <w:t>人民币3亿元</w:t>
            </w:r>
          </w:p>
        </w:tc>
      </w:tr>
      <w:tr w14:paraId="0C55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02994D88">
            <w:pPr>
              <w:spacing w:before="78" w:beforeLines="25" w:after="78" w:afterLines="25"/>
              <w:jc w:val="center"/>
              <w:rPr>
                <w:rFonts w:ascii="宋体" w:hAnsi="宋体"/>
                <w:b/>
                <w:sz w:val="24"/>
              </w:rPr>
            </w:pPr>
            <w:r>
              <w:rPr>
                <w:rFonts w:hint="eastAsia" w:ascii="宋体" w:hAnsi="宋体"/>
                <w:b/>
                <w:sz w:val="24"/>
              </w:rPr>
              <w:t>经营范围</w:t>
            </w:r>
          </w:p>
        </w:tc>
        <w:tc>
          <w:tcPr>
            <w:tcW w:w="6033" w:type="dxa"/>
            <w:shd w:val="clear" w:color="auto" w:fill="auto"/>
            <w:vAlign w:val="center"/>
          </w:tcPr>
          <w:p w14:paraId="6EB3BFE9">
            <w:pPr>
              <w:spacing w:before="78" w:beforeLines="25" w:after="78" w:afterLines="25"/>
              <w:rPr>
                <w:rFonts w:hint="default" w:ascii="宋体" w:hAnsi="宋体" w:eastAsia="宋体" w:cs="Times New Roman"/>
                <w:kern w:val="2"/>
                <w:sz w:val="24"/>
                <w:szCs w:val="24"/>
                <w:highlight w:val="none"/>
                <w:lang w:val="en-US" w:eastAsia="zh-CN" w:bidi="ar-SA"/>
              </w:rPr>
            </w:pPr>
            <w:r>
              <w:rPr>
                <w:rFonts w:hint="eastAsia" w:ascii="宋体" w:hAnsi="宋体"/>
                <w:sz w:val="24"/>
                <w:highlight w:val="none"/>
                <w:lang w:val="en-US" w:eastAsia="zh-CN"/>
              </w:rPr>
              <w:t>矿山机械制造；通用设备制造；通用设备修理；专用设备修理；特种设备销售；机械设备销售。特种设备设计；特种设备制造；特种设备安装改造修理。</w:t>
            </w:r>
          </w:p>
        </w:tc>
      </w:tr>
      <w:tr w14:paraId="2B11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7E85D3F8">
            <w:pPr>
              <w:spacing w:before="78" w:beforeLines="25" w:after="78" w:afterLines="25"/>
              <w:jc w:val="center"/>
              <w:rPr>
                <w:rFonts w:ascii="宋体" w:hAnsi="宋体"/>
                <w:b/>
                <w:sz w:val="24"/>
              </w:rPr>
            </w:pPr>
            <w:r>
              <w:rPr>
                <w:rFonts w:hint="eastAsia" w:ascii="宋体" w:hAnsi="宋体"/>
                <w:b/>
                <w:sz w:val="24"/>
              </w:rPr>
              <w:t>股权结构</w:t>
            </w:r>
          </w:p>
        </w:tc>
        <w:tc>
          <w:tcPr>
            <w:tcW w:w="6033" w:type="dxa"/>
            <w:shd w:val="clear" w:color="auto" w:fill="auto"/>
            <w:vAlign w:val="center"/>
          </w:tcPr>
          <w:p w14:paraId="1B522474">
            <w:pPr>
              <w:spacing w:before="78" w:beforeLines="25" w:after="78" w:afterLines="25"/>
              <w:rPr>
                <w:rFonts w:hint="default" w:ascii="宋体" w:hAnsi="宋体" w:eastAsia="宋体" w:cs="Times New Roman"/>
                <w:kern w:val="2"/>
                <w:sz w:val="24"/>
                <w:szCs w:val="24"/>
                <w:highlight w:val="none"/>
                <w:lang w:val="en-US" w:eastAsia="zh-CN" w:bidi="ar-SA"/>
              </w:rPr>
            </w:pPr>
            <w:r>
              <w:rPr>
                <w:rFonts w:hint="eastAsia" w:ascii="宋体" w:hAnsi="宋体"/>
                <w:sz w:val="24"/>
                <w:highlight w:val="none"/>
                <w:lang w:val="en-US" w:eastAsia="zh-CN"/>
              </w:rPr>
              <w:t>山东能源集团重型装备制造（集团）有限公司持股100%</w:t>
            </w:r>
          </w:p>
        </w:tc>
      </w:tr>
      <w:tr w14:paraId="550A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4BC5ABFA">
            <w:pPr>
              <w:spacing w:before="78" w:beforeLines="25" w:after="78" w:afterLines="25"/>
              <w:jc w:val="center"/>
              <w:rPr>
                <w:rFonts w:ascii="宋体" w:hAnsi="宋体"/>
                <w:b/>
                <w:sz w:val="24"/>
              </w:rPr>
            </w:pPr>
            <w:r>
              <w:rPr>
                <w:rFonts w:hint="eastAsia" w:ascii="宋体" w:hAnsi="宋体"/>
                <w:b/>
                <w:sz w:val="24"/>
              </w:rPr>
              <w:t>是否为失信被执行人</w:t>
            </w:r>
          </w:p>
        </w:tc>
        <w:tc>
          <w:tcPr>
            <w:tcW w:w="6033" w:type="dxa"/>
            <w:shd w:val="clear" w:color="auto" w:fill="auto"/>
            <w:vAlign w:val="center"/>
          </w:tcPr>
          <w:p w14:paraId="28AE1926">
            <w:pPr>
              <w:spacing w:before="78" w:beforeLines="25" w:after="78" w:afterLines="25"/>
              <w:rPr>
                <w:rFonts w:hint="eastAsia" w:ascii="宋体" w:hAnsi="宋体" w:eastAsia="宋体" w:cs="Times New Roman"/>
                <w:kern w:val="2"/>
                <w:sz w:val="24"/>
                <w:szCs w:val="24"/>
                <w:highlight w:val="yellow"/>
                <w:lang w:val="en-US" w:eastAsia="zh-CN" w:bidi="ar-SA"/>
              </w:rPr>
            </w:pPr>
            <w:r>
              <w:rPr>
                <w:rFonts w:hint="eastAsia" w:ascii="宋体" w:hAnsi="宋体"/>
                <w:sz w:val="24"/>
                <w:highlight w:val="none"/>
                <w:lang w:val="en-US" w:eastAsia="zh-CN"/>
              </w:rPr>
              <w:t>否</w:t>
            </w:r>
          </w:p>
        </w:tc>
      </w:tr>
    </w:tbl>
    <w:p w14:paraId="2A866D5E">
      <w:pPr>
        <w:rPr>
          <w:rFonts w:hint="eastAsia" w:ascii="楷体_GB2312" w:hAnsi="楷体_GB2312" w:eastAsia="楷体_GB2312" w:cs="楷体_GB2312"/>
          <w:b/>
          <w:color w:val="000000"/>
          <w:sz w:val="30"/>
          <w:szCs w:val="30"/>
          <w:lang w:val="en-US" w:eastAsia="zh-CN"/>
        </w:rPr>
      </w:pPr>
      <w:r>
        <w:rPr>
          <w:rFonts w:hint="eastAsia" w:ascii="楷体_GB2312" w:hAnsi="楷体_GB2312" w:eastAsia="楷体_GB2312" w:cs="楷体_GB2312"/>
          <w:b/>
          <w:color w:val="000000"/>
          <w:sz w:val="30"/>
          <w:szCs w:val="30"/>
          <w:lang w:val="en-US" w:eastAsia="zh-CN"/>
        </w:rPr>
        <w:br w:type="page"/>
      </w:r>
    </w:p>
    <w:p w14:paraId="766914CE">
      <w:pPr>
        <w:widowControl/>
        <w:numPr>
          <w:ilvl w:val="0"/>
          <w:numId w:val="0"/>
        </w:numPr>
        <w:adjustRightInd w:val="0"/>
        <w:snapToGrid w:val="0"/>
        <w:spacing w:line="560" w:lineRule="exact"/>
        <w:ind w:firstLine="602" w:firstLineChars="200"/>
        <w:rPr>
          <w:rFonts w:hint="eastAsia" w:ascii="楷体_GB2312" w:hAnsi="楷体_GB2312" w:eastAsia="楷体_GB2312" w:cs="楷体_GB2312"/>
          <w:b/>
          <w:color w:val="000000"/>
          <w:sz w:val="30"/>
          <w:szCs w:val="30"/>
        </w:rPr>
      </w:pPr>
      <w:r>
        <w:rPr>
          <w:rFonts w:hint="eastAsia" w:ascii="楷体_GB2312" w:hAnsi="楷体_GB2312" w:eastAsia="楷体_GB2312" w:cs="楷体_GB2312"/>
          <w:b/>
          <w:color w:val="000000"/>
          <w:sz w:val="30"/>
          <w:szCs w:val="30"/>
          <w:lang w:val="en-US" w:eastAsia="zh-CN"/>
        </w:rPr>
        <w:t>（二）交易</w:t>
      </w:r>
      <w:r>
        <w:rPr>
          <w:rFonts w:hint="eastAsia" w:ascii="楷体_GB2312" w:hAnsi="楷体_GB2312" w:eastAsia="楷体_GB2312" w:cs="楷体_GB2312"/>
          <w:b/>
          <w:color w:val="000000"/>
          <w:sz w:val="30"/>
          <w:szCs w:val="30"/>
        </w:rPr>
        <w:t>标的主要财务信息</w:t>
      </w:r>
    </w:p>
    <w:p w14:paraId="7CC3AABB">
      <w:pPr>
        <w:widowControl/>
        <w:adjustRightInd w:val="0"/>
        <w:snapToGrid w:val="0"/>
        <w:spacing w:line="560" w:lineRule="exact"/>
        <w:ind w:firstLine="480" w:firstLineChars="200"/>
        <w:jc w:val="right"/>
        <w:rPr>
          <w:rFonts w:hint="eastAsia" w:ascii="楷体_GB2312" w:hAnsi="楷体_GB2312" w:eastAsia="楷体_GB2312" w:cs="楷体_GB2312"/>
          <w:b/>
          <w:color w:val="000000"/>
          <w:sz w:val="30"/>
          <w:szCs w:val="30"/>
        </w:rPr>
      </w:pPr>
      <w:r>
        <w:rPr>
          <w:rFonts w:hint="eastAsia" w:ascii="宋体" w:hAnsi="宋体" w:cs="仿宋_GB2312"/>
          <w:sz w:val="24"/>
          <w:szCs w:val="21"/>
        </w:rPr>
        <w:t>单位：万元</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3426"/>
        <w:gridCol w:w="3339"/>
      </w:tblGrid>
      <w:tr w14:paraId="7EB1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Align w:val="center"/>
          </w:tcPr>
          <w:p w14:paraId="12CB1B66">
            <w:pPr>
              <w:spacing w:before="78" w:beforeLines="25" w:after="78" w:afterLines="25"/>
              <w:jc w:val="center"/>
              <w:rPr>
                <w:rFonts w:ascii="宋体" w:hAnsi="宋体"/>
                <w:b/>
                <w:sz w:val="24"/>
              </w:rPr>
            </w:pPr>
            <w:r>
              <w:rPr>
                <w:rFonts w:hint="eastAsia" w:ascii="宋体" w:hAnsi="宋体"/>
                <w:b/>
                <w:sz w:val="24"/>
              </w:rPr>
              <w:t>科目</w:t>
            </w:r>
          </w:p>
        </w:tc>
        <w:tc>
          <w:tcPr>
            <w:tcW w:w="3426" w:type="dxa"/>
          </w:tcPr>
          <w:p w14:paraId="70CD02DD">
            <w:pPr>
              <w:spacing w:before="78" w:beforeLines="25" w:after="78" w:afterLines="25"/>
              <w:jc w:val="center"/>
              <w:rPr>
                <w:rFonts w:ascii="宋体" w:hAnsi="宋体"/>
                <w:b/>
                <w:sz w:val="24"/>
              </w:rPr>
            </w:pPr>
            <w:r>
              <w:rPr>
                <w:rFonts w:hint="eastAsia" w:ascii="宋体" w:hAnsi="宋体"/>
                <w:b/>
                <w:sz w:val="24"/>
              </w:rPr>
              <w:t>截至202</w:t>
            </w:r>
            <w:r>
              <w:rPr>
                <w:rFonts w:ascii="宋体" w:hAnsi="宋体"/>
                <w:b/>
                <w:sz w:val="24"/>
              </w:rPr>
              <w:t>5</w:t>
            </w:r>
            <w:r>
              <w:rPr>
                <w:rFonts w:hint="eastAsia" w:ascii="宋体" w:hAnsi="宋体"/>
                <w:b/>
                <w:sz w:val="24"/>
              </w:rPr>
              <w:t>年9月3</w:t>
            </w:r>
            <w:r>
              <w:rPr>
                <w:rFonts w:ascii="宋体" w:hAnsi="宋体"/>
                <w:b/>
                <w:sz w:val="24"/>
              </w:rPr>
              <w:t>0</w:t>
            </w:r>
            <w:r>
              <w:rPr>
                <w:rFonts w:hint="eastAsia" w:ascii="宋体" w:hAnsi="宋体"/>
                <w:b/>
                <w:sz w:val="24"/>
              </w:rPr>
              <w:t>日</w:t>
            </w:r>
          </w:p>
          <w:p w14:paraId="196E8196">
            <w:pPr>
              <w:spacing w:before="78" w:beforeLines="25" w:after="78" w:afterLines="25"/>
              <w:jc w:val="center"/>
              <w:rPr>
                <w:rFonts w:ascii="宋体" w:hAnsi="宋体"/>
                <w:b/>
                <w:sz w:val="24"/>
              </w:rPr>
            </w:pPr>
            <w:r>
              <w:rPr>
                <w:rFonts w:hint="eastAsia" w:ascii="宋体" w:hAnsi="宋体"/>
                <w:b/>
                <w:sz w:val="24"/>
              </w:rPr>
              <w:t>（未经审计）</w:t>
            </w:r>
          </w:p>
        </w:tc>
        <w:tc>
          <w:tcPr>
            <w:tcW w:w="3339" w:type="dxa"/>
          </w:tcPr>
          <w:p w14:paraId="187736F5">
            <w:pPr>
              <w:spacing w:before="78" w:beforeLines="25" w:after="78" w:afterLines="25"/>
              <w:jc w:val="center"/>
              <w:rPr>
                <w:rFonts w:ascii="宋体" w:hAnsi="宋体"/>
                <w:b/>
                <w:sz w:val="24"/>
              </w:rPr>
            </w:pPr>
            <w:r>
              <w:rPr>
                <w:rFonts w:hint="eastAsia" w:ascii="宋体" w:hAnsi="宋体"/>
                <w:b/>
                <w:sz w:val="24"/>
              </w:rPr>
              <w:t>截至202</w:t>
            </w:r>
            <w:r>
              <w:rPr>
                <w:rFonts w:ascii="宋体" w:hAnsi="宋体"/>
                <w:b/>
                <w:sz w:val="24"/>
              </w:rPr>
              <w:t>4</w:t>
            </w:r>
            <w:r>
              <w:rPr>
                <w:rFonts w:hint="eastAsia" w:ascii="宋体" w:hAnsi="宋体"/>
                <w:b/>
                <w:sz w:val="24"/>
              </w:rPr>
              <w:t>年12月31日</w:t>
            </w:r>
          </w:p>
          <w:p w14:paraId="41699F61">
            <w:pPr>
              <w:spacing w:before="78" w:beforeLines="25" w:after="78" w:afterLines="25"/>
              <w:jc w:val="center"/>
              <w:rPr>
                <w:rFonts w:ascii="宋体" w:hAnsi="宋体"/>
                <w:b/>
                <w:sz w:val="24"/>
              </w:rPr>
            </w:pPr>
            <w:r>
              <w:rPr>
                <w:rFonts w:hint="eastAsia" w:ascii="宋体" w:hAnsi="宋体"/>
                <w:b/>
                <w:sz w:val="24"/>
              </w:rPr>
              <w:t>（经审计）</w:t>
            </w:r>
          </w:p>
        </w:tc>
      </w:tr>
      <w:tr w14:paraId="7867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14:paraId="29F14917">
            <w:pPr>
              <w:spacing w:before="78" w:beforeLines="25" w:after="78" w:afterLines="25"/>
              <w:jc w:val="center"/>
              <w:rPr>
                <w:rFonts w:ascii="宋体" w:hAnsi="宋体"/>
                <w:sz w:val="24"/>
              </w:rPr>
            </w:pPr>
            <w:r>
              <w:rPr>
                <w:rFonts w:hint="eastAsia" w:ascii="宋体" w:hAnsi="宋体"/>
                <w:sz w:val="24"/>
              </w:rPr>
              <w:t>资产总额</w:t>
            </w:r>
          </w:p>
        </w:tc>
        <w:tc>
          <w:tcPr>
            <w:tcW w:w="3426" w:type="dxa"/>
            <w:shd w:val="clear" w:color="auto" w:fill="auto"/>
            <w:vAlign w:val="center"/>
          </w:tcPr>
          <w:p w14:paraId="4F6DDDFA">
            <w:pPr>
              <w:spacing w:before="78" w:beforeLines="25" w:after="78" w:afterLines="25"/>
              <w:jc w:val="right"/>
              <w:rPr>
                <w:rFonts w:ascii="宋体" w:hAnsi="宋体" w:eastAsia="宋体" w:cs="Times New Roman"/>
                <w:kern w:val="2"/>
                <w:sz w:val="24"/>
                <w:szCs w:val="24"/>
                <w:highlight w:val="none"/>
                <w:lang w:val="en-US" w:eastAsia="zh-CN" w:bidi="ar-SA"/>
              </w:rPr>
            </w:pPr>
            <w:r>
              <w:rPr>
                <w:rFonts w:hint="default" w:ascii="宋体" w:hAnsi="宋体" w:cs="宋体"/>
                <w:b w:val="0"/>
                <w:bCs/>
                <w:kern w:val="0"/>
                <w:sz w:val="24"/>
                <w:szCs w:val="24"/>
                <w:highlight w:val="none"/>
                <w:lang w:val="en-US" w:eastAsia="zh-CN" w:bidi="ar-SA"/>
              </w:rPr>
              <w:t>178</w:t>
            </w:r>
            <w:r>
              <w:rPr>
                <w:rFonts w:hint="eastAsia" w:ascii="宋体" w:hAnsi="宋体" w:cs="宋体"/>
                <w:b w:val="0"/>
                <w:bCs/>
                <w:kern w:val="0"/>
                <w:sz w:val="24"/>
                <w:szCs w:val="24"/>
                <w:highlight w:val="none"/>
                <w:lang w:val="en-US" w:eastAsia="zh-CN" w:bidi="ar-SA"/>
              </w:rPr>
              <w:t>,</w:t>
            </w:r>
            <w:r>
              <w:rPr>
                <w:rFonts w:hint="default" w:ascii="宋体" w:hAnsi="宋体" w:cs="宋体"/>
                <w:b w:val="0"/>
                <w:bCs/>
                <w:kern w:val="0"/>
                <w:sz w:val="24"/>
                <w:szCs w:val="24"/>
                <w:highlight w:val="none"/>
                <w:lang w:val="en-US" w:eastAsia="zh-CN" w:bidi="ar-SA"/>
              </w:rPr>
              <w:t>173.49</w:t>
            </w:r>
          </w:p>
        </w:tc>
        <w:tc>
          <w:tcPr>
            <w:tcW w:w="3339" w:type="dxa"/>
            <w:shd w:val="clear" w:color="auto" w:fill="auto"/>
            <w:vAlign w:val="center"/>
          </w:tcPr>
          <w:p w14:paraId="1D80F622">
            <w:pPr>
              <w:spacing w:before="78" w:beforeLines="25" w:after="78" w:afterLines="25"/>
              <w:jc w:val="right"/>
              <w:rPr>
                <w:rFonts w:ascii="宋体" w:hAnsi="宋体" w:eastAsia="宋体" w:cs="Times New Roman"/>
                <w:kern w:val="2"/>
                <w:sz w:val="24"/>
                <w:szCs w:val="24"/>
                <w:highlight w:val="none"/>
                <w:lang w:val="en-US" w:eastAsia="zh-CN" w:bidi="ar-SA"/>
              </w:rPr>
            </w:pPr>
            <w:r>
              <w:rPr>
                <w:rFonts w:hint="eastAsia" w:ascii="宋体" w:hAnsi="宋体" w:cs="宋体"/>
                <w:b w:val="0"/>
                <w:bCs/>
                <w:kern w:val="0"/>
                <w:sz w:val="24"/>
                <w:szCs w:val="24"/>
                <w:highlight w:val="none"/>
                <w:lang w:val="en-US" w:eastAsia="zh-CN" w:bidi="ar-SA"/>
              </w:rPr>
              <w:t>99,760.42</w:t>
            </w:r>
          </w:p>
        </w:tc>
      </w:tr>
      <w:tr w14:paraId="0571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14:paraId="1489E76A">
            <w:pPr>
              <w:spacing w:before="78" w:beforeLines="25" w:after="78" w:afterLines="25"/>
              <w:jc w:val="center"/>
              <w:rPr>
                <w:rFonts w:ascii="宋体" w:hAnsi="宋体"/>
                <w:sz w:val="24"/>
              </w:rPr>
            </w:pPr>
            <w:r>
              <w:rPr>
                <w:rFonts w:hint="eastAsia" w:ascii="宋体" w:hAnsi="宋体"/>
                <w:sz w:val="24"/>
              </w:rPr>
              <w:t>负债总额</w:t>
            </w:r>
          </w:p>
        </w:tc>
        <w:tc>
          <w:tcPr>
            <w:tcW w:w="3426" w:type="dxa"/>
            <w:shd w:val="clear" w:color="auto" w:fill="auto"/>
            <w:vAlign w:val="center"/>
          </w:tcPr>
          <w:p w14:paraId="4E4F02C1">
            <w:pPr>
              <w:spacing w:before="78" w:beforeLines="25" w:after="78" w:afterLines="25"/>
              <w:jc w:val="right"/>
              <w:rPr>
                <w:rFonts w:ascii="宋体" w:hAnsi="宋体" w:eastAsia="宋体" w:cs="Times New Roman"/>
                <w:kern w:val="2"/>
                <w:sz w:val="24"/>
                <w:szCs w:val="24"/>
                <w:highlight w:val="none"/>
                <w:lang w:val="en-US" w:eastAsia="zh-CN" w:bidi="ar-SA"/>
              </w:rPr>
            </w:pPr>
            <w:r>
              <w:rPr>
                <w:rFonts w:hint="default" w:ascii="宋体" w:hAnsi="宋体" w:cs="宋体"/>
                <w:b w:val="0"/>
                <w:bCs/>
                <w:kern w:val="0"/>
                <w:sz w:val="24"/>
                <w:szCs w:val="24"/>
                <w:highlight w:val="none"/>
                <w:lang w:val="en-US" w:eastAsia="zh-CN" w:bidi="ar-SA"/>
              </w:rPr>
              <w:t>146</w:t>
            </w:r>
            <w:r>
              <w:rPr>
                <w:rFonts w:hint="eastAsia" w:ascii="宋体" w:hAnsi="宋体" w:cs="宋体"/>
                <w:b w:val="0"/>
                <w:bCs/>
                <w:kern w:val="0"/>
                <w:sz w:val="24"/>
                <w:szCs w:val="24"/>
                <w:highlight w:val="none"/>
                <w:lang w:val="en-US" w:eastAsia="zh-CN" w:bidi="ar-SA"/>
              </w:rPr>
              <w:t>,</w:t>
            </w:r>
            <w:r>
              <w:rPr>
                <w:rFonts w:hint="default" w:ascii="宋体" w:hAnsi="宋体" w:cs="宋体"/>
                <w:b w:val="0"/>
                <w:bCs/>
                <w:kern w:val="0"/>
                <w:sz w:val="24"/>
                <w:szCs w:val="24"/>
                <w:highlight w:val="none"/>
                <w:lang w:val="en-US" w:eastAsia="zh-CN" w:bidi="ar-SA"/>
              </w:rPr>
              <w:t>871.76</w:t>
            </w:r>
          </w:p>
        </w:tc>
        <w:tc>
          <w:tcPr>
            <w:tcW w:w="3339" w:type="dxa"/>
            <w:shd w:val="clear" w:color="auto" w:fill="auto"/>
            <w:vAlign w:val="center"/>
          </w:tcPr>
          <w:p w14:paraId="035F83DC">
            <w:pPr>
              <w:spacing w:before="78" w:beforeLines="25" w:after="78" w:afterLines="25"/>
              <w:jc w:val="right"/>
              <w:rPr>
                <w:rFonts w:ascii="宋体" w:hAnsi="宋体" w:eastAsia="宋体" w:cs="Times New Roman"/>
                <w:kern w:val="2"/>
                <w:sz w:val="24"/>
                <w:szCs w:val="24"/>
                <w:highlight w:val="none"/>
                <w:lang w:val="en-US" w:eastAsia="zh-CN" w:bidi="ar-SA"/>
              </w:rPr>
            </w:pPr>
            <w:r>
              <w:rPr>
                <w:rFonts w:hint="eastAsia" w:ascii="宋体" w:hAnsi="宋体" w:cs="宋体"/>
                <w:b w:val="0"/>
                <w:bCs/>
                <w:kern w:val="0"/>
                <w:sz w:val="24"/>
                <w:szCs w:val="24"/>
                <w:highlight w:val="none"/>
                <w:lang w:val="en-US" w:eastAsia="zh-CN" w:bidi="ar-SA"/>
              </w:rPr>
              <w:t>69,585.57</w:t>
            </w:r>
          </w:p>
        </w:tc>
      </w:tr>
      <w:tr w14:paraId="631D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14:paraId="7636E919">
            <w:pPr>
              <w:spacing w:before="78" w:beforeLines="25" w:after="78" w:afterLines="25"/>
              <w:jc w:val="center"/>
              <w:rPr>
                <w:rFonts w:ascii="宋体" w:hAnsi="宋体"/>
                <w:sz w:val="24"/>
              </w:rPr>
            </w:pPr>
            <w:r>
              <w:rPr>
                <w:rFonts w:hint="eastAsia" w:ascii="宋体" w:hAnsi="宋体"/>
                <w:sz w:val="24"/>
              </w:rPr>
              <w:t>所有者权益</w:t>
            </w:r>
          </w:p>
        </w:tc>
        <w:tc>
          <w:tcPr>
            <w:tcW w:w="3426" w:type="dxa"/>
            <w:shd w:val="clear" w:color="auto" w:fill="auto"/>
            <w:vAlign w:val="center"/>
          </w:tcPr>
          <w:p w14:paraId="1D08336F">
            <w:pPr>
              <w:spacing w:before="78" w:beforeLines="25" w:after="78" w:afterLines="25"/>
              <w:jc w:val="right"/>
              <w:rPr>
                <w:rFonts w:ascii="宋体" w:hAnsi="宋体" w:eastAsia="宋体" w:cs="Times New Roman"/>
                <w:kern w:val="2"/>
                <w:sz w:val="24"/>
                <w:szCs w:val="24"/>
                <w:highlight w:val="none"/>
                <w:lang w:val="en-US" w:eastAsia="zh-CN" w:bidi="ar-SA"/>
              </w:rPr>
            </w:pPr>
            <w:r>
              <w:rPr>
                <w:rFonts w:hint="default" w:ascii="宋体" w:hAnsi="宋体" w:cs="宋体"/>
                <w:b w:val="0"/>
                <w:bCs/>
                <w:kern w:val="0"/>
                <w:sz w:val="24"/>
                <w:szCs w:val="24"/>
                <w:highlight w:val="none"/>
                <w:lang w:val="en-US" w:eastAsia="zh-CN" w:bidi="ar-SA"/>
              </w:rPr>
              <w:t>31</w:t>
            </w:r>
            <w:r>
              <w:rPr>
                <w:rFonts w:hint="eastAsia" w:ascii="宋体" w:hAnsi="宋体" w:cs="宋体"/>
                <w:b w:val="0"/>
                <w:bCs/>
                <w:kern w:val="0"/>
                <w:sz w:val="24"/>
                <w:szCs w:val="24"/>
                <w:highlight w:val="none"/>
                <w:lang w:val="en-US" w:eastAsia="zh-CN" w:bidi="ar-SA"/>
              </w:rPr>
              <w:t>,</w:t>
            </w:r>
            <w:r>
              <w:rPr>
                <w:rFonts w:hint="default" w:ascii="宋体" w:hAnsi="宋体" w:cs="宋体"/>
                <w:b w:val="0"/>
                <w:bCs/>
                <w:kern w:val="0"/>
                <w:sz w:val="24"/>
                <w:szCs w:val="24"/>
                <w:highlight w:val="none"/>
                <w:lang w:val="en-US" w:eastAsia="zh-CN" w:bidi="ar-SA"/>
              </w:rPr>
              <w:t>301.73</w:t>
            </w:r>
          </w:p>
        </w:tc>
        <w:tc>
          <w:tcPr>
            <w:tcW w:w="3339" w:type="dxa"/>
            <w:shd w:val="clear" w:color="auto" w:fill="auto"/>
            <w:vAlign w:val="center"/>
          </w:tcPr>
          <w:p w14:paraId="79F0FE0E">
            <w:pPr>
              <w:spacing w:before="78" w:beforeLines="25" w:after="78" w:afterLines="25"/>
              <w:jc w:val="right"/>
              <w:rPr>
                <w:rFonts w:ascii="宋体" w:hAnsi="宋体" w:eastAsia="宋体" w:cs="Times New Roman"/>
                <w:kern w:val="2"/>
                <w:sz w:val="24"/>
                <w:szCs w:val="24"/>
                <w:highlight w:val="none"/>
                <w:lang w:val="en-US" w:eastAsia="zh-CN" w:bidi="ar-SA"/>
              </w:rPr>
            </w:pPr>
            <w:r>
              <w:rPr>
                <w:rFonts w:hint="eastAsia" w:ascii="宋体" w:hAnsi="宋体" w:cs="宋体"/>
                <w:b w:val="0"/>
                <w:bCs/>
                <w:kern w:val="0"/>
                <w:sz w:val="24"/>
                <w:szCs w:val="24"/>
                <w:highlight w:val="none"/>
                <w:lang w:val="en-US" w:eastAsia="zh-CN" w:bidi="ar-SA"/>
              </w:rPr>
              <w:t>30,174.85</w:t>
            </w:r>
          </w:p>
        </w:tc>
      </w:tr>
      <w:tr w14:paraId="7D210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Align w:val="center"/>
          </w:tcPr>
          <w:p w14:paraId="5C3D56DF">
            <w:pPr>
              <w:spacing w:before="78" w:beforeLines="25" w:after="78" w:afterLines="25"/>
              <w:jc w:val="center"/>
              <w:rPr>
                <w:rFonts w:ascii="宋体" w:hAnsi="宋体"/>
                <w:b/>
                <w:sz w:val="24"/>
              </w:rPr>
            </w:pPr>
            <w:r>
              <w:rPr>
                <w:rFonts w:hint="eastAsia" w:ascii="宋体" w:hAnsi="宋体"/>
                <w:b/>
                <w:sz w:val="24"/>
              </w:rPr>
              <w:t>科目</w:t>
            </w:r>
          </w:p>
        </w:tc>
        <w:tc>
          <w:tcPr>
            <w:tcW w:w="3426" w:type="dxa"/>
            <w:vAlign w:val="center"/>
          </w:tcPr>
          <w:p w14:paraId="47CD9347">
            <w:pPr>
              <w:spacing w:before="78" w:beforeLines="25" w:after="78" w:afterLines="25"/>
              <w:jc w:val="center"/>
              <w:rPr>
                <w:rFonts w:hint="eastAsia" w:ascii="宋体" w:hAnsi="宋体"/>
                <w:b/>
                <w:sz w:val="24"/>
              </w:rPr>
            </w:pPr>
            <w:r>
              <w:rPr>
                <w:rFonts w:ascii="宋体" w:hAnsi="宋体"/>
                <w:b/>
                <w:sz w:val="24"/>
              </w:rPr>
              <w:t>2025</w:t>
            </w:r>
            <w:r>
              <w:rPr>
                <w:rFonts w:hint="eastAsia" w:ascii="宋体" w:hAnsi="宋体"/>
                <w:b/>
                <w:sz w:val="24"/>
              </w:rPr>
              <w:t>年1</w:t>
            </w:r>
            <w:r>
              <w:rPr>
                <w:rFonts w:ascii="宋体" w:hAnsi="宋体"/>
                <w:b/>
                <w:sz w:val="24"/>
              </w:rPr>
              <w:t>-9</w:t>
            </w:r>
            <w:r>
              <w:rPr>
                <w:rFonts w:hint="eastAsia" w:ascii="宋体" w:hAnsi="宋体"/>
                <w:b/>
                <w:sz w:val="24"/>
              </w:rPr>
              <w:t>月</w:t>
            </w:r>
          </w:p>
          <w:p w14:paraId="7A864496">
            <w:pPr>
              <w:spacing w:before="78" w:beforeLines="25" w:after="78" w:afterLines="25"/>
              <w:jc w:val="center"/>
              <w:rPr>
                <w:rFonts w:hint="eastAsia" w:ascii="宋体" w:hAnsi="宋体"/>
                <w:b/>
                <w:sz w:val="24"/>
              </w:rPr>
            </w:pPr>
            <w:r>
              <w:rPr>
                <w:rFonts w:hint="eastAsia" w:ascii="宋体" w:hAnsi="宋体"/>
                <w:b/>
                <w:sz w:val="24"/>
              </w:rPr>
              <w:t>（未经审计）</w:t>
            </w:r>
          </w:p>
        </w:tc>
        <w:tc>
          <w:tcPr>
            <w:tcW w:w="3339" w:type="dxa"/>
            <w:vAlign w:val="center"/>
          </w:tcPr>
          <w:p w14:paraId="5C8C389E">
            <w:pPr>
              <w:spacing w:before="78" w:beforeLines="25" w:after="78" w:afterLines="25"/>
              <w:jc w:val="center"/>
              <w:rPr>
                <w:rFonts w:hint="eastAsia" w:ascii="宋体" w:hAnsi="宋体"/>
                <w:b/>
                <w:sz w:val="24"/>
              </w:rPr>
            </w:pPr>
            <w:r>
              <w:rPr>
                <w:rFonts w:ascii="宋体" w:hAnsi="宋体"/>
                <w:b/>
                <w:sz w:val="24"/>
              </w:rPr>
              <w:t>2024</w:t>
            </w:r>
            <w:r>
              <w:rPr>
                <w:rFonts w:hint="eastAsia" w:ascii="宋体" w:hAnsi="宋体"/>
                <w:b/>
                <w:sz w:val="24"/>
              </w:rPr>
              <w:t>年度</w:t>
            </w:r>
          </w:p>
          <w:p w14:paraId="0D4BE1C3">
            <w:pPr>
              <w:spacing w:before="78" w:beforeLines="25" w:after="78" w:afterLines="25"/>
              <w:jc w:val="center"/>
              <w:rPr>
                <w:rFonts w:hint="eastAsia" w:ascii="宋体" w:hAnsi="宋体"/>
                <w:b/>
                <w:sz w:val="24"/>
              </w:rPr>
            </w:pPr>
            <w:r>
              <w:rPr>
                <w:rFonts w:hint="eastAsia" w:ascii="宋体" w:hAnsi="宋体"/>
                <w:b/>
                <w:sz w:val="24"/>
              </w:rPr>
              <w:t>（经审计）</w:t>
            </w:r>
          </w:p>
        </w:tc>
      </w:tr>
      <w:tr w14:paraId="6403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14:paraId="21E13B8B">
            <w:pPr>
              <w:spacing w:before="78" w:beforeLines="25" w:after="78" w:afterLines="25"/>
              <w:jc w:val="center"/>
              <w:rPr>
                <w:rFonts w:ascii="宋体" w:hAnsi="宋体"/>
                <w:sz w:val="24"/>
              </w:rPr>
            </w:pPr>
            <w:r>
              <w:rPr>
                <w:rFonts w:hint="eastAsia" w:ascii="宋体" w:hAnsi="宋体"/>
                <w:sz w:val="24"/>
              </w:rPr>
              <w:t>营业收入</w:t>
            </w:r>
          </w:p>
        </w:tc>
        <w:tc>
          <w:tcPr>
            <w:tcW w:w="3426" w:type="dxa"/>
            <w:shd w:val="clear" w:color="auto" w:fill="auto"/>
            <w:vAlign w:val="center"/>
          </w:tcPr>
          <w:p w14:paraId="3FEDC000">
            <w:pPr>
              <w:widowControl/>
              <w:jc w:val="right"/>
              <w:rPr>
                <w:rFonts w:ascii="宋体" w:hAnsi="宋体" w:eastAsia="宋体" w:cs="Times New Roman"/>
                <w:kern w:val="2"/>
                <w:sz w:val="24"/>
                <w:szCs w:val="24"/>
                <w:highlight w:val="none"/>
                <w:lang w:val="en-US" w:eastAsia="zh-CN" w:bidi="ar-SA"/>
              </w:rPr>
            </w:pPr>
            <w:r>
              <w:rPr>
                <w:rFonts w:hint="default" w:ascii="宋体" w:hAnsi="宋体" w:cs="宋体"/>
                <w:b w:val="0"/>
                <w:bCs/>
                <w:kern w:val="0"/>
                <w:sz w:val="24"/>
                <w:szCs w:val="24"/>
                <w:highlight w:val="none"/>
                <w:lang w:val="en-US" w:eastAsia="zh-CN" w:bidi="ar-SA"/>
              </w:rPr>
              <w:t>54</w:t>
            </w:r>
            <w:r>
              <w:rPr>
                <w:rFonts w:hint="eastAsia" w:ascii="宋体" w:hAnsi="宋体" w:cs="宋体"/>
                <w:b w:val="0"/>
                <w:bCs/>
                <w:kern w:val="0"/>
                <w:sz w:val="24"/>
                <w:szCs w:val="24"/>
                <w:highlight w:val="none"/>
                <w:lang w:val="en-US" w:eastAsia="zh-CN" w:bidi="ar-SA"/>
              </w:rPr>
              <w:t>,</w:t>
            </w:r>
            <w:r>
              <w:rPr>
                <w:rFonts w:hint="default" w:ascii="宋体" w:hAnsi="宋体" w:cs="宋体"/>
                <w:b w:val="0"/>
                <w:bCs/>
                <w:kern w:val="0"/>
                <w:sz w:val="24"/>
                <w:szCs w:val="24"/>
                <w:highlight w:val="none"/>
                <w:lang w:val="en-US" w:eastAsia="zh-CN" w:bidi="ar-SA"/>
              </w:rPr>
              <w:t xml:space="preserve">389.67 </w:t>
            </w:r>
          </w:p>
        </w:tc>
        <w:tc>
          <w:tcPr>
            <w:tcW w:w="3339" w:type="dxa"/>
            <w:shd w:val="clear" w:color="auto" w:fill="auto"/>
            <w:vAlign w:val="center"/>
          </w:tcPr>
          <w:p w14:paraId="38E7E815">
            <w:pPr>
              <w:widowControl/>
              <w:jc w:val="right"/>
              <w:rPr>
                <w:rFonts w:ascii="宋体" w:hAnsi="宋体" w:eastAsia="宋体" w:cs="Times New Roman"/>
                <w:kern w:val="2"/>
                <w:sz w:val="24"/>
                <w:szCs w:val="24"/>
                <w:highlight w:val="none"/>
                <w:lang w:val="en-US" w:eastAsia="zh-CN" w:bidi="ar-SA"/>
              </w:rPr>
            </w:pPr>
            <w:r>
              <w:rPr>
                <w:rFonts w:hint="eastAsia" w:ascii="宋体" w:hAnsi="宋体" w:cs="宋体"/>
                <w:b w:val="0"/>
                <w:bCs/>
                <w:kern w:val="0"/>
                <w:sz w:val="24"/>
                <w:szCs w:val="24"/>
                <w:highlight w:val="none"/>
                <w:lang w:val="en-US" w:eastAsia="zh-CN" w:bidi="ar-SA"/>
              </w:rPr>
              <w:t>55,108.78</w:t>
            </w:r>
          </w:p>
        </w:tc>
      </w:tr>
      <w:tr w14:paraId="5885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14:paraId="6512642E">
            <w:pPr>
              <w:spacing w:before="78" w:beforeLines="25" w:after="78" w:afterLines="25"/>
              <w:jc w:val="center"/>
              <w:rPr>
                <w:rFonts w:ascii="宋体" w:hAnsi="宋体"/>
                <w:sz w:val="24"/>
              </w:rPr>
            </w:pPr>
            <w:r>
              <w:rPr>
                <w:rFonts w:hint="eastAsia" w:ascii="宋体" w:hAnsi="宋体"/>
                <w:sz w:val="24"/>
              </w:rPr>
              <w:t>营业利润</w:t>
            </w:r>
          </w:p>
        </w:tc>
        <w:tc>
          <w:tcPr>
            <w:tcW w:w="3426" w:type="dxa"/>
            <w:shd w:val="clear" w:color="auto" w:fill="auto"/>
            <w:vAlign w:val="center"/>
          </w:tcPr>
          <w:p w14:paraId="0E7B35E2">
            <w:pPr>
              <w:widowControl/>
              <w:jc w:val="right"/>
              <w:rPr>
                <w:rFonts w:ascii="宋体" w:hAnsi="宋体" w:eastAsia="宋体" w:cs="Times New Roman"/>
                <w:kern w:val="2"/>
                <w:sz w:val="24"/>
                <w:szCs w:val="24"/>
                <w:highlight w:val="none"/>
                <w:lang w:val="en-US" w:eastAsia="zh-CN" w:bidi="ar-SA"/>
              </w:rPr>
            </w:pPr>
            <w:r>
              <w:rPr>
                <w:rFonts w:hint="default" w:ascii="宋体" w:hAnsi="宋体" w:cs="宋体"/>
                <w:b w:val="0"/>
                <w:bCs/>
                <w:kern w:val="0"/>
                <w:sz w:val="24"/>
                <w:szCs w:val="24"/>
                <w:highlight w:val="none"/>
                <w:lang w:val="en-US" w:eastAsia="zh-CN" w:bidi="ar-SA"/>
              </w:rPr>
              <w:t xml:space="preserve">415.84 </w:t>
            </w:r>
          </w:p>
        </w:tc>
        <w:tc>
          <w:tcPr>
            <w:tcW w:w="3339" w:type="dxa"/>
            <w:shd w:val="clear" w:color="auto" w:fill="auto"/>
            <w:vAlign w:val="center"/>
          </w:tcPr>
          <w:p w14:paraId="6929AA8C">
            <w:pPr>
              <w:widowControl/>
              <w:jc w:val="right"/>
              <w:rPr>
                <w:rFonts w:ascii="宋体" w:hAnsi="宋体" w:eastAsia="宋体" w:cs="Times New Roman"/>
                <w:kern w:val="2"/>
                <w:sz w:val="24"/>
                <w:szCs w:val="24"/>
                <w:highlight w:val="none"/>
                <w:lang w:val="en-US" w:eastAsia="zh-CN" w:bidi="ar-SA"/>
              </w:rPr>
            </w:pPr>
            <w:r>
              <w:rPr>
                <w:rFonts w:hint="eastAsia" w:ascii="宋体" w:hAnsi="宋体" w:cs="宋体"/>
                <w:b w:val="0"/>
                <w:bCs/>
                <w:kern w:val="0"/>
                <w:sz w:val="24"/>
                <w:szCs w:val="24"/>
                <w:highlight w:val="none"/>
                <w:lang w:val="en-US" w:eastAsia="zh-CN" w:bidi="ar-SA"/>
              </w:rPr>
              <w:t>1,503.46</w:t>
            </w:r>
          </w:p>
        </w:tc>
      </w:tr>
      <w:tr w14:paraId="2B05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14:paraId="73353F24">
            <w:pPr>
              <w:spacing w:before="78" w:beforeLines="25" w:after="78" w:afterLines="25"/>
              <w:jc w:val="center"/>
              <w:rPr>
                <w:rFonts w:ascii="宋体" w:hAnsi="宋体"/>
                <w:sz w:val="24"/>
              </w:rPr>
            </w:pPr>
            <w:r>
              <w:rPr>
                <w:rFonts w:hint="eastAsia" w:ascii="宋体" w:hAnsi="宋体"/>
                <w:sz w:val="24"/>
              </w:rPr>
              <w:t>净利润</w:t>
            </w:r>
          </w:p>
        </w:tc>
        <w:tc>
          <w:tcPr>
            <w:tcW w:w="3426" w:type="dxa"/>
            <w:shd w:val="clear" w:color="auto" w:fill="auto"/>
            <w:vAlign w:val="center"/>
          </w:tcPr>
          <w:p w14:paraId="50AE1E38">
            <w:pPr>
              <w:widowControl/>
              <w:jc w:val="right"/>
              <w:rPr>
                <w:rFonts w:ascii="宋体" w:hAnsi="宋体" w:eastAsia="宋体" w:cs="Times New Roman"/>
                <w:kern w:val="2"/>
                <w:sz w:val="24"/>
                <w:szCs w:val="24"/>
                <w:highlight w:val="none"/>
                <w:lang w:val="en-US" w:eastAsia="zh-CN" w:bidi="ar-SA"/>
              </w:rPr>
            </w:pPr>
            <w:r>
              <w:rPr>
                <w:rFonts w:hint="eastAsia" w:ascii="宋体" w:hAnsi="宋体" w:cs="宋体"/>
                <w:b w:val="0"/>
                <w:bCs/>
                <w:kern w:val="0"/>
                <w:sz w:val="24"/>
                <w:szCs w:val="24"/>
                <w:highlight w:val="none"/>
                <w:lang w:val="en-US" w:eastAsia="zh-CN" w:bidi="ar-SA"/>
              </w:rPr>
              <w:t>27.12</w:t>
            </w:r>
          </w:p>
        </w:tc>
        <w:tc>
          <w:tcPr>
            <w:tcW w:w="3339" w:type="dxa"/>
            <w:shd w:val="clear" w:color="auto" w:fill="auto"/>
            <w:vAlign w:val="center"/>
          </w:tcPr>
          <w:p w14:paraId="590097EF">
            <w:pPr>
              <w:widowControl/>
              <w:jc w:val="right"/>
              <w:rPr>
                <w:rFonts w:ascii="宋体" w:hAnsi="宋体" w:eastAsia="宋体" w:cs="Times New Roman"/>
                <w:kern w:val="2"/>
                <w:sz w:val="24"/>
                <w:szCs w:val="24"/>
                <w:highlight w:val="none"/>
                <w:lang w:val="en-US" w:eastAsia="zh-CN" w:bidi="ar-SA"/>
              </w:rPr>
            </w:pPr>
            <w:r>
              <w:rPr>
                <w:rFonts w:hint="eastAsia" w:ascii="宋体" w:hAnsi="宋体" w:cs="宋体"/>
                <w:b w:val="0"/>
                <w:bCs/>
                <w:kern w:val="0"/>
                <w:sz w:val="24"/>
                <w:szCs w:val="24"/>
                <w:highlight w:val="none"/>
                <w:lang w:val="en-US" w:eastAsia="zh-CN" w:bidi="ar-SA"/>
              </w:rPr>
              <w:t>1,336.06</w:t>
            </w:r>
          </w:p>
        </w:tc>
      </w:tr>
    </w:tbl>
    <w:p w14:paraId="634266F8">
      <w:pPr>
        <w:spacing w:line="440" w:lineRule="exact"/>
        <w:ind w:firstLine="612"/>
        <w:rPr>
          <w:rFonts w:hint="default" w:ascii="黑体" w:hAnsi="黑体" w:eastAsia="黑体"/>
          <w:b w:val="0"/>
          <w:bCs/>
          <w:color w:val="000000"/>
          <w:sz w:val="24"/>
          <w:szCs w:val="24"/>
          <w:lang w:val="en-US" w:eastAsia="zh-CN"/>
        </w:rPr>
      </w:pPr>
      <w:r>
        <w:rPr>
          <w:rFonts w:hint="eastAsia" w:ascii="楷体_GB2312" w:hAnsi="楷体_GB2312" w:eastAsia="楷体_GB2312" w:cs="楷体_GB2312"/>
          <w:spacing w:val="-6"/>
          <w:sz w:val="24"/>
          <w:szCs w:val="24"/>
          <w:highlight w:val="none"/>
          <w:lang w:val="en-US" w:eastAsia="zh-CN"/>
        </w:rPr>
        <w:t>注：2025年，因液压支架价格下降，叠加财务费用增加、项目改造房产税支出，导致利润下滑。</w:t>
      </w:r>
    </w:p>
    <w:p w14:paraId="7D2CF153">
      <w:pPr>
        <w:keepNext w:val="0"/>
        <w:keepLines w:val="0"/>
        <w:pageBreakBefore w:val="0"/>
        <w:widowControl w:val="0"/>
        <w:kinsoku/>
        <w:wordWrap/>
        <w:overflowPunct/>
        <w:topLinePunct w:val="0"/>
        <w:autoSpaceDE w:val="0"/>
        <w:autoSpaceDN w:val="0"/>
        <w:bidi w:val="0"/>
        <w:adjustRightInd w:val="0"/>
        <w:snapToGrid w:val="0"/>
        <w:spacing w:before="157" w:beforeLines="50" w:beforeAutospacing="0" w:line="520" w:lineRule="exact"/>
        <w:ind w:firstLine="560" w:firstLineChars="200"/>
        <w:textAlignment w:val="auto"/>
        <w:outlineLvl w:val="0"/>
        <w:rPr>
          <w:rFonts w:ascii="黑体" w:hAnsi="黑体" w:eastAsia="黑体"/>
          <w:b w:val="0"/>
          <w:bCs/>
          <w:color w:val="000000"/>
          <w:sz w:val="28"/>
          <w:szCs w:val="28"/>
        </w:rPr>
      </w:pPr>
      <w:r>
        <w:rPr>
          <w:rFonts w:hint="eastAsia" w:ascii="黑体" w:hAnsi="黑体" w:eastAsia="黑体"/>
          <w:b w:val="0"/>
          <w:bCs/>
          <w:color w:val="000000"/>
          <w:sz w:val="28"/>
          <w:szCs w:val="28"/>
          <w:lang w:val="en-US" w:eastAsia="zh-CN"/>
        </w:rPr>
        <w:t>四</w:t>
      </w:r>
      <w:r>
        <w:rPr>
          <w:rFonts w:hint="eastAsia" w:ascii="黑体" w:hAnsi="黑体" w:eastAsia="黑体"/>
          <w:b w:val="0"/>
          <w:bCs/>
          <w:color w:val="000000"/>
          <w:sz w:val="28"/>
          <w:szCs w:val="28"/>
        </w:rPr>
        <w:t>、</w:t>
      </w:r>
      <w:r>
        <w:rPr>
          <w:rFonts w:hint="eastAsia" w:ascii="黑体" w:hAnsi="黑体" w:eastAsia="黑体"/>
          <w:b w:val="0"/>
          <w:bCs/>
          <w:color w:val="000000"/>
          <w:sz w:val="28"/>
          <w:szCs w:val="28"/>
          <w:lang w:val="en-US" w:eastAsia="zh-CN"/>
        </w:rPr>
        <w:t>本次交易</w:t>
      </w:r>
      <w:r>
        <w:rPr>
          <w:rFonts w:hint="eastAsia" w:ascii="黑体" w:hAnsi="黑体" w:eastAsia="黑体"/>
          <w:b w:val="0"/>
          <w:bCs/>
          <w:color w:val="000000"/>
          <w:sz w:val="28"/>
          <w:szCs w:val="28"/>
        </w:rPr>
        <w:t>协议的主要内容</w:t>
      </w:r>
    </w:p>
    <w:p w14:paraId="0902F0B3">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（一）收购方：东华重工</w:t>
      </w:r>
    </w:p>
    <w:p w14:paraId="2ECA0499">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（二）</w:t>
      </w:r>
      <w:bookmarkStart w:id="0" w:name="_Toc20254"/>
      <w:r>
        <w:rPr>
          <w:rFonts w:hint="default" w:ascii="宋体" w:hAnsi="宋体" w:eastAsia="宋体" w:cs="Times New Roman"/>
          <w:color w:val="000000"/>
          <w:sz w:val="28"/>
          <w:szCs w:val="28"/>
          <w:lang w:val="en-US" w:eastAsia="zh-CN"/>
        </w:rPr>
        <w:t>转让方</w:t>
      </w:r>
      <w:bookmarkEnd w:id="0"/>
      <w:r>
        <w:rPr>
          <w:rFonts w:hint="eastAsia" w:ascii="宋体" w:hAnsi="宋体" w:eastAsia="宋体" w:cs="Times New Roman"/>
          <w:color w:val="000000"/>
          <w:sz w:val="28"/>
          <w:szCs w:val="28"/>
          <w:lang w:val="en-US" w:eastAsia="zh-CN"/>
        </w:rPr>
        <w:t>：</w:t>
      </w:r>
      <w:bookmarkStart w:id="1" w:name="_Toc31361"/>
      <w:r>
        <w:rPr>
          <w:rFonts w:hint="eastAsia" w:ascii="宋体" w:hAnsi="宋体" w:eastAsia="宋体" w:cs="Times New Roman"/>
          <w:color w:val="000000"/>
          <w:sz w:val="28"/>
          <w:szCs w:val="28"/>
          <w:lang w:val="en-US" w:eastAsia="zh-CN"/>
        </w:rPr>
        <w:t>山能装备</w:t>
      </w:r>
    </w:p>
    <w:p w14:paraId="2C71059D">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default"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（三）</w:t>
      </w:r>
      <w:r>
        <w:rPr>
          <w:rFonts w:hint="default" w:ascii="宋体" w:hAnsi="宋体" w:eastAsia="宋体" w:cs="Times New Roman"/>
          <w:color w:val="000000"/>
          <w:sz w:val="28"/>
          <w:szCs w:val="28"/>
          <w:lang w:val="en-US" w:eastAsia="zh-CN"/>
        </w:rPr>
        <w:t>标的</w:t>
      </w:r>
      <w:bookmarkEnd w:id="1"/>
      <w:r>
        <w:rPr>
          <w:rFonts w:hint="eastAsia" w:ascii="宋体" w:hAnsi="宋体" w:eastAsia="宋体" w:cs="Times New Roman"/>
          <w:color w:val="000000"/>
          <w:sz w:val="28"/>
          <w:szCs w:val="28"/>
          <w:lang w:val="en-US" w:eastAsia="zh-CN"/>
        </w:rPr>
        <w:t>物：</w:t>
      </w:r>
      <w:r>
        <w:rPr>
          <w:rFonts w:hint="default" w:ascii="宋体" w:hAnsi="宋体" w:eastAsia="宋体" w:cs="Times New Roman"/>
          <w:color w:val="000000"/>
          <w:sz w:val="28"/>
          <w:szCs w:val="28"/>
          <w:lang w:val="en-US" w:eastAsia="zh-CN"/>
        </w:rPr>
        <w:t>高端支架公司</w:t>
      </w:r>
      <w:r>
        <w:rPr>
          <w:rFonts w:hint="eastAsia" w:ascii="宋体" w:hAnsi="宋体" w:eastAsia="宋体" w:cs="Times New Roman"/>
          <w:color w:val="000000"/>
          <w:sz w:val="28"/>
          <w:szCs w:val="28"/>
          <w:lang w:val="en-US" w:eastAsia="zh-CN"/>
        </w:rPr>
        <w:t>100%股权</w:t>
      </w:r>
    </w:p>
    <w:p w14:paraId="7A1959AD">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default" w:ascii="宋体" w:hAnsi="宋体" w:eastAsia="宋体" w:cs="Times New Roman"/>
          <w:color w:val="000000"/>
          <w:sz w:val="28"/>
          <w:szCs w:val="28"/>
          <w:lang w:val="en-US" w:eastAsia="zh-CN"/>
        </w:rPr>
      </w:pPr>
      <w:bookmarkStart w:id="2" w:name="_Toc8213"/>
      <w:r>
        <w:rPr>
          <w:rFonts w:hint="eastAsia" w:ascii="宋体" w:hAnsi="宋体" w:eastAsia="宋体" w:cs="Times New Roman"/>
          <w:color w:val="000000"/>
          <w:sz w:val="28"/>
          <w:szCs w:val="28"/>
          <w:lang w:val="en-US" w:eastAsia="zh-CN"/>
        </w:rPr>
        <w:t>（四）</w:t>
      </w:r>
      <w:r>
        <w:rPr>
          <w:rFonts w:hint="default" w:ascii="宋体" w:hAnsi="宋体" w:eastAsia="宋体" w:cs="Times New Roman"/>
          <w:color w:val="000000"/>
          <w:sz w:val="28"/>
          <w:szCs w:val="28"/>
          <w:lang w:val="en-US" w:eastAsia="zh-CN"/>
        </w:rPr>
        <w:t>交易价格</w:t>
      </w:r>
      <w:bookmarkEnd w:id="2"/>
      <w:r>
        <w:rPr>
          <w:rFonts w:hint="eastAsia" w:ascii="宋体" w:hAnsi="宋体" w:eastAsia="宋体" w:cs="Times New Roman"/>
          <w:color w:val="000000"/>
          <w:sz w:val="28"/>
          <w:szCs w:val="28"/>
          <w:lang w:val="en-US" w:eastAsia="zh-CN"/>
        </w:rPr>
        <w:t>：34</w:t>
      </w:r>
      <w:r>
        <w:rPr>
          <w:rFonts w:hint="eastAsia" w:ascii="宋体" w:hAnsi="宋体" w:cs="Times New Roman"/>
          <w:color w:val="000000"/>
          <w:sz w:val="28"/>
          <w:szCs w:val="28"/>
          <w:lang w:val="en-US" w:eastAsia="zh-CN"/>
        </w:rPr>
        <w:t>,</w:t>
      </w:r>
      <w:r>
        <w:rPr>
          <w:rFonts w:hint="eastAsia" w:ascii="宋体" w:hAnsi="宋体" w:eastAsia="宋体" w:cs="Times New Roman"/>
          <w:color w:val="000000"/>
          <w:sz w:val="28"/>
          <w:szCs w:val="28"/>
          <w:lang w:val="en-US" w:eastAsia="zh-CN"/>
        </w:rPr>
        <w:t>484.74万元</w:t>
      </w:r>
    </w:p>
    <w:p w14:paraId="10ED24A7">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eastAsia="宋体" w:cs="Times New Roman"/>
          <w:color w:val="000000"/>
          <w:sz w:val="28"/>
          <w:szCs w:val="28"/>
          <w:lang w:val="en-US" w:eastAsia="zh-CN"/>
        </w:rPr>
      </w:pPr>
      <w:bookmarkStart w:id="3" w:name="_Toc15432"/>
      <w:r>
        <w:rPr>
          <w:rFonts w:hint="eastAsia" w:ascii="宋体" w:hAnsi="宋体" w:eastAsia="宋体" w:cs="Times New Roman"/>
          <w:color w:val="000000"/>
          <w:sz w:val="28"/>
          <w:szCs w:val="28"/>
          <w:lang w:val="en-US" w:eastAsia="zh-CN"/>
        </w:rPr>
        <w:t>（五）</w:t>
      </w:r>
      <w:bookmarkEnd w:id="3"/>
      <w:r>
        <w:rPr>
          <w:rFonts w:hint="eastAsia" w:ascii="宋体" w:hAnsi="宋体" w:eastAsia="宋体" w:cs="Times New Roman"/>
          <w:color w:val="000000"/>
          <w:sz w:val="28"/>
          <w:szCs w:val="28"/>
          <w:lang w:val="en-US" w:eastAsia="zh-CN"/>
        </w:rPr>
        <w:t>股权交割：协议生效后由交易双方另行及时确定的具体日期为本次交易的交割日，但交割日不应迟于协议生效后15个工作日。高端支架公司对应的权利和义务自交割日起转移至东华重工。</w:t>
      </w:r>
    </w:p>
    <w:p w14:paraId="15795D58">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（六）价款支付：东华重工于交割日将转让价款一次性以现金形式支付至山能装备指定的银行账户。</w:t>
      </w:r>
    </w:p>
    <w:p w14:paraId="262F5470">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（七）</w:t>
      </w:r>
      <w:bookmarkStart w:id="4" w:name="_Toc165284683"/>
      <w:r>
        <w:rPr>
          <w:rFonts w:hint="eastAsia" w:ascii="宋体" w:hAnsi="宋体" w:eastAsia="宋体" w:cs="Times New Roman"/>
          <w:color w:val="000000"/>
          <w:sz w:val="28"/>
          <w:szCs w:val="28"/>
          <w:lang w:val="en-US" w:eastAsia="zh-CN"/>
        </w:rPr>
        <w:t>过渡期间损益</w:t>
      </w:r>
      <w:bookmarkEnd w:id="4"/>
      <w:r>
        <w:rPr>
          <w:rFonts w:hint="eastAsia" w:ascii="宋体" w:hAnsi="宋体" w:eastAsia="宋体" w:cs="Times New Roman"/>
          <w:color w:val="000000"/>
          <w:sz w:val="28"/>
          <w:szCs w:val="28"/>
          <w:lang w:val="en-US" w:eastAsia="zh-CN"/>
        </w:rPr>
        <w:t>：自评估基准日（不含当日）起至交割日为过渡期间，高端支架公司过渡期间损益由东华重工享有或承担。</w:t>
      </w:r>
    </w:p>
    <w:p w14:paraId="5395E723">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（八）或有负债的承担：因高端支架公司在交割日前的行为或事项导致的、在交割日后产生的负债、损失及责任（“或有负债”）均由山能装备承担，包括但不限于：</w:t>
      </w:r>
    </w:p>
    <w:p w14:paraId="572C12D4">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1.因交割日前的生产经营、项目建设等活动违反任何法律法规及相关规定而受到的行政处罚、司法罚金及由此导致的赔偿、诉讼费等；</w:t>
      </w:r>
    </w:p>
    <w:p w14:paraId="058B22E0">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2.因交割日前已存在的事实或行为而引发的或潜在的诉讼、仲裁或其他法律纠纷所产生的支出、赔偿及费用；</w:t>
      </w:r>
    </w:p>
    <w:p w14:paraId="604A28B9">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3.交割日前因违反其与任何第三方签订的合同、协议项下的约定而产生的违约责任、赔偿责任；</w:t>
      </w:r>
    </w:p>
    <w:p w14:paraId="5206A823">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4.交割日前资产（包括但不限于土地使用权、房产、知识产权、机器设备等）存在权属瑕疵、权利限制或任何未披露的纠纷而导致的损失或承担的赔偿责任。</w:t>
      </w:r>
    </w:p>
    <w:p w14:paraId="5C088AE4">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（九）生效条件：股权转让协议在以下条件全部成就之日起生效，并以最后取得下列同意或批准或山能装备和东华重工另行书面豁免之日为生效日：</w:t>
      </w:r>
    </w:p>
    <w:p w14:paraId="1826711E">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1.股权转让协议经山能装备、东华重工及高端支架公司法定代表人或其授权代表签字或盖章并加盖山能装备、东华重工及高端支架公司公章；</w:t>
      </w:r>
    </w:p>
    <w:p w14:paraId="1F522CFE">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2.股权转让取得所有必要的同意或批准，包括但不限于：</w:t>
      </w:r>
    </w:p>
    <w:p w14:paraId="29A68F39">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（1）山能装备、东华重工履行内部决策程序同意股权转让；</w:t>
      </w:r>
    </w:p>
    <w:p w14:paraId="2A4FB0E3">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（2）有权国资监管机构或其授权单位对股权转让进行批准；</w:t>
      </w:r>
    </w:p>
    <w:p w14:paraId="65217929">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（3）有权国资监管机构或其授权单位对本次评估报告的评估结果进行备案。</w:t>
      </w:r>
    </w:p>
    <w:p w14:paraId="710DCFC7">
      <w:pPr>
        <w:keepNext w:val="0"/>
        <w:keepLines w:val="0"/>
        <w:pageBreakBefore w:val="0"/>
        <w:kinsoku/>
        <w:wordWrap/>
        <w:overflowPunct/>
        <w:topLinePunct w:val="0"/>
        <w:autoSpaceDE w:val="0"/>
        <w:autoSpaceDN w:val="0"/>
        <w:bidi w:val="0"/>
        <w:adjustRightInd w:val="0"/>
        <w:snapToGrid w:val="0"/>
        <w:spacing w:line="520" w:lineRule="exact"/>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五</w:t>
      </w:r>
      <w:r>
        <w:rPr>
          <w:rFonts w:hint="eastAsia" w:ascii="黑体" w:hAnsi="黑体" w:eastAsia="黑体" w:cs="黑体"/>
          <w:b w:val="0"/>
          <w:bCs/>
          <w:sz w:val="28"/>
          <w:szCs w:val="28"/>
        </w:rPr>
        <w:t>、本次交易的评估及定价依据</w:t>
      </w:r>
    </w:p>
    <w:p w14:paraId="38C7CA1E">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楷体_GB2312" w:hAnsi="楷体_GB2312" w:eastAsia="楷体_GB2312" w:cs="楷体_GB2312"/>
          <w:color w:val="000000"/>
          <w:sz w:val="28"/>
          <w:szCs w:val="28"/>
          <w:lang w:val="en-US" w:eastAsia="zh-CN"/>
        </w:rPr>
      </w:pPr>
      <w:r>
        <w:rPr>
          <w:rFonts w:hint="eastAsia" w:ascii="楷体_GB2312" w:hAnsi="楷体_GB2312" w:eastAsia="楷体_GB2312" w:cs="楷体_GB2312"/>
          <w:color w:val="000000"/>
          <w:sz w:val="28"/>
          <w:szCs w:val="28"/>
          <w:lang w:eastAsia="zh-CN"/>
        </w:rPr>
        <w:t>（</w:t>
      </w:r>
      <w:r>
        <w:rPr>
          <w:rFonts w:hint="eastAsia" w:ascii="楷体_GB2312" w:hAnsi="楷体_GB2312" w:eastAsia="楷体_GB2312" w:cs="楷体_GB2312"/>
          <w:color w:val="000000"/>
          <w:sz w:val="28"/>
          <w:szCs w:val="28"/>
          <w:lang w:val="en-US" w:eastAsia="zh-CN"/>
        </w:rPr>
        <w:t>一</w:t>
      </w:r>
      <w:r>
        <w:rPr>
          <w:rFonts w:hint="eastAsia" w:ascii="楷体_GB2312" w:hAnsi="楷体_GB2312" w:eastAsia="楷体_GB2312" w:cs="楷体_GB2312"/>
          <w:color w:val="000000"/>
          <w:sz w:val="28"/>
          <w:szCs w:val="28"/>
          <w:lang w:eastAsia="zh-CN"/>
        </w:rPr>
        <w:t>）</w:t>
      </w:r>
      <w:r>
        <w:rPr>
          <w:rFonts w:hint="eastAsia" w:ascii="楷体_GB2312" w:hAnsi="楷体_GB2312" w:eastAsia="楷体_GB2312" w:cs="楷体_GB2312"/>
          <w:color w:val="000000"/>
          <w:sz w:val="28"/>
          <w:szCs w:val="28"/>
          <w:lang w:val="en-US" w:eastAsia="zh-CN"/>
        </w:rPr>
        <w:t>定价方法和结果</w:t>
      </w:r>
    </w:p>
    <w:p w14:paraId="10D6D1D2">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北京华亚正信资产评估有限公司以202</w:t>
      </w:r>
      <w:r>
        <w:rPr>
          <w:rFonts w:hint="eastAsia" w:ascii="宋体" w:hAnsi="宋体" w:eastAsia="宋体" w:cs="Times New Roman"/>
          <w:color w:val="000000"/>
          <w:sz w:val="28"/>
          <w:szCs w:val="28"/>
          <w:lang w:val="en-US" w:eastAsia="zh-CN"/>
        </w:rPr>
        <w:t>5</w:t>
      </w:r>
      <w:r>
        <w:rPr>
          <w:rFonts w:hint="eastAsia" w:ascii="宋体" w:hAnsi="宋体" w:eastAsia="宋体" w:cs="Times New Roman"/>
          <w:color w:val="000000"/>
          <w:sz w:val="28"/>
          <w:szCs w:val="28"/>
        </w:rPr>
        <w:t>年</w:t>
      </w:r>
      <w:r>
        <w:rPr>
          <w:rFonts w:hint="eastAsia" w:ascii="宋体" w:hAnsi="宋体" w:eastAsia="宋体" w:cs="Times New Roman"/>
          <w:color w:val="000000"/>
          <w:sz w:val="28"/>
          <w:szCs w:val="28"/>
          <w:lang w:val="en-US" w:eastAsia="zh-CN"/>
        </w:rPr>
        <w:t>4</w:t>
      </w:r>
      <w:r>
        <w:rPr>
          <w:rFonts w:hint="eastAsia" w:ascii="宋体" w:hAnsi="宋体" w:eastAsia="宋体" w:cs="Times New Roman"/>
          <w:color w:val="000000"/>
          <w:sz w:val="28"/>
          <w:szCs w:val="28"/>
        </w:rPr>
        <w:t>月3</w:t>
      </w:r>
      <w:r>
        <w:rPr>
          <w:rFonts w:hint="eastAsia" w:ascii="宋体" w:hAnsi="宋体" w:eastAsia="宋体" w:cs="Times New Roman"/>
          <w:color w:val="000000"/>
          <w:sz w:val="28"/>
          <w:szCs w:val="28"/>
          <w:lang w:val="en-US" w:eastAsia="zh-CN"/>
        </w:rPr>
        <w:t>0</w:t>
      </w:r>
      <w:r>
        <w:rPr>
          <w:rFonts w:hint="eastAsia" w:ascii="宋体" w:hAnsi="宋体" w:eastAsia="宋体" w:cs="Times New Roman"/>
          <w:color w:val="000000"/>
          <w:sz w:val="28"/>
          <w:szCs w:val="28"/>
        </w:rPr>
        <w:t>日为评估基准日，对</w:t>
      </w:r>
      <w:r>
        <w:rPr>
          <w:rFonts w:hint="eastAsia" w:ascii="宋体" w:hAnsi="宋体" w:eastAsia="宋体" w:cs="Times New Roman"/>
          <w:color w:val="000000"/>
          <w:sz w:val="28"/>
          <w:szCs w:val="28"/>
          <w:lang w:val="en-US" w:eastAsia="zh-CN"/>
        </w:rPr>
        <w:t>高端支架公司</w:t>
      </w:r>
      <w:r>
        <w:rPr>
          <w:rFonts w:hint="eastAsia" w:ascii="宋体" w:hAnsi="宋体" w:eastAsia="宋体" w:cs="Times New Roman"/>
          <w:color w:val="000000"/>
          <w:sz w:val="28"/>
          <w:szCs w:val="28"/>
        </w:rPr>
        <w:t>股东全部权益进行评估，出具</w:t>
      </w:r>
      <w:r>
        <w:rPr>
          <w:rFonts w:hint="eastAsia" w:ascii="宋体" w:hAnsi="宋体" w:eastAsia="宋体" w:cs="Times New Roman"/>
          <w:color w:val="000000"/>
          <w:sz w:val="28"/>
          <w:szCs w:val="28"/>
          <w:lang w:val="en-US" w:eastAsia="zh-CN"/>
        </w:rPr>
        <w:t>华亚正信评报字〔2025〕第A11-0004号报告</w:t>
      </w:r>
      <w:r>
        <w:rPr>
          <w:rFonts w:hint="eastAsia" w:ascii="宋体" w:hAnsi="宋体" w:eastAsia="宋体" w:cs="Times New Roman"/>
          <w:color w:val="000000"/>
          <w:sz w:val="28"/>
          <w:szCs w:val="28"/>
        </w:rPr>
        <w:t>，评估结论的使用有效期为自评估基准日起一年。</w:t>
      </w:r>
    </w:p>
    <w:p w14:paraId="0DB5F87C">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根据该报告，</w:t>
      </w:r>
      <w:r>
        <w:rPr>
          <w:rFonts w:hint="eastAsia" w:ascii="宋体" w:hAnsi="宋体" w:eastAsia="宋体" w:cs="Times New Roman"/>
          <w:color w:val="000000"/>
          <w:sz w:val="28"/>
          <w:szCs w:val="28"/>
          <w:lang w:val="en-US" w:eastAsia="zh-CN"/>
        </w:rPr>
        <w:t>高端支架公司</w:t>
      </w:r>
      <w:r>
        <w:rPr>
          <w:rFonts w:hint="eastAsia" w:ascii="宋体" w:hAnsi="宋体" w:eastAsia="宋体" w:cs="Times New Roman"/>
          <w:color w:val="000000"/>
          <w:sz w:val="28"/>
          <w:szCs w:val="28"/>
        </w:rPr>
        <w:t>股东全部权益账面价值为</w:t>
      </w:r>
      <w:r>
        <w:rPr>
          <w:rFonts w:hint="eastAsia" w:ascii="宋体" w:hAnsi="宋体" w:eastAsia="宋体" w:cs="Times New Roman"/>
          <w:color w:val="000000"/>
          <w:sz w:val="28"/>
          <w:szCs w:val="28"/>
          <w:lang w:val="en-US" w:eastAsia="zh-CN"/>
        </w:rPr>
        <w:t>30,209.36万元</w:t>
      </w:r>
      <w:r>
        <w:rPr>
          <w:rFonts w:hint="eastAsia" w:ascii="宋体" w:hAnsi="宋体" w:eastAsia="宋体" w:cs="Times New Roman"/>
          <w:color w:val="000000"/>
          <w:sz w:val="28"/>
          <w:szCs w:val="28"/>
        </w:rPr>
        <w:t>，采用</w:t>
      </w:r>
      <w:r>
        <w:rPr>
          <w:rFonts w:hint="eastAsia" w:ascii="宋体" w:hAnsi="宋体" w:eastAsia="宋体" w:cs="Times New Roman"/>
          <w:color w:val="000000"/>
          <w:sz w:val="28"/>
          <w:szCs w:val="28"/>
          <w:lang w:val="en-US" w:eastAsia="zh-CN"/>
        </w:rPr>
        <w:t>资产基础</w:t>
      </w:r>
      <w:r>
        <w:rPr>
          <w:rFonts w:hint="eastAsia" w:ascii="宋体" w:hAnsi="宋体" w:eastAsia="宋体" w:cs="Times New Roman"/>
          <w:color w:val="000000"/>
          <w:sz w:val="28"/>
          <w:szCs w:val="28"/>
        </w:rPr>
        <w:t>法评估值</w:t>
      </w:r>
      <w:r>
        <w:rPr>
          <w:rFonts w:hint="eastAsia" w:ascii="宋体" w:hAnsi="宋体" w:eastAsia="宋体" w:cs="Times New Roman"/>
          <w:color w:val="000000"/>
          <w:sz w:val="28"/>
          <w:szCs w:val="28"/>
          <w:lang w:val="en-US" w:eastAsia="zh-CN"/>
        </w:rPr>
        <w:t>为34,484.74万元</w:t>
      </w:r>
      <w:r>
        <w:rPr>
          <w:rFonts w:hint="eastAsia" w:ascii="宋体" w:hAnsi="宋体" w:eastAsia="宋体" w:cs="Times New Roman"/>
          <w:color w:val="000000"/>
          <w:sz w:val="28"/>
          <w:szCs w:val="28"/>
        </w:rPr>
        <w:t>，</w:t>
      </w:r>
      <w:r>
        <w:rPr>
          <w:rFonts w:hint="eastAsia" w:ascii="宋体" w:hAnsi="宋体" w:eastAsia="宋体" w:cs="Times New Roman"/>
          <w:color w:val="000000"/>
          <w:sz w:val="28"/>
          <w:szCs w:val="28"/>
          <w:lang w:val="en-US" w:eastAsia="zh-CN"/>
        </w:rPr>
        <w:t>评估增值4,275.39万元</w:t>
      </w:r>
      <w:r>
        <w:rPr>
          <w:rFonts w:hint="eastAsia" w:ascii="宋体" w:hAnsi="宋体" w:cs="Times New Roman"/>
          <w:color w:val="000000"/>
          <w:sz w:val="28"/>
          <w:szCs w:val="28"/>
          <w:lang w:val="en-US" w:eastAsia="zh-CN"/>
        </w:rPr>
        <w:t>，</w:t>
      </w:r>
      <w:r>
        <w:rPr>
          <w:rFonts w:hint="eastAsia" w:ascii="宋体" w:hAnsi="宋体" w:eastAsia="宋体" w:cs="Times New Roman"/>
          <w:color w:val="000000"/>
          <w:sz w:val="28"/>
          <w:szCs w:val="28"/>
        </w:rPr>
        <w:t>增值率</w:t>
      </w:r>
      <w:r>
        <w:rPr>
          <w:rFonts w:hint="eastAsia" w:ascii="宋体" w:hAnsi="宋体" w:eastAsia="宋体" w:cs="Times New Roman"/>
          <w:color w:val="000000"/>
          <w:sz w:val="28"/>
          <w:szCs w:val="28"/>
          <w:lang w:val="en-US" w:eastAsia="zh-CN"/>
        </w:rPr>
        <w:t>14.15</w:t>
      </w:r>
      <w:r>
        <w:rPr>
          <w:rFonts w:hint="eastAsia" w:ascii="宋体" w:hAnsi="宋体" w:eastAsia="宋体" w:cs="Times New Roman"/>
          <w:color w:val="000000"/>
          <w:sz w:val="28"/>
          <w:szCs w:val="28"/>
        </w:rPr>
        <w:t>%。</w:t>
      </w:r>
    </w:p>
    <w:p w14:paraId="1D5292CA">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楷体_GB2312" w:hAnsi="楷体_GB2312" w:eastAsia="楷体_GB2312" w:cs="楷体_GB2312"/>
          <w:color w:val="000000"/>
          <w:sz w:val="28"/>
          <w:szCs w:val="28"/>
          <w:lang w:val="en-US" w:eastAsia="zh-CN"/>
        </w:rPr>
      </w:pPr>
      <w:r>
        <w:rPr>
          <w:rFonts w:hint="eastAsia" w:ascii="楷体_GB2312" w:hAnsi="楷体_GB2312" w:eastAsia="楷体_GB2312" w:cs="楷体_GB2312"/>
          <w:color w:val="000000"/>
          <w:sz w:val="28"/>
          <w:szCs w:val="28"/>
          <w:lang w:eastAsia="zh-CN"/>
        </w:rPr>
        <w:t>（</w:t>
      </w:r>
      <w:r>
        <w:rPr>
          <w:rFonts w:hint="eastAsia" w:ascii="楷体_GB2312" w:hAnsi="楷体_GB2312" w:eastAsia="楷体_GB2312" w:cs="楷体_GB2312"/>
          <w:color w:val="000000"/>
          <w:sz w:val="28"/>
          <w:szCs w:val="28"/>
          <w:lang w:val="en-US" w:eastAsia="zh-CN"/>
        </w:rPr>
        <w:t>二</w:t>
      </w:r>
      <w:r>
        <w:rPr>
          <w:rFonts w:hint="eastAsia" w:ascii="楷体_GB2312" w:hAnsi="楷体_GB2312" w:eastAsia="楷体_GB2312" w:cs="楷体_GB2312"/>
          <w:color w:val="000000"/>
          <w:sz w:val="28"/>
          <w:szCs w:val="28"/>
          <w:lang w:eastAsia="zh-CN"/>
        </w:rPr>
        <w:t>）</w:t>
      </w:r>
      <w:r>
        <w:rPr>
          <w:rFonts w:hint="eastAsia" w:ascii="楷体_GB2312" w:hAnsi="楷体_GB2312" w:eastAsia="楷体_GB2312" w:cs="楷体_GB2312"/>
          <w:color w:val="000000"/>
          <w:sz w:val="28"/>
          <w:szCs w:val="28"/>
          <w:lang w:val="en-US" w:eastAsia="zh-CN"/>
        </w:rPr>
        <w:t>采用资产基础法的原因</w:t>
      </w:r>
    </w:p>
    <w:p w14:paraId="57930F44">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cs="Times New Roman"/>
          <w:color w:val="000000"/>
          <w:sz w:val="28"/>
          <w:szCs w:val="28"/>
          <w:lang w:val="en-US" w:eastAsia="zh-CN"/>
        </w:rPr>
      </w:pPr>
      <w:r>
        <w:rPr>
          <w:rFonts w:hint="eastAsia" w:ascii="宋体" w:hAnsi="宋体" w:cs="Times New Roman"/>
          <w:color w:val="000000"/>
          <w:sz w:val="28"/>
          <w:szCs w:val="28"/>
          <w:lang w:val="en-US" w:eastAsia="zh-CN"/>
        </w:rPr>
        <w:t>1.截至评估基准日，高端支架公司资产负债表表内及表外各项资产、负债可以被识别，评估机构可以从外部收集到满足资产基础法所需的资料，可以对高端支架公司资产及负债展开全面的清查和评估，因此本次评估适用资产基础法。</w:t>
      </w:r>
    </w:p>
    <w:p w14:paraId="12EB256D">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cs="Times New Roman"/>
          <w:color w:val="000000"/>
          <w:sz w:val="28"/>
          <w:szCs w:val="28"/>
          <w:lang w:val="en-US" w:eastAsia="zh-CN"/>
        </w:rPr>
      </w:pPr>
      <w:r>
        <w:rPr>
          <w:rFonts w:hint="eastAsia" w:ascii="宋体" w:hAnsi="宋体" w:cs="Times New Roman"/>
          <w:color w:val="000000"/>
          <w:sz w:val="28"/>
          <w:szCs w:val="28"/>
          <w:lang w:val="en-US" w:eastAsia="zh-CN"/>
        </w:rPr>
        <w:t>2.高端支架公司成立时间较短，缺乏持续且稳定的历史盈利资料；同时营业收入主要来自山东能源内部关联企业的采购活动，其经营业绩受到关联企业经营业绩的影响。综上原因，评估机构认为无法编制合理可靠的未来期间收益预测，因此本次评估不适用收益法。</w:t>
      </w:r>
    </w:p>
    <w:p w14:paraId="45A2E84C">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cs="Times New Roman"/>
          <w:color w:val="000000"/>
          <w:sz w:val="28"/>
          <w:szCs w:val="28"/>
          <w:lang w:val="en-US" w:eastAsia="zh-CN"/>
        </w:rPr>
      </w:pPr>
      <w:r>
        <w:rPr>
          <w:rFonts w:hint="eastAsia" w:ascii="宋体" w:hAnsi="宋体" w:cs="Times New Roman"/>
          <w:color w:val="000000"/>
          <w:sz w:val="28"/>
          <w:szCs w:val="28"/>
          <w:lang w:val="en-US" w:eastAsia="zh-CN"/>
        </w:rPr>
        <w:t>3.由于高端支架公司属非上市公司，目前国内资本市场缺乏与高端支架公司类似或相近的可比企业，因此本次评估不适用上市公司比较法；同时由于股权交易市场缺乏或难以取得类似企业的交易案例，因此本次评估不适用交易案例比较法。</w:t>
      </w:r>
    </w:p>
    <w:p w14:paraId="5CADD3EF">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楷体_GB2312" w:hAnsi="楷体_GB2312" w:eastAsia="楷体_GB2312" w:cs="楷体_GB2312"/>
          <w:color w:val="000000"/>
          <w:sz w:val="28"/>
          <w:szCs w:val="28"/>
          <w:lang w:val="en-US" w:eastAsia="zh-CN"/>
        </w:rPr>
      </w:pPr>
      <w:r>
        <w:rPr>
          <w:rFonts w:hint="eastAsia" w:ascii="楷体_GB2312" w:hAnsi="楷体_GB2312" w:eastAsia="楷体_GB2312" w:cs="楷体_GB2312"/>
          <w:color w:val="000000"/>
          <w:sz w:val="28"/>
          <w:szCs w:val="28"/>
          <w:lang w:val="en-US" w:eastAsia="zh-CN"/>
        </w:rPr>
        <w:t>（三）评估增值原因</w:t>
      </w:r>
    </w:p>
    <w:p w14:paraId="14FD12F8">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cs="Times New Roman"/>
          <w:color w:val="000000"/>
          <w:sz w:val="28"/>
          <w:szCs w:val="28"/>
          <w:lang w:val="en-US" w:eastAsia="zh-CN"/>
        </w:rPr>
      </w:pPr>
      <w:r>
        <w:rPr>
          <w:rFonts w:hint="eastAsia" w:ascii="宋体" w:hAnsi="宋体" w:cs="Times New Roman"/>
          <w:color w:val="000000"/>
          <w:sz w:val="28"/>
          <w:szCs w:val="28"/>
          <w:lang w:val="en-US" w:eastAsia="zh-CN"/>
        </w:rPr>
        <w:t>1.产成品评估增值231.63万元，增值率9.90%。增值原因为产成品账面价值为成本费用。对产成品的评估，在账面成本的基础上考虑了一定的销售利润，造成了产成品评估增值。</w:t>
      </w:r>
    </w:p>
    <w:p w14:paraId="60C80148">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cs="Times New Roman"/>
          <w:color w:val="000000"/>
          <w:sz w:val="28"/>
          <w:szCs w:val="28"/>
          <w:lang w:val="en-US" w:eastAsia="zh-CN"/>
        </w:rPr>
      </w:pPr>
      <w:r>
        <w:rPr>
          <w:rFonts w:hint="eastAsia" w:ascii="宋体" w:hAnsi="宋体" w:cs="Times New Roman"/>
          <w:color w:val="000000"/>
          <w:sz w:val="28"/>
          <w:szCs w:val="28"/>
          <w:lang w:val="en-US" w:eastAsia="zh-CN"/>
        </w:rPr>
        <w:t>2.房屋建（构）筑物评估增值2,285.36万元，增值率3.92%。增值原因为评估采用的房屋建（构）筑物经济耐用年限长于企业计提的折旧年限，导致评估增值。</w:t>
      </w:r>
    </w:p>
    <w:p w14:paraId="789008A9">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cs="Times New Roman"/>
          <w:color w:val="000000"/>
          <w:sz w:val="28"/>
          <w:szCs w:val="28"/>
          <w:lang w:val="en-US" w:eastAsia="zh-CN"/>
        </w:rPr>
      </w:pPr>
      <w:r>
        <w:rPr>
          <w:rFonts w:hint="eastAsia" w:ascii="宋体" w:hAnsi="宋体" w:cs="Times New Roman"/>
          <w:color w:val="000000"/>
          <w:sz w:val="28"/>
          <w:szCs w:val="28"/>
          <w:lang w:val="en-US" w:eastAsia="zh-CN"/>
        </w:rPr>
        <w:t>3.设备评估增值1,420.47万元，增值率8.02%。增值原因为评估采用的设备经济耐用年限长于企业计提的折旧年限，导致评估增值。</w:t>
      </w:r>
    </w:p>
    <w:p w14:paraId="7EDBAF2F">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cs="Times New Roman"/>
          <w:color w:val="000000"/>
          <w:sz w:val="28"/>
          <w:szCs w:val="28"/>
          <w:lang w:val="en-US" w:eastAsia="zh-CN"/>
        </w:rPr>
      </w:pPr>
      <w:r>
        <w:rPr>
          <w:rFonts w:hint="eastAsia" w:ascii="宋体" w:hAnsi="宋体" w:cs="Times New Roman"/>
          <w:color w:val="000000"/>
          <w:sz w:val="28"/>
          <w:szCs w:val="28"/>
          <w:lang w:val="en-US" w:eastAsia="zh-CN"/>
        </w:rPr>
        <w:t>4.土地使用权评估增值333.92万元，增值率为2.28%。增值原因为随着新泰市工业经济发展，工业用地需求增加，工业用地价格相对购置时点有小幅增长。</w:t>
      </w:r>
    </w:p>
    <w:p w14:paraId="711F67F0">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eastAsia="宋体" w:cs="Times New Roman"/>
          <w:color w:val="000000"/>
          <w:sz w:val="28"/>
          <w:szCs w:val="28"/>
          <w:lang w:eastAsia="zh-CN"/>
        </w:rPr>
      </w:pPr>
      <w:r>
        <w:rPr>
          <w:rFonts w:hint="eastAsia" w:ascii="宋体" w:hAnsi="宋体" w:cs="Times New Roman"/>
          <w:color w:val="000000"/>
          <w:sz w:val="28"/>
          <w:szCs w:val="28"/>
          <w:lang w:val="en-US" w:eastAsia="zh-CN"/>
        </w:rPr>
        <w:t>5.其他无形资产—发明专利评估增值4.01万元，该其他无形资产为企业申报的账外资产，无账面值。</w:t>
      </w:r>
    </w:p>
    <w:p w14:paraId="247DC88B">
      <w:pPr>
        <w:keepNext w:val="0"/>
        <w:keepLines w:val="0"/>
        <w:pageBreakBefore w:val="0"/>
        <w:widowControl w:val="0"/>
        <w:kinsoku/>
        <w:wordWrap/>
        <w:overflowPunct/>
        <w:topLinePunct w:val="0"/>
        <w:autoSpaceDE w:val="0"/>
        <w:autoSpaceDN w:val="0"/>
        <w:bidi w:val="0"/>
        <w:adjustRightInd w:val="0"/>
        <w:snapToGrid w:val="0"/>
        <w:spacing w:beforeAutospacing="0" w:line="520" w:lineRule="exact"/>
        <w:ind w:firstLine="560" w:firstLineChars="200"/>
        <w:textAlignment w:val="auto"/>
        <w:outlineLvl w:val="0"/>
        <w:rPr>
          <w:rFonts w:ascii="黑体" w:hAnsi="黑体" w:eastAsia="黑体"/>
          <w:b w:val="0"/>
          <w:bCs/>
          <w:color w:val="000000"/>
          <w:sz w:val="28"/>
          <w:szCs w:val="28"/>
        </w:rPr>
      </w:pPr>
      <w:r>
        <w:rPr>
          <w:rFonts w:hint="eastAsia" w:ascii="黑体" w:hAnsi="黑体" w:eastAsia="黑体"/>
          <w:b w:val="0"/>
          <w:bCs/>
          <w:color w:val="000000"/>
          <w:sz w:val="28"/>
          <w:szCs w:val="28"/>
          <w:lang w:val="en-US" w:eastAsia="zh-CN"/>
        </w:rPr>
        <w:t>六</w:t>
      </w:r>
      <w:r>
        <w:rPr>
          <w:rFonts w:hint="eastAsia" w:ascii="黑体" w:hAnsi="黑体" w:eastAsia="黑体"/>
          <w:b w:val="0"/>
          <w:bCs/>
          <w:color w:val="000000"/>
          <w:sz w:val="28"/>
          <w:szCs w:val="28"/>
        </w:rPr>
        <w:t>、关联交易对上市公司的影响</w:t>
      </w:r>
    </w:p>
    <w:p w14:paraId="3BE2648D">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color w:val="000000"/>
          <w:sz w:val="28"/>
          <w:szCs w:val="28"/>
          <w:lang w:val="en-US" w:eastAsia="zh-CN"/>
        </w:rPr>
      </w:pPr>
      <w:r>
        <w:rPr>
          <w:rFonts w:hint="eastAsia" w:ascii="宋体" w:hAnsi="宋体"/>
          <w:color w:val="000000"/>
          <w:sz w:val="28"/>
          <w:szCs w:val="28"/>
          <w:lang w:val="en-US" w:eastAsia="zh-CN"/>
        </w:rPr>
        <w:t>（一）规避同业竞争、</w:t>
      </w:r>
      <w:r>
        <w:rPr>
          <w:rFonts w:hint="eastAsia" w:ascii="宋体" w:hAnsi="宋体" w:cs="宋体"/>
          <w:sz w:val="28"/>
          <w:szCs w:val="28"/>
          <w:lang w:val="en-US" w:eastAsia="zh-CN"/>
        </w:rPr>
        <w:t>落实发展战略</w:t>
      </w:r>
      <w:r>
        <w:rPr>
          <w:rFonts w:hint="eastAsia" w:ascii="宋体" w:hAnsi="宋体"/>
          <w:color w:val="000000"/>
          <w:sz w:val="28"/>
          <w:szCs w:val="28"/>
          <w:lang w:val="en-US" w:eastAsia="zh-CN"/>
        </w:rPr>
        <w:t>。高端支架公司与东华重工业务同质化，构成同业竞争关系，本次交易完成后，能有效解决同业竞争，并</w:t>
      </w:r>
      <w:r>
        <w:rPr>
          <w:rFonts w:hint="eastAsia" w:ascii="宋体" w:hAnsi="宋体" w:cs="宋体"/>
          <w:sz w:val="28"/>
          <w:szCs w:val="28"/>
          <w:lang w:val="en-US" w:eastAsia="zh-CN"/>
        </w:rPr>
        <w:t>将</w:t>
      </w:r>
      <w:r>
        <w:rPr>
          <w:rFonts w:hint="eastAsia" w:ascii="宋体" w:hAnsi="宋体" w:eastAsia="宋体" w:cs="宋体"/>
          <w:sz w:val="28"/>
          <w:szCs w:val="28"/>
          <w:lang w:val="en-US" w:eastAsia="zh-CN"/>
        </w:rPr>
        <w:t>加速装备制造业一体化布局，助推煤矿智能化建设进程，为煤矿安全高效开采与高质量发展提供有力支撑。</w:t>
      </w:r>
    </w:p>
    <w:p w14:paraId="54688C6D">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default" w:ascii="宋体" w:hAnsi="宋体" w:cs="宋体"/>
          <w:sz w:val="28"/>
          <w:szCs w:val="28"/>
          <w:lang w:val="en-US" w:eastAsia="zh-CN"/>
        </w:rPr>
      </w:pPr>
      <w:r>
        <w:rPr>
          <w:rFonts w:hint="eastAsia" w:ascii="宋体" w:hAnsi="宋体" w:cs="宋体"/>
          <w:sz w:val="28"/>
          <w:szCs w:val="28"/>
          <w:lang w:val="en-US" w:eastAsia="zh-CN"/>
        </w:rPr>
        <w:t>（二）减少关联交易、提升整体效益。兖矿能源是高端支架公司的主要客户，本次交易完成后，可减少关联交易和降低公司物资采购成本，实现整体效益最大化。</w:t>
      </w:r>
    </w:p>
    <w:p w14:paraId="6ACED50C">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ascii="宋体" w:hAnsi="宋体"/>
          <w:color w:val="000000"/>
          <w:sz w:val="28"/>
          <w:szCs w:val="28"/>
        </w:rPr>
      </w:pPr>
      <w:r>
        <w:rPr>
          <w:rFonts w:hint="eastAsia" w:ascii="宋体" w:hAnsi="宋体"/>
          <w:color w:val="000000"/>
          <w:sz w:val="28"/>
          <w:szCs w:val="28"/>
        </w:rPr>
        <w:t>本次交易不涉及管理层变动、人员安置、土地租赁等情况。</w:t>
      </w:r>
    </w:p>
    <w:p w14:paraId="500715DA">
      <w:pPr>
        <w:keepNext w:val="0"/>
        <w:keepLines w:val="0"/>
        <w:pageBreakBefore w:val="0"/>
        <w:widowControl w:val="0"/>
        <w:kinsoku/>
        <w:wordWrap/>
        <w:overflowPunct/>
        <w:topLinePunct w:val="0"/>
        <w:autoSpaceDE w:val="0"/>
        <w:autoSpaceDN w:val="0"/>
        <w:bidi w:val="0"/>
        <w:adjustRightInd w:val="0"/>
        <w:snapToGrid w:val="0"/>
        <w:spacing w:beforeAutospacing="0" w:line="520" w:lineRule="exact"/>
        <w:ind w:firstLine="560" w:firstLineChars="200"/>
        <w:textAlignment w:val="auto"/>
        <w:outlineLvl w:val="0"/>
        <w:rPr>
          <w:rFonts w:ascii="黑体" w:hAnsi="黑体" w:eastAsia="黑体"/>
          <w:b w:val="0"/>
          <w:bCs/>
          <w:color w:val="000000"/>
          <w:sz w:val="28"/>
          <w:szCs w:val="28"/>
        </w:rPr>
      </w:pPr>
      <w:r>
        <w:rPr>
          <w:rFonts w:hint="eastAsia" w:ascii="黑体" w:hAnsi="黑体" w:eastAsia="黑体"/>
          <w:b w:val="0"/>
          <w:bCs/>
          <w:color w:val="000000"/>
          <w:sz w:val="28"/>
          <w:szCs w:val="28"/>
          <w:lang w:val="en-US" w:eastAsia="zh-CN"/>
        </w:rPr>
        <w:t>七</w:t>
      </w:r>
      <w:r>
        <w:rPr>
          <w:rFonts w:hint="eastAsia" w:ascii="黑体" w:hAnsi="黑体" w:eastAsia="黑体"/>
          <w:b w:val="0"/>
          <w:bCs/>
          <w:color w:val="000000"/>
          <w:sz w:val="28"/>
          <w:szCs w:val="28"/>
        </w:rPr>
        <w:t>、关联交易履行的程序</w:t>
      </w:r>
    </w:p>
    <w:p w14:paraId="0018CD16">
      <w:pPr>
        <w:widowControl/>
        <w:adjustRightInd w:val="0"/>
        <w:snapToGrid w:val="0"/>
        <w:spacing w:line="560" w:lineRule="exact"/>
        <w:ind w:firstLine="560" w:firstLineChars="200"/>
        <w:rPr>
          <w:rFonts w:hint="eastAsia" w:ascii="楷体_GB2312" w:hAnsi="楷体_GB2312" w:eastAsia="楷体_GB2312" w:cs="楷体_GB2312"/>
          <w:b/>
          <w:color w:val="000000"/>
          <w:sz w:val="28"/>
          <w:szCs w:val="28"/>
        </w:rPr>
      </w:pPr>
      <w:r>
        <w:rPr>
          <w:rFonts w:hint="eastAsia" w:ascii="宋体" w:hAnsi="宋体" w:eastAsia="宋体" w:cs="Times New Roman"/>
          <w:b w:val="0"/>
          <w:color w:val="000000"/>
          <w:sz w:val="28"/>
          <w:szCs w:val="30"/>
        </w:rPr>
        <w:t>本次交易前，公司与山东能源及其下属公司发生的未达到披露标准的关联交易金额为</w:t>
      </w:r>
      <w:r>
        <w:rPr>
          <w:rFonts w:hint="eastAsia" w:ascii="宋体" w:hAnsi="宋体" w:eastAsia="宋体" w:cs="Times New Roman"/>
          <w:b w:val="0"/>
          <w:color w:val="000000"/>
          <w:sz w:val="28"/>
          <w:szCs w:val="30"/>
          <w:lang w:val="en-US" w:eastAsia="zh-CN"/>
        </w:rPr>
        <w:t>3.57亿</w:t>
      </w:r>
      <w:r>
        <w:rPr>
          <w:rFonts w:hint="eastAsia" w:ascii="宋体" w:hAnsi="宋体" w:eastAsia="宋体" w:cs="Times New Roman"/>
          <w:b w:val="0"/>
          <w:color w:val="000000"/>
          <w:sz w:val="28"/>
          <w:szCs w:val="30"/>
        </w:rPr>
        <w:t>元，</w:t>
      </w:r>
      <w:r>
        <w:rPr>
          <w:rFonts w:hint="eastAsia" w:ascii="宋体" w:hAnsi="宋体" w:eastAsia="宋体" w:cs="Times New Roman"/>
          <w:b w:val="0"/>
          <w:color w:val="000000"/>
          <w:sz w:val="28"/>
          <w:szCs w:val="30"/>
          <w:lang w:val="en-US" w:eastAsia="zh-CN"/>
        </w:rPr>
        <w:t>累计</w:t>
      </w:r>
      <w:r>
        <w:rPr>
          <w:rFonts w:hint="eastAsia" w:ascii="宋体" w:hAnsi="宋体" w:eastAsia="宋体" w:cs="Times New Roman"/>
          <w:b w:val="0"/>
          <w:color w:val="000000"/>
          <w:sz w:val="28"/>
          <w:szCs w:val="30"/>
        </w:rPr>
        <w:t>本次交易，金额达到《上海证券交易所上市规则》规定的披露标准。</w:t>
      </w:r>
    </w:p>
    <w:p w14:paraId="7D63C435">
      <w:pPr>
        <w:keepNext w:val="0"/>
        <w:keepLines w:val="0"/>
        <w:pageBreakBefore w:val="0"/>
        <w:widowControl/>
        <w:kinsoku/>
        <w:wordWrap/>
        <w:overflowPunct/>
        <w:topLinePunct w:val="0"/>
        <w:bidi w:val="0"/>
        <w:adjustRightInd w:val="0"/>
        <w:snapToGrid w:val="0"/>
        <w:spacing w:line="520" w:lineRule="exact"/>
        <w:ind w:firstLine="562" w:firstLineChars="200"/>
        <w:textAlignment w:val="auto"/>
        <w:rPr>
          <w:rFonts w:hint="eastAsia" w:ascii="楷体_GB2312" w:hAnsi="楷体_GB2312" w:eastAsia="楷体_GB2312" w:cs="楷体_GB2312"/>
          <w:b/>
          <w:color w:val="000000"/>
          <w:sz w:val="28"/>
          <w:szCs w:val="28"/>
        </w:rPr>
      </w:pPr>
      <w:r>
        <w:rPr>
          <w:rFonts w:hint="eastAsia" w:ascii="楷体_GB2312" w:hAnsi="楷体_GB2312" w:eastAsia="楷体_GB2312" w:cs="楷体_GB2312"/>
          <w:b/>
          <w:color w:val="000000"/>
          <w:sz w:val="28"/>
          <w:szCs w:val="28"/>
        </w:rPr>
        <w:t>（一）独立董事专门会议审议情况</w:t>
      </w:r>
    </w:p>
    <w:p w14:paraId="49E7E701">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ascii="宋体" w:hAnsi="宋体"/>
          <w:color w:val="000000"/>
          <w:sz w:val="28"/>
          <w:szCs w:val="28"/>
        </w:rPr>
      </w:pPr>
      <w:r>
        <w:rPr>
          <w:rFonts w:hint="eastAsia" w:ascii="宋体" w:hAnsi="宋体" w:eastAsia="宋体" w:cs="宋体"/>
          <w:sz w:val="28"/>
          <w:szCs w:val="28"/>
        </w:rPr>
        <w:t>本次交易提交董事会讨论审议前，</w:t>
      </w:r>
      <w:r>
        <w:rPr>
          <w:rFonts w:hint="eastAsia" w:ascii="宋体" w:hAnsi="宋体"/>
          <w:color w:val="000000"/>
          <w:sz w:val="28"/>
          <w:szCs w:val="28"/>
        </w:rPr>
        <w:t>公司召开第九届董事会独立董事专门会议第</w:t>
      </w:r>
      <w:r>
        <w:rPr>
          <w:rFonts w:hint="eastAsia" w:ascii="宋体" w:hAnsi="宋体"/>
          <w:color w:val="000000"/>
          <w:sz w:val="28"/>
          <w:szCs w:val="28"/>
          <w:lang w:val="en-US" w:eastAsia="zh-CN"/>
        </w:rPr>
        <w:t>五</w:t>
      </w:r>
      <w:r>
        <w:rPr>
          <w:rFonts w:hint="eastAsia" w:ascii="宋体" w:hAnsi="宋体"/>
          <w:color w:val="000000"/>
          <w:sz w:val="28"/>
          <w:szCs w:val="28"/>
        </w:rPr>
        <w:t>次会议，批准《</w:t>
      </w:r>
      <w:r>
        <w:rPr>
          <w:rFonts w:hint="eastAsia" w:ascii="宋体" w:hAnsi="宋体"/>
          <w:color w:val="000000"/>
          <w:sz w:val="28"/>
          <w:szCs w:val="28"/>
          <w:lang w:val="en-US" w:eastAsia="zh-CN"/>
        </w:rPr>
        <w:t>关于收购高端支架公司100%股权的议案</w:t>
      </w:r>
      <w:r>
        <w:rPr>
          <w:rFonts w:hint="eastAsia" w:ascii="宋体" w:hAnsi="宋体"/>
          <w:color w:val="000000"/>
          <w:sz w:val="28"/>
          <w:szCs w:val="28"/>
        </w:rPr>
        <w:t>》，并同意提交董事会讨论审议。</w:t>
      </w:r>
    </w:p>
    <w:p w14:paraId="0D3ABEFE">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ascii="宋体" w:hAnsi="宋体"/>
          <w:color w:val="000000"/>
          <w:sz w:val="28"/>
          <w:szCs w:val="28"/>
        </w:rPr>
      </w:pPr>
      <w:r>
        <w:rPr>
          <w:rFonts w:hint="eastAsia" w:ascii="宋体" w:hAnsi="宋体"/>
          <w:color w:val="000000"/>
          <w:sz w:val="28"/>
          <w:szCs w:val="28"/>
        </w:rPr>
        <w:t>本次会议应出席独立董事</w:t>
      </w:r>
      <w:r>
        <w:rPr>
          <w:rFonts w:hint="eastAsia" w:ascii="宋体" w:hAnsi="宋体"/>
          <w:color w:val="000000"/>
          <w:sz w:val="28"/>
          <w:szCs w:val="28"/>
          <w:lang w:val="en-US" w:eastAsia="zh-CN"/>
        </w:rPr>
        <w:t>4</w:t>
      </w:r>
      <w:r>
        <w:rPr>
          <w:rFonts w:hint="eastAsia" w:ascii="宋体" w:hAnsi="宋体"/>
          <w:color w:val="000000"/>
          <w:sz w:val="28"/>
          <w:szCs w:val="28"/>
        </w:rPr>
        <w:t>人，实际出席</w:t>
      </w:r>
      <w:r>
        <w:rPr>
          <w:rFonts w:hint="eastAsia" w:ascii="宋体" w:hAnsi="宋体"/>
          <w:color w:val="000000"/>
          <w:sz w:val="28"/>
          <w:szCs w:val="28"/>
          <w:lang w:val="en-US" w:eastAsia="zh-CN"/>
        </w:rPr>
        <w:t>4</w:t>
      </w:r>
      <w:r>
        <w:rPr>
          <w:rFonts w:hint="eastAsia" w:ascii="宋体" w:hAnsi="宋体"/>
          <w:color w:val="000000"/>
          <w:sz w:val="28"/>
          <w:szCs w:val="28"/>
        </w:rPr>
        <w:t>人，符合《公司章程》及有关规定，会议的召开、表决合法有效。</w:t>
      </w:r>
    </w:p>
    <w:p w14:paraId="2188F7BF">
      <w:pPr>
        <w:keepNext w:val="0"/>
        <w:keepLines w:val="0"/>
        <w:pageBreakBefore w:val="0"/>
        <w:widowControl/>
        <w:kinsoku/>
        <w:wordWrap/>
        <w:overflowPunct/>
        <w:topLinePunct w:val="0"/>
        <w:bidi w:val="0"/>
        <w:adjustRightInd w:val="0"/>
        <w:snapToGrid w:val="0"/>
        <w:spacing w:line="520" w:lineRule="exact"/>
        <w:ind w:firstLine="562" w:firstLineChars="200"/>
        <w:textAlignment w:val="auto"/>
        <w:rPr>
          <w:rFonts w:hint="eastAsia" w:ascii="楷体_GB2312" w:hAnsi="楷体_GB2312" w:eastAsia="楷体_GB2312" w:cs="楷体_GB2312"/>
          <w:b/>
          <w:color w:val="000000"/>
          <w:sz w:val="28"/>
          <w:szCs w:val="28"/>
        </w:rPr>
      </w:pPr>
      <w:r>
        <w:rPr>
          <w:rFonts w:hint="eastAsia" w:ascii="楷体_GB2312" w:hAnsi="楷体_GB2312" w:eastAsia="楷体_GB2312" w:cs="楷体_GB2312"/>
          <w:b/>
          <w:color w:val="000000"/>
          <w:sz w:val="28"/>
          <w:szCs w:val="28"/>
        </w:rPr>
        <w:t>（二）董事会审议情况</w:t>
      </w:r>
    </w:p>
    <w:p w14:paraId="4F56E83D">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2025年</w:t>
      </w:r>
      <w:r>
        <w:rPr>
          <w:rFonts w:hint="eastAsia" w:ascii="宋体" w:hAnsi="宋体" w:cs="宋体"/>
          <w:color w:val="000000"/>
          <w:sz w:val="28"/>
          <w:szCs w:val="28"/>
          <w:lang w:eastAsia="zh-CN"/>
        </w:rPr>
        <w:t>11月27日</w:t>
      </w:r>
      <w:r>
        <w:rPr>
          <w:rFonts w:hint="eastAsia" w:ascii="宋体" w:hAnsi="宋体" w:eastAsia="宋体" w:cs="宋体"/>
          <w:color w:val="000000"/>
          <w:sz w:val="28"/>
          <w:szCs w:val="28"/>
        </w:rPr>
        <w:t>，公司召开第九届董事会第</w:t>
      </w:r>
      <w:r>
        <w:rPr>
          <w:rFonts w:hint="eastAsia" w:ascii="宋体" w:hAnsi="宋体" w:eastAsia="宋体" w:cs="宋体"/>
          <w:color w:val="000000"/>
          <w:sz w:val="28"/>
          <w:szCs w:val="28"/>
          <w:lang w:val="en-US" w:eastAsia="zh-CN"/>
        </w:rPr>
        <w:t>二十</w:t>
      </w:r>
      <w:r>
        <w:rPr>
          <w:rFonts w:hint="eastAsia" w:ascii="宋体" w:hAnsi="宋体" w:eastAsia="宋体" w:cs="宋体"/>
          <w:color w:val="000000"/>
          <w:sz w:val="28"/>
          <w:szCs w:val="28"/>
        </w:rPr>
        <w:t>次会议。会议应参会董事</w:t>
      </w:r>
      <w:r>
        <w:rPr>
          <w:rFonts w:hint="eastAsia" w:ascii="宋体" w:hAnsi="宋体" w:eastAsia="宋体" w:cs="宋体"/>
          <w:color w:val="000000"/>
          <w:sz w:val="28"/>
          <w:szCs w:val="28"/>
          <w:lang w:val="en-US" w:eastAsia="zh-CN"/>
        </w:rPr>
        <w:t>11</w:t>
      </w:r>
      <w:r>
        <w:rPr>
          <w:rFonts w:hint="eastAsia" w:ascii="宋体" w:hAnsi="宋体" w:eastAsia="宋体" w:cs="宋体"/>
          <w:color w:val="000000"/>
          <w:sz w:val="28"/>
          <w:szCs w:val="28"/>
        </w:rPr>
        <w:t>人、实际参会董事</w:t>
      </w:r>
      <w:r>
        <w:rPr>
          <w:rFonts w:hint="eastAsia" w:ascii="宋体" w:hAnsi="宋体" w:eastAsia="宋体" w:cs="宋体"/>
          <w:color w:val="000000"/>
          <w:sz w:val="28"/>
          <w:szCs w:val="28"/>
          <w:lang w:val="en-US" w:eastAsia="zh-CN"/>
        </w:rPr>
        <w:t>11</w:t>
      </w:r>
      <w:r>
        <w:rPr>
          <w:rFonts w:hint="eastAsia" w:ascii="宋体" w:hAnsi="宋体" w:eastAsia="宋体" w:cs="宋体"/>
          <w:color w:val="000000"/>
          <w:sz w:val="28"/>
          <w:szCs w:val="28"/>
        </w:rPr>
        <w:t>人。会议</w:t>
      </w:r>
      <w:r>
        <w:rPr>
          <w:rFonts w:hint="eastAsia" w:ascii="宋体" w:hAnsi="宋体" w:cs="宋体"/>
          <w:color w:val="000000"/>
          <w:sz w:val="28"/>
          <w:szCs w:val="28"/>
          <w:lang w:val="en-US" w:eastAsia="zh-CN"/>
        </w:rPr>
        <w:t>批准</w:t>
      </w:r>
      <w:r>
        <w:rPr>
          <w:rFonts w:hint="eastAsia" w:ascii="宋体" w:hAnsi="宋体" w:eastAsia="宋体" w:cs="宋体"/>
          <w:color w:val="000000"/>
          <w:sz w:val="28"/>
          <w:szCs w:val="28"/>
        </w:rPr>
        <w:t>了《</w:t>
      </w:r>
      <w:r>
        <w:rPr>
          <w:rFonts w:hint="eastAsia" w:ascii="宋体" w:hAnsi="宋体"/>
          <w:color w:val="000000"/>
          <w:sz w:val="28"/>
          <w:szCs w:val="28"/>
          <w:lang w:val="en-US" w:eastAsia="zh-CN"/>
        </w:rPr>
        <w:t>关于收购高端支架公司100%股权的议案</w:t>
      </w:r>
      <w:r>
        <w:rPr>
          <w:rFonts w:hint="eastAsia" w:ascii="宋体" w:hAnsi="宋体" w:eastAsia="宋体" w:cs="宋体"/>
          <w:color w:val="000000"/>
          <w:sz w:val="28"/>
          <w:szCs w:val="28"/>
        </w:rPr>
        <w:t>》。表决结果：赞成</w:t>
      </w: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票、反对</w:t>
      </w:r>
      <w:r>
        <w:rPr>
          <w:rFonts w:hint="eastAsia" w:ascii="宋体" w:hAnsi="宋体" w:eastAsia="宋体" w:cs="宋体"/>
          <w:color w:val="000000"/>
          <w:sz w:val="28"/>
          <w:szCs w:val="28"/>
          <w:lang w:val="en-US" w:eastAsia="zh-CN"/>
        </w:rPr>
        <w:t>0</w:t>
      </w:r>
      <w:r>
        <w:rPr>
          <w:rFonts w:hint="eastAsia" w:ascii="宋体" w:hAnsi="宋体" w:eastAsia="宋体" w:cs="宋体"/>
          <w:color w:val="000000"/>
          <w:sz w:val="28"/>
          <w:szCs w:val="28"/>
        </w:rPr>
        <w:t>票、弃权</w:t>
      </w:r>
      <w:r>
        <w:rPr>
          <w:rFonts w:hint="eastAsia" w:ascii="宋体" w:hAnsi="宋体" w:eastAsia="宋体" w:cs="宋体"/>
          <w:color w:val="000000"/>
          <w:sz w:val="28"/>
          <w:szCs w:val="28"/>
          <w:lang w:val="en-US" w:eastAsia="zh-CN"/>
        </w:rPr>
        <w:t>0</w:t>
      </w:r>
      <w:r>
        <w:rPr>
          <w:rFonts w:hint="eastAsia" w:ascii="宋体" w:hAnsi="宋体" w:eastAsia="宋体" w:cs="宋体"/>
          <w:color w:val="000000"/>
          <w:sz w:val="28"/>
          <w:szCs w:val="28"/>
        </w:rPr>
        <w:t>票</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关联董事</w:t>
      </w:r>
      <w:r>
        <w:rPr>
          <w:rFonts w:hint="eastAsia" w:ascii="宋体" w:hAnsi="宋体" w:eastAsia="宋体" w:cs="宋体"/>
          <w:sz w:val="28"/>
          <w:szCs w:val="28"/>
        </w:rPr>
        <w:t>李伟、刘健、刘强、张海军</w:t>
      </w:r>
      <w:r>
        <w:rPr>
          <w:rFonts w:hint="eastAsia" w:ascii="宋体" w:hAnsi="宋体" w:eastAsia="宋体" w:cs="宋体"/>
          <w:color w:val="000000"/>
          <w:sz w:val="28"/>
          <w:szCs w:val="28"/>
        </w:rPr>
        <w:t>回避表决。本次</w:t>
      </w:r>
      <w:r>
        <w:rPr>
          <w:rFonts w:hint="eastAsia" w:ascii="宋体" w:hAnsi="宋体" w:cs="宋体"/>
          <w:color w:val="000000"/>
          <w:sz w:val="28"/>
          <w:szCs w:val="28"/>
          <w:lang w:val="en-US" w:eastAsia="zh-CN"/>
        </w:rPr>
        <w:t>交易</w:t>
      </w:r>
      <w:r>
        <w:rPr>
          <w:rFonts w:hint="eastAsia" w:ascii="宋体" w:hAnsi="宋体" w:eastAsia="宋体" w:cs="宋体"/>
          <w:color w:val="000000"/>
          <w:sz w:val="28"/>
          <w:szCs w:val="28"/>
        </w:rPr>
        <w:t>属于董事会决策权限，无需提交公司股东会审议。</w:t>
      </w:r>
    </w:p>
    <w:p w14:paraId="69573F43">
      <w:pPr>
        <w:keepNext w:val="0"/>
        <w:keepLines w:val="0"/>
        <w:pageBreakBefore w:val="0"/>
        <w:widowControl w:val="0"/>
        <w:kinsoku/>
        <w:wordWrap/>
        <w:overflowPunct/>
        <w:topLinePunct w:val="0"/>
        <w:autoSpaceDE w:val="0"/>
        <w:autoSpaceDN w:val="0"/>
        <w:bidi w:val="0"/>
        <w:adjustRightInd w:val="0"/>
        <w:snapToGrid w:val="0"/>
        <w:spacing w:beforeAutospacing="0" w:line="520" w:lineRule="exact"/>
        <w:ind w:firstLine="560" w:firstLineChars="200"/>
        <w:textAlignment w:val="auto"/>
        <w:outlineLvl w:val="0"/>
        <w:rPr>
          <w:rFonts w:ascii="黑体" w:hAnsi="黑体" w:eastAsia="黑体"/>
          <w:b w:val="0"/>
          <w:bCs/>
          <w:color w:val="000000"/>
          <w:sz w:val="28"/>
          <w:szCs w:val="28"/>
        </w:rPr>
      </w:pPr>
      <w:r>
        <w:rPr>
          <w:rFonts w:hint="eastAsia" w:ascii="黑体" w:hAnsi="黑体" w:eastAsia="黑体"/>
          <w:b w:val="0"/>
          <w:bCs/>
          <w:color w:val="000000"/>
          <w:sz w:val="28"/>
          <w:szCs w:val="28"/>
          <w:lang w:val="en-US" w:eastAsia="zh-CN"/>
        </w:rPr>
        <w:t>八</w:t>
      </w:r>
      <w:r>
        <w:rPr>
          <w:rFonts w:hint="eastAsia" w:ascii="黑体" w:hAnsi="黑体" w:eastAsia="黑体"/>
          <w:b w:val="0"/>
          <w:bCs/>
          <w:color w:val="000000"/>
          <w:sz w:val="28"/>
          <w:szCs w:val="28"/>
        </w:rPr>
        <w:t>、需要特别说明的历史关联交易（日常关联交易除外）情况</w:t>
      </w:r>
    </w:p>
    <w:p w14:paraId="7E77E6E6">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自2025年1月1日至本公告日，公司与</w:t>
      </w:r>
      <w:r>
        <w:rPr>
          <w:rFonts w:hint="eastAsia" w:ascii="宋体" w:hAnsi="宋体" w:cs="宋体"/>
          <w:color w:val="000000"/>
          <w:sz w:val="28"/>
          <w:szCs w:val="28"/>
          <w:lang w:eastAsia="zh-CN"/>
        </w:rPr>
        <w:t>山东能源</w:t>
      </w:r>
      <w:r>
        <w:rPr>
          <w:rFonts w:hint="eastAsia" w:ascii="宋体" w:hAnsi="宋体" w:eastAsia="宋体" w:cs="宋体"/>
          <w:color w:val="000000"/>
          <w:sz w:val="28"/>
          <w:szCs w:val="28"/>
        </w:rPr>
        <w:t>及其下属公司累计已发生除日常关联交易外的各类关联交易总金额为</w:t>
      </w:r>
      <w:r>
        <w:rPr>
          <w:rFonts w:hint="eastAsia" w:ascii="宋体" w:hAnsi="宋体" w:eastAsia="宋体" w:cs="宋体"/>
          <w:color w:val="000000"/>
          <w:sz w:val="28"/>
          <w:szCs w:val="28"/>
          <w:lang w:val="en-US" w:eastAsia="zh-CN"/>
        </w:rPr>
        <w:t>155.1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亿</w:t>
      </w:r>
      <w:r>
        <w:rPr>
          <w:rFonts w:hint="eastAsia" w:ascii="宋体" w:hAnsi="宋体" w:eastAsia="宋体" w:cs="宋体"/>
          <w:color w:val="000000"/>
          <w:sz w:val="28"/>
          <w:szCs w:val="28"/>
        </w:rPr>
        <w:t>元。本次交易前12个月内，公司与</w:t>
      </w:r>
      <w:r>
        <w:rPr>
          <w:rFonts w:hint="eastAsia" w:ascii="宋体" w:hAnsi="宋体" w:cs="宋体"/>
          <w:color w:val="000000"/>
          <w:sz w:val="28"/>
          <w:szCs w:val="28"/>
          <w:lang w:eastAsia="zh-CN"/>
        </w:rPr>
        <w:t>山东能源</w:t>
      </w:r>
      <w:r>
        <w:rPr>
          <w:rFonts w:hint="eastAsia" w:ascii="宋体" w:hAnsi="宋体" w:eastAsia="宋体" w:cs="宋体"/>
          <w:color w:val="000000"/>
          <w:sz w:val="28"/>
          <w:szCs w:val="28"/>
        </w:rPr>
        <w:t>及其下属公司发生的非日常关联交易情况如下：</w:t>
      </w:r>
    </w:p>
    <w:p w14:paraId="54FF8B3A">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一</w:t>
      </w:r>
      <w:r>
        <w:rPr>
          <w:rFonts w:hint="eastAsia" w:ascii="宋体" w:hAnsi="宋体" w:eastAsia="宋体" w:cs="宋体"/>
          <w:color w:val="000000"/>
          <w:sz w:val="28"/>
          <w:szCs w:val="28"/>
        </w:rPr>
        <w:t>）经公司总经理办公会</w:t>
      </w:r>
      <w:r>
        <w:rPr>
          <w:rFonts w:hint="eastAsia" w:ascii="宋体" w:hAnsi="宋体" w:cs="宋体"/>
          <w:color w:val="000000"/>
          <w:sz w:val="28"/>
          <w:szCs w:val="28"/>
          <w:lang w:val="en-US" w:eastAsia="zh-CN"/>
        </w:rPr>
        <w:t>审议</w:t>
      </w:r>
      <w:r>
        <w:rPr>
          <w:rFonts w:hint="eastAsia" w:ascii="宋体" w:hAnsi="宋体" w:eastAsia="宋体" w:cs="宋体"/>
          <w:color w:val="000000"/>
          <w:sz w:val="28"/>
          <w:szCs w:val="28"/>
        </w:rPr>
        <w:t>批准，2025年2月14日</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东华重工与</w:t>
      </w:r>
      <w:r>
        <w:rPr>
          <w:rFonts w:hint="eastAsia" w:ascii="宋体" w:hAnsi="宋体" w:eastAsia="宋体" w:cs="宋体"/>
          <w:color w:val="000000"/>
          <w:sz w:val="28"/>
          <w:szCs w:val="28"/>
          <w:lang w:val="en-US" w:eastAsia="zh-CN"/>
        </w:rPr>
        <w:t>山东能源</w:t>
      </w:r>
      <w:r>
        <w:rPr>
          <w:rFonts w:hint="eastAsia" w:ascii="宋体" w:hAnsi="宋体" w:eastAsia="宋体" w:cs="宋体"/>
          <w:color w:val="000000"/>
          <w:sz w:val="28"/>
          <w:szCs w:val="28"/>
        </w:rPr>
        <w:t>非全资附属公司新风光电子科技股份有限公司（“新风光科技”）及兖州东方机电有限公司（“东方机电”）签署增资协议，新风光科技以现金方式出资5,592.57万元认缴东方机电新增注册资本，东华重工放弃对东方机电新增注册资本的优先认缴权。增资完成后，新风光科技持有东方机电50%的股权，公司对东方机电持股比例由94.336%下降至47.168%</w:t>
      </w:r>
      <w:r>
        <w:rPr>
          <w:rFonts w:hint="eastAsia" w:ascii="宋体" w:hAnsi="宋体" w:cs="宋体"/>
          <w:color w:val="000000"/>
          <w:sz w:val="28"/>
          <w:szCs w:val="28"/>
          <w:lang w:val="en-US" w:eastAsia="zh-CN"/>
        </w:rPr>
        <w:t>,其余股权由自然人持有</w:t>
      </w:r>
      <w:r>
        <w:rPr>
          <w:rFonts w:hint="eastAsia" w:ascii="宋体" w:hAnsi="宋体" w:eastAsia="宋体" w:cs="宋体"/>
          <w:color w:val="000000"/>
          <w:sz w:val="28"/>
          <w:szCs w:val="28"/>
        </w:rPr>
        <w:t>。</w:t>
      </w:r>
    </w:p>
    <w:p w14:paraId="40D062B7">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二</w:t>
      </w:r>
      <w:r>
        <w:rPr>
          <w:rFonts w:hint="eastAsia" w:ascii="宋体" w:hAnsi="宋体" w:eastAsia="宋体" w:cs="宋体"/>
          <w:color w:val="000000"/>
          <w:sz w:val="28"/>
          <w:szCs w:val="28"/>
        </w:rPr>
        <w:t>）经公司第九届董事会第十四次会议</w:t>
      </w:r>
      <w:r>
        <w:rPr>
          <w:rFonts w:hint="eastAsia" w:ascii="宋体" w:hAnsi="宋体" w:cs="宋体"/>
          <w:color w:val="000000"/>
          <w:sz w:val="28"/>
          <w:szCs w:val="28"/>
          <w:lang w:val="en-US" w:eastAsia="zh-CN"/>
        </w:rPr>
        <w:t>审议</w:t>
      </w:r>
      <w:r>
        <w:rPr>
          <w:rFonts w:hint="eastAsia" w:ascii="宋体" w:hAnsi="宋体" w:eastAsia="宋体" w:cs="宋体"/>
          <w:color w:val="000000"/>
          <w:sz w:val="28"/>
          <w:szCs w:val="28"/>
        </w:rPr>
        <w:t>批准，2025年3月28日</w:t>
      </w:r>
      <w:r>
        <w:rPr>
          <w:rFonts w:hint="eastAsia" w:ascii="宋体" w:hAnsi="宋体" w:cs="宋体"/>
          <w:color w:val="000000"/>
          <w:sz w:val="28"/>
          <w:szCs w:val="28"/>
          <w:lang w:eastAsia="zh-CN"/>
        </w:rPr>
        <w:t>，</w:t>
      </w:r>
      <w:r>
        <w:rPr>
          <w:rFonts w:hint="eastAsia" w:ascii="宋体" w:hAnsi="宋体" w:eastAsia="宋体" w:cs="宋体"/>
          <w:color w:val="000000"/>
          <w:sz w:val="28"/>
          <w:szCs w:val="28"/>
        </w:rPr>
        <w:t>公司控股子公司山东能源集团鲁西矿业有限公司（“鲁西矿业”）与公司关联方临沂矿业集团有限责任公司（“临矿集团”）签署协议，约定共同承担现由鲁西矿业权属单位肥城矿业集团梁宝寺能源有限责任公司、山东新巨龙能源有限责任公司、临沂矿业集团菏泽煤电有限公司郭屯煤矿承担的统筹外费用，鲁西矿业按其持股比例承担相应费用，临矿集团承担剩余部分。其中临矿集团承担的10.37亿元统筹外费用事项构成关联交易。</w:t>
      </w:r>
    </w:p>
    <w:p w14:paraId="1A6EC7DA">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（三）经公司2024年度股东周年大会审议批准，公司以现金47.48亿元收购</w:t>
      </w:r>
      <w:r>
        <w:rPr>
          <w:rFonts w:hint="eastAsia" w:ascii="宋体" w:hAnsi="宋体" w:cs="宋体"/>
          <w:color w:val="000000"/>
          <w:sz w:val="28"/>
          <w:szCs w:val="28"/>
          <w:lang w:val="en-US" w:eastAsia="zh-CN"/>
        </w:rPr>
        <w:t>山东能源集团西北矿业有限公司（“西北矿业”）</w:t>
      </w:r>
      <w:r>
        <w:rPr>
          <w:rFonts w:hint="eastAsia" w:ascii="宋体" w:hAnsi="宋体" w:eastAsia="宋体" w:cs="宋体"/>
          <w:color w:val="000000"/>
          <w:sz w:val="28"/>
          <w:szCs w:val="28"/>
          <w:lang w:val="en-US" w:eastAsia="zh-CN"/>
        </w:rPr>
        <w:t>26%股权，以现金93.18亿元向西北矿业增资，增资完成后，公司合计持有西北矿业51%的股权。</w:t>
      </w:r>
    </w:p>
    <w:p w14:paraId="7FCED251">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四</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经公司总经理办公会审议批准，2025年8月29日</w:t>
      </w:r>
      <w:r>
        <w:rPr>
          <w:rFonts w:hint="eastAsia" w:ascii="宋体" w:hAnsi="宋体" w:cs="宋体"/>
          <w:color w:val="000000"/>
          <w:sz w:val="28"/>
          <w:szCs w:val="28"/>
          <w:lang w:eastAsia="zh-CN"/>
        </w:rPr>
        <w:t>，</w:t>
      </w:r>
      <w:r>
        <w:rPr>
          <w:rFonts w:hint="eastAsia" w:ascii="宋体" w:hAnsi="宋体" w:eastAsia="宋体" w:cs="宋体"/>
          <w:color w:val="000000"/>
          <w:sz w:val="28"/>
          <w:szCs w:val="28"/>
        </w:rPr>
        <w:t>山东华聚能源股份有限公司（“华聚能源”）与山东能源及其附属公司兖矿售电有限公司（“售电公司”）签署增资协议。华聚能源以现金方式出资25,362.375万元认缴售电公司新增注册资本。增资完成后，华聚能源持有售电公司70%的股权，山东能源持有售电公司30%的股权，售电公司成为公司附属公司。</w:t>
      </w:r>
    </w:p>
    <w:p w14:paraId="461F9D5F">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五</w:t>
      </w:r>
      <w:r>
        <w:rPr>
          <w:rFonts w:hint="eastAsia" w:ascii="宋体" w:hAnsi="宋体" w:eastAsia="宋体" w:cs="宋体"/>
          <w:color w:val="000000"/>
          <w:sz w:val="28"/>
          <w:szCs w:val="28"/>
          <w:lang w:eastAsia="zh-CN"/>
        </w:rPr>
        <w:t>）</w:t>
      </w:r>
      <w:bookmarkStart w:id="5" w:name="OLE_LINK1"/>
      <w:r>
        <w:rPr>
          <w:rFonts w:hint="eastAsia" w:ascii="宋体" w:hAnsi="宋体" w:eastAsia="宋体" w:cs="宋体"/>
          <w:color w:val="000000"/>
          <w:sz w:val="28"/>
          <w:szCs w:val="28"/>
        </w:rPr>
        <w:t>经公司总经理办公会审议批准，2025年</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rPr>
        <w:t>月2</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日</w:t>
      </w:r>
      <w:r>
        <w:rPr>
          <w:rFonts w:hint="eastAsia" w:ascii="宋体" w:hAnsi="宋体" w:cs="宋体"/>
          <w:color w:val="000000"/>
          <w:sz w:val="28"/>
          <w:szCs w:val="28"/>
          <w:lang w:eastAsia="zh-CN"/>
        </w:rPr>
        <w:t>，</w:t>
      </w:r>
      <w:r>
        <w:rPr>
          <w:rFonts w:hint="eastAsia" w:ascii="宋体" w:hAnsi="宋体" w:eastAsia="宋体" w:cs="宋体"/>
          <w:color w:val="000000"/>
          <w:sz w:val="28"/>
          <w:szCs w:val="28"/>
        </w:rPr>
        <w:t>公司及公司全资子公司兖煤国际</w:t>
      </w:r>
      <w:r>
        <w:rPr>
          <w:rFonts w:hint="eastAsia" w:ascii="宋体" w:hAnsi="宋体" w:cs="宋体"/>
          <w:color w:val="000000"/>
          <w:sz w:val="28"/>
          <w:szCs w:val="30"/>
        </w:rPr>
        <w:t>（控股）有限公司</w:t>
      </w:r>
      <w:r>
        <w:rPr>
          <w:rFonts w:hint="eastAsia" w:ascii="宋体" w:hAnsi="宋体" w:eastAsia="宋体" w:cs="宋体"/>
          <w:color w:val="000000"/>
          <w:sz w:val="28"/>
          <w:szCs w:val="28"/>
        </w:rPr>
        <w:t>与</w:t>
      </w:r>
      <w:r>
        <w:rPr>
          <w:rFonts w:hint="eastAsia" w:ascii="宋体" w:hAnsi="宋体" w:cs="宋体"/>
          <w:color w:val="000000"/>
          <w:sz w:val="28"/>
          <w:szCs w:val="30"/>
        </w:rPr>
        <w:t>山东能源集团新能源集团有限公司（“新能源集团”）</w:t>
      </w:r>
      <w:r>
        <w:rPr>
          <w:rFonts w:hint="eastAsia" w:ascii="宋体" w:hAnsi="宋体" w:eastAsia="宋体" w:cs="宋体"/>
          <w:color w:val="000000"/>
          <w:sz w:val="28"/>
          <w:szCs w:val="28"/>
        </w:rPr>
        <w:t>签署合资协议，由新能源集团现金出资1.071亿元、持股51%，公司现金出资0.609亿元、持股29%，兖煤国际现金出资等值人民币0.42亿元的美元、持股20%，合资设立</w:t>
      </w:r>
      <w:r>
        <w:rPr>
          <w:rFonts w:hint="eastAsia" w:ascii="宋体" w:hAnsi="宋体" w:eastAsia="宋体" w:cs="宋体"/>
          <w:color w:val="000000"/>
          <w:sz w:val="28"/>
          <w:szCs w:val="28"/>
          <w:lang w:val="en-US" w:eastAsia="zh-CN"/>
        </w:rPr>
        <w:t>山能（邹城）风电有限公司</w:t>
      </w:r>
      <w:r>
        <w:rPr>
          <w:rFonts w:hint="eastAsia" w:ascii="宋体" w:hAnsi="宋体" w:eastAsia="宋体" w:cs="宋体"/>
          <w:color w:val="000000"/>
          <w:sz w:val="28"/>
          <w:szCs w:val="28"/>
        </w:rPr>
        <w:t>。</w:t>
      </w:r>
      <w:bookmarkEnd w:id="5"/>
    </w:p>
    <w:p w14:paraId="7F1854B0">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ascii="黑体" w:hAnsi="黑体" w:eastAsia="黑体"/>
          <w:b w:val="0"/>
          <w:bCs/>
          <w:color w:val="000000"/>
          <w:sz w:val="28"/>
          <w:szCs w:val="28"/>
        </w:rPr>
      </w:pPr>
      <w:r>
        <w:rPr>
          <w:rFonts w:hint="eastAsia" w:ascii="黑体" w:hAnsi="黑体" w:eastAsia="黑体"/>
          <w:b w:val="0"/>
          <w:bCs/>
          <w:color w:val="000000"/>
          <w:sz w:val="28"/>
          <w:szCs w:val="28"/>
          <w:lang w:val="en-US" w:eastAsia="zh-CN"/>
        </w:rPr>
        <w:t>九</w:t>
      </w:r>
      <w:r>
        <w:rPr>
          <w:rFonts w:hint="eastAsia" w:ascii="黑体" w:hAnsi="黑体" w:eastAsia="黑体"/>
          <w:b w:val="0"/>
          <w:bCs/>
          <w:color w:val="000000"/>
          <w:sz w:val="28"/>
          <w:szCs w:val="28"/>
        </w:rPr>
        <w:t>、备查文件</w:t>
      </w:r>
    </w:p>
    <w:p w14:paraId="0674F74F">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ascii="宋体" w:hAnsi="宋体"/>
          <w:color w:val="000000"/>
          <w:sz w:val="28"/>
          <w:szCs w:val="28"/>
        </w:rPr>
      </w:pPr>
      <w:r>
        <w:rPr>
          <w:rFonts w:hint="eastAsia" w:ascii="宋体" w:hAnsi="宋体"/>
          <w:color w:val="000000"/>
          <w:sz w:val="28"/>
          <w:szCs w:val="28"/>
        </w:rPr>
        <w:t>（一）公司第九届董事会第</w:t>
      </w:r>
      <w:r>
        <w:rPr>
          <w:rFonts w:hint="eastAsia" w:ascii="宋体" w:hAnsi="宋体"/>
          <w:color w:val="000000"/>
          <w:sz w:val="28"/>
          <w:szCs w:val="28"/>
          <w:lang w:val="en-US" w:eastAsia="zh-CN"/>
        </w:rPr>
        <w:t>二十</w:t>
      </w:r>
      <w:r>
        <w:rPr>
          <w:rFonts w:hint="eastAsia" w:ascii="宋体" w:hAnsi="宋体"/>
          <w:color w:val="000000"/>
          <w:sz w:val="28"/>
          <w:szCs w:val="28"/>
        </w:rPr>
        <w:t>次会议决议；</w:t>
      </w:r>
    </w:p>
    <w:p w14:paraId="273AE2D0">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ascii="宋体" w:hAnsi="宋体"/>
          <w:color w:val="000000"/>
          <w:sz w:val="28"/>
          <w:szCs w:val="28"/>
        </w:rPr>
      </w:pPr>
      <w:r>
        <w:rPr>
          <w:rFonts w:hint="eastAsia" w:ascii="宋体" w:hAnsi="宋体"/>
          <w:color w:val="000000"/>
          <w:sz w:val="28"/>
          <w:szCs w:val="28"/>
        </w:rPr>
        <w:t>（二）独立董事专门会议决议；</w:t>
      </w:r>
    </w:p>
    <w:p w14:paraId="26D6016E">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hint="default" w:ascii="宋体" w:hAnsi="宋体" w:eastAsia="宋体"/>
          <w:color w:val="000000"/>
          <w:sz w:val="28"/>
          <w:szCs w:val="28"/>
          <w:lang w:val="en-US" w:eastAsia="zh-CN"/>
        </w:rPr>
      </w:pPr>
      <w:r>
        <w:rPr>
          <w:rFonts w:hint="eastAsia" w:ascii="宋体" w:hAnsi="宋体"/>
          <w:color w:val="000000"/>
          <w:sz w:val="28"/>
          <w:szCs w:val="28"/>
        </w:rPr>
        <w:t>（三）</w:t>
      </w:r>
      <w:r>
        <w:rPr>
          <w:rFonts w:hint="eastAsia" w:ascii="宋体" w:hAnsi="宋体"/>
          <w:color w:val="000000"/>
          <w:sz w:val="28"/>
          <w:szCs w:val="28"/>
          <w:lang w:eastAsia="zh-CN"/>
        </w:rPr>
        <w:t>《</w:t>
      </w:r>
      <w:r>
        <w:rPr>
          <w:rFonts w:hint="eastAsia" w:ascii="宋体" w:hAnsi="宋体"/>
          <w:color w:val="000000"/>
          <w:sz w:val="28"/>
          <w:szCs w:val="28"/>
          <w:lang w:val="en-US" w:eastAsia="zh-CN"/>
        </w:rPr>
        <w:t>股权转让协议</w:t>
      </w:r>
      <w:r>
        <w:rPr>
          <w:rFonts w:hint="eastAsia" w:ascii="宋体" w:hAnsi="宋体"/>
          <w:color w:val="000000"/>
          <w:sz w:val="28"/>
          <w:szCs w:val="28"/>
          <w:lang w:eastAsia="zh-CN"/>
        </w:rPr>
        <w:t>》。</w:t>
      </w:r>
    </w:p>
    <w:p w14:paraId="4A31AE8E">
      <w:pPr>
        <w:keepNext w:val="0"/>
        <w:keepLines w:val="0"/>
        <w:pageBreakBefore w:val="0"/>
        <w:widowControl/>
        <w:kinsoku/>
        <w:wordWrap/>
        <w:overflowPunct/>
        <w:topLinePunct w:val="0"/>
        <w:bidi w:val="0"/>
        <w:adjustRightInd w:val="0"/>
        <w:snapToGrid w:val="0"/>
        <w:spacing w:line="520" w:lineRule="exact"/>
        <w:ind w:firstLine="600"/>
        <w:textAlignment w:val="auto"/>
        <w:rPr>
          <w:rFonts w:ascii="宋体" w:hAnsi="宋体"/>
          <w:color w:val="000000"/>
          <w:sz w:val="28"/>
          <w:szCs w:val="28"/>
        </w:rPr>
      </w:pPr>
    </w:p>
    <w:p w14:paraId="54B4F316">
      <w:pPr>
        <w:keepNext w:val="0"/>
        <w:keepLines w:val="0"/>
        <w:pageBreakBefore w:val="0"/>
        <w:widowControl/>
        <w:kinsoku/>
        <w:wordWrap/>
        <w:overflowPunct/>
        <w:topLinePunct w:val="0"/>
        <w:bidi w:val="0"/>
        <w:adjustRightInd w:val="0"/>
        <w:snapToGrid w:val="0"/>
        <w:spacing w:line="520" w:lineRule="exact"/>
        <w:ind w:firstLine="560" w:firstLineChars="200"/>
        <w:textAlignment w:val="auto"/>
        <w:rPr>
          <w:rFonts w:ascii="宋体" w:hAnsi="宋体"/>
          <w:sz w:val="28"/>
          <w:szCs w:val="28"/>
        </w:rPr>
      </w:pPr>
      <w:r>
        <w:rPr>
          <w:rFonts w:hint="eastAsia" w:ascii="宋体" w:hAnsi="宋体"/>
          <w:color w:val="000000"/>
          <w:sz w:val="28"/>
          <w:szCs w:val="28"/>
        </w:rPr>
        <w:t>特此公告。</w:t>
      </w:r>
    </w:p>
    <w:p w14:paraId="56BA0807">
      <w:pPr>
        <w:keepNext w:val="0"/>
        <w:keepLines w:val="0"/>
        <w:pageBreakBefore w:val="0"/>
        <w:widowControl/>
        <w:kinsoku/>
        <w:wordWrap/>
        <w:overflowPunct/>
        <w:topLinePunct w:val="0"/>
        <w:bidi w:val="0"/>
        <w:adjustRightInd w:val="0"/>
        <w:snapToGrid w:val="0"/>
        <w:spacing w:line="520" w:lineRule="exact"/>
        <w:ind w:firstLine="560" w:firstLineChars="200"/>
        <w:jc w:val="right"/>
        <w:textAlignment w:val="auto"/>
        <w:rPr>
          <w:rFonts w:ascii="宋体" w:hAnsi="宋体"/>
          <w:color w:val="000000"/>
          <w:sz w:val="28"/>
          <w:szCs w:val="28"/>
        </w:rPr>
      </w:pPr>
    </w:p>
    <w:p w14:paraId="50E40A28">
      <w:pPr>
        <w:keepNext w:val="0"/>
        <w:keepLines w:val="0"/>
        <w:pageBreakBefore w:val="0"/>
        <w:widowControl/>
        <w:kinsoku/>
        <w:wordWrap/>
        <w:overflowPunct/>
        <w:topLinePunct w:val="0"/>
        <w:bidi w:val="0"/>
        <w:adjustRightInd w:val="0"/>
        <w:snapToGrid w:val="0"/>
        <w:spacing w:line="520" w:lineRule="exact"/>
        <w:ind w:firstLine="560" w:firstLineChars="200"/>
        <w:jc w:val="right"/>
        <w:textAlignment w:val="auto"/>
        <w:rPr>
          <w:rFonts w:ascii="宋体" w:hAnsi="宋体"/>
          <w:color w:val="000000"/>
          <w:sz w:val="28"/>
          <w:szCs w:val="28"/>
        </w:rPr>
      </w:pPr>
    </w:p>
    <w:p w14:paraId="40CB0D49">
      <w:pPr>
        <w:keepNext w:val="0"/>
        <w:keepLines w:val="0"/>
        <w:pageBreakBefore w:val="0"/>
        <w:widowControl/>
        <w:kinsoku/>
        <w:wordWrap/>
        <w:overflowPunct/>
        <w:topLinePunct w:val="0"/>
        <w:bidi w:val="0"/>
        <w:adjustRightInd w:val="0"/>
        <w:snapToGrid w:val="0"/>
        <w:spacing w:line="520" w:lineRule="exact"/>
        <w:ind w:firstLine="560" w:firstLineChars="200"/>
        <w:jc w:val="right"/>
        <w:textAlignment w:val="auto"/>
        <w:rPr>
          <w:rFonts w:ascii="宋体" w:hAnsi="宋体"/>
          <w:color w:val="000000"/>
          <w:sz w:val="28"/>
          <w:szCs w:val="28"/>
        </w:rPr>
      </w:pPr>
      <w:r>
        <w:rPr>
          <w:rFonts w:hint="eastAsia" w:ascii="宋体" w:hAnsi="宋体"/>
          <w:color w:val="000000"/>
          <w:sz w:val="28"/>
          <w:szCs w:val="28"/>
        </w:rPr>
        <w:t>兖矿能源集团股份有限公司董事会</w:t>
      </w:r>
    </w:p>
    <w:p w14:paraId="5CF298CF">
      <w:pPr>
        <w:keepNext w:val="0"/>
        <w:keepLines w:val="0"/>
        <w:pageBreakBefore w:val="0"/>
        <w:widowControl/>
        <w:kinsoku/>
        <w:wordWrap/>
        <w:overflowPunct/>
        <w:topLinePunct w:val="0"/>
        <w:bidi w:val="0"/>
        <w:adjustRightInd w:val="0"/>
        <w:snapToGrid w:val="0"/>
        <w:spacing w:line="520" w:lineRule="exact"/>
        <w:ind w:firstLine="560" w:firstLineChars="200"/>
        <w:jc w:val="right"/>
        <w:textAlignment w:val="auto"/>
      </w:pPr>
      <w:r>
        <w:rPr>
          <w:rFonts w:hint="eastAsia" w:ascii="宋体" w:hAnsi="宋体"/>
          <w:color w:val="000000"/>
          <w:sz w:val="28"/>
          <w:szCs w:val="28"/>
          <w:lang w:val="en-US" w:eastAsia="zh-CN"/>
        </w:rPr>
        <w:t>2025</w:t>
      </w:r>
      <w:r>
        <w:rPr>
          <w:rFonts w:hint="eastAsia" w:ascii="宋体" w:hAnsi="宋体"/>
          <w:color w:val="000000"/>
          <w:sz w:val="28"/>
          <w:szCs w:val="28"/>
        </w:rPr>
        <w:t>年</w:t>
      </w:r>
      <w:r>
        <w:rPr>
          <w:rFonts w:hint="eastAsia" w:ascii="宋体" w:hAnsi="宋体"/>
          <w:color w:val="000000"/>
          <w:sz w:val="28"/>
          <w:szCs w:val="28"/>
          <w:lang w:val="en-US" w:eastAsia="zh-CN"/>
        </w:rPr>
        <w:t>11</w:t>
      </w:r>
      <w:r>
        <w:rPr>
          <w:rFonts w:hint="eastAsia" w:ascii="宋体" w:hAnsi="宋体"/>
          <w:color w:val="000000"/>
          <w:sz w:val="28"/>
          <w:szCs w:val="28"/>
        </w:rPr>
        <w:t>月</w:t>
      </w:r>
      <w:r>
        <w:rPr>
          <w:rFonts w:hint="eastAsia" w:ascii="宋体" w:hAnsi="宋体"/>
          <w:color w:val="000000"/>
          <w:sz w:val="28"/>
          <w:szCs w:val="28"/>
          <w:lang w:val="en-US" w:eastAsia="zh-CN"/>
        </w:rPr>
        <w:t>27</w:t>
      </w:r>
      <w:r>
        <w:rPr>
          <w:rFonts w:hint="eastAsia" w:ascii="宋体" w:hAnsi="宋体"/>
          <w:color w:val="000000"/>
          <w:sz w:val="28"/>
          <w:szCs w:val="28"/>
        </w:rPr>
        <w:t>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C4854">
    <w:pPr>
      <w:pStyle w:val="7"/>
      <w:jc w:val="center"/>
    </w:pPr>
    <w:r>
      <w:fldChar w:fldCharType="begin"/>
    </w:r>
    <w:r>
      <w:instrText xml:space="preserve">PAGE   \* MERGEFORMAT</w:instrText>
    </w:r>
    <w:r>
      <w:fldChar w:fldCharType="separate"/>
    </w:r>
    <w:r>
      <w:rPr>
        <w:lang w:val="zh-CN"/>
      </w:rPr>
      <w:t>9</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81735"/>
    <w:multiLevelType w:val="multilevel"/>
    <w:tmpl w:val="1238173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0YmFiNTBkNDc2OGNlNjk5NTg3ZWM0YTJiZTNiNjYifQ=="/>
  </w:docVars>
  <w:rsids>
    <w:rsidRoot w:val="00BC57A7"/>
    <w:rsid w:val="00001C9E"/>
    <w:rsid w:val="00014220"/>
    <w:rsid w:val="0003096C"/>
    <w:rsid w:val="00047A16"/>
    <w:rsid w:val="00052EC2"/>
    <w:rsid w:val="00060F6F"/>
    <w:rsid w:val="00074A03"/>
    <w:rsid w:val="000751F1"/>
    <w:rsid w:val="00075479"/>
    <w:rsid w:val="0007704B"/>
    <w:rsid w:val="000874D4"/>
    <w:rsid w:val="0009197E"/>
    <w:rsid w:val="000C1B1B"/>
    <w:rsid w:val="000D39E5"/>
    <w:rsid w:val="000E4C08"/>
    <w:rsid w:val="000E603A"/>
    <w:rsid w:val="000F0DA1"/>
    <w:rsid w:val="000F13FF"/>
    <w:rsid w:val="0012757E"/>
    <w:rsid w:val="00140DE5"/>
    <w:rsid w:val="00145F63"/>
    <w:rsid w:val="001638CE"/>
    <w:rsid w:val="001950D9"/>
    <w:rsid w:val="001A4FD3"/>
    <w:rsid w:val="001A5BF9"/>
    <w:rsid w:val="001B041F"/>
    <w:rsid w:val="001B2352"/>
    <w:rsid w:val="001B594D"/>
    <w:rsid w:val="001F46F9"/>
    <w:rsid w:val="00201E89"/>
    <w:rsid w:val="00202835"/>
    <w:rsid w:val="00204CBC"/>
    <w:rsid w:val="002059BA"/>
    <w:rsid w:val="002153DA"/>
    <w:rsid w:val="00220B99"/>
    <w:rsid w:val="002300F4"/>
    <w:rsid w:val="00233192"/>
    <w:rsid w:val="0024277C"/>
    <w:rsid w:val="002462BC"/>
    <w:rsid w:val="0024741F"/>
    <w:rsid w:val="00254E83"/>
    <w:rsid w:val="002614ED"/>
    <w:rsid w:val="00274B06"/>
    <w:rsid w:val="00287036"/>
    <w:rsid w:val="00290D4C"/>
    <w:rsid w:val="002B3E23"/>
    <w:rsid w:val="002E56CA"/>
    <w:rsid w:val="003051AF"/>
    <w:rsid w:val="00314147"/>
    <w:rsid w:val="003302B8"/>
    <w:rsid w:val="00335F30"/>
    <w:rsid w:val="003415D9"/>
    <w:rsid w:val="00350C64"/>
    <w:rsid w:val="00352B8D"/>
    <w:rsid w:val="003601B2"/>
    <w:rsid w:val="00360AE4"/>
    <w:rsid w:val="003812FB"/>
    <w:rsid w:val="003A0665"/>
    <w:rsid w:val="003A0BEE"/>
    <w:rsid w:val="003C1B81"/>
    <w:rsid w:val="003C5426"/>
    <w:rsid w:val="003D5AA9"/>
    <w:rsid w:val="003E04F1"/>
    <w:rsid w:val="00407A6F"/>
    <w:rsid w:val="0043378C"/>
    <w:rsid w:val="00470B49"/>
    <w:rsid w:val="00477F60"/>
    <w:rsid w:val="00483C39"/>
    <w:rsid w:val="0049085A"/>
    <w:rsid w:val="004A7BB2"/>
    <w:rsid w:val="004C3DF6"/>
    <w:rsid w:val="004C5E46"/>
    <w:rsid w:val="004D4363"/>
    <w:rsid w:val="004D52D0"/>
    <w:rsid w:val="004E7729"/>
    <w:rsid w:val="004F4597"/>
    <w:rsid w:val="005028AB"/>
    <w:rsid w:val="005454CC"/>
    <w:rsid w:val="0055045D"/>
    <w:rsid w:val="0055059F"/>
    <w:rsid w:val="00553A50"/>
    <w:rsid w:val="005570F5"/>
    <w:rsid w:val="005571C2"/>
    <w:rsid w:val="00564D85"/>
    <w:rsid w:val="00572798"/>
    <w:rsid w:val="005855D4"/>
    <w:rsid w:val="005928F5"/>
    <w:rsid w:val="005962D6"/>
    <w:rsid w:val="005A5771"/>
    <w:rsid w:val="005B1978"/>
    <w:rsid w:val="005B391E"/>
    <w:rsid w:val="005D0CBC"/>
    <w:rsid w:val="005D0F5A"/>
    <w:rsid w:val="0060623E"/>
    <w:rsid w:val="00615731"/>
    <w:rsid w:val="006413B5"/>
    <w:rsid w:val="00673D21"/>
    <w:rsid w:val="006753C3"/>
    <w:rsid w:val="00691572"/>
    <w:rsid w:val="006A0715"/>
    <w:rsid w:val="006A23A9"/>
    <w:rsid w:val="006A60DF"/>
    <w:rsid w:val="006A659D"/>
    <w:rsid w:val="006A6D4D"/>
    <w:rsid w:val="006B307C"/>
    <w:rsid w:val="006C1AE0"/>
    <w:rsid w:val="006E2C63"/>
    <w:rsid w:val="006E3B77"/>
    <w:rsid w:val="006F1A28"/>
    <w:rsid w:val="00705A8C"/>
    <w:rsid w:val="00706262"/>
    <w:rsid w:val="00706B66"/>
    <w:rsid w:val="00730563"/>
    <w:rsid w:val="00747872"/>
    <w:rsid w:val="00762727"/>
    <w:rsid w:val="007709E9"/>
    <w:rsid w:val="00774B6E"/>
    <w:rsid w:val="00781FE2"/>
    <w:rsid w:val="0079239E"/>
    <w:rsid w:val="007955C2"/>
    <w:rsid w:val="00796012"/>
    <w:rsid w:val="007A5385"/>
    <w:rsid w:val="007D16C1"/>
    <w:rsid w:val="007E1D2D"/>
    <w:rsid w:val="007E7156"/>
    <w:rsid w:val="00812DD2"/>
    <w:rsid w:val="00820E56"/>
    <w:rsid w:val="00825CD3"/>
    <w:rsid w:val="00832307"/>
    <w:rsid w:val="00834A5D"/>
    <w:rsid w:val="00844503"/>
    <w:rsid w:val="00846415"/>
    <w:rsid w:val="00850857"/>
    <w:rsid w:val="00856FA8"/>
    <w:rsid w:val="0086447C"/>
    <w:rsid w:val="0087161A"/>
    <w:rsid w:val="00873F3E"/>
    <w:rsid w:val="0087627E"/>
    <w:rsid w:val="008805DE"/>
    <w:rsid w:val="0088789D"/>
    <w:rsid w:val="008A070F"/>
    <w:rsid w:val="008C056F"/>
    <w:rsid w:val="008C2CC8"/>
    <w:rsid w:val="008C3AD9"/>
    <w:rsid w:val="008D0129"/>
    <w:rsid w:val="008E64CB"/>
    <w:rsid w:val="008F1E1E"/>
    <w:rsid w:val="008F309B"/>
    <w:rsid w:val="008F6FEF"/>
    <w:rsid w:val="0090583D"/>
    <w:rsid w:val="00914EAA"/>
    <w:rsid w:val="0092616E"/>
    <w:rsid w:val="0093566E"/>
    <w:rsid w:val="00936F31"/>
    <w:rsid w:val="009605CE"/>
    <w:rsid w:val="009670AA"/>
    <w:rsid w:val="00970974"/>
    <w:rsid w:val="00985BC0"/>
    <w:rsid w:val="009B1DA6"/>
    <w:rsid w:val="009C46BA"/>
    <w:rsid w:val="009C6AC1"/>
    <w:rsid w:val="009D38AF"/>
    <w:rsid w:val="009E7E82"/>
    <w:rsid w:val="009F2006"/>
    <w:rsid w:val="009F2F11"/>
    <w:rsid w:val="009F3932"/>
    <w:rsid w:val="00A054AD"/>
    <w:rsid w:val="00A13FB5"/>
    <w:rsid w:val="00A26CB5"/>
    <w:rsid w:val="00A55A59"/>
    <w:rsid w:val="00A76307"/>
    <w:rsid w:val="00A963DF"/>
    <w:rsid w:val="00AE24DA"/>
    <w:rsid w:val="00B12F34"/>
    <w:rsid w:val="00B2410A"/>
    <w:rsid w:val="00B364FE"/>
    <w:rsid w:val="00B3690A"/>
    <w:rsid w:val="00B401AB"/>
    <w:rsid w:val="00B412E7"/>
    <w:rsid w:val="00B4565F"/>
    <w:rsid w:val="00B61E23"/>
    <w:rsid w:val="00B641D2"/>
    <w:rsid w:val="00B65A47"/>
    <w:rsid w:val="00B73776"/>
    <w:rsid w:val="00B7784C"/>
    <w:rsid w:val="00B82710"/>
    <w:rsid w:val="00B93527"/>
    <w:rsid w:val="00B9485A"/>
    <w:rsid w:val="00B97730"/>
    <w:rsid w:val="00BA2910"/>
    <w:rsid w:val="00BA4C10"/>
    <w:rsid w:val="00BC57A7"/>
    <w:rsid w:val="00BC7855"/>
    <w:rsid w:val="00BE0FD5"/>
    <w:rsid w:val="00BE11AE"/>
    <w:rsid w:val="00BE493E"/>
    <w:rsid w:val="00BE5A03"/>
    <w:rsid w:val="00BF0513"/>
    <w:rsid w:val="00C44661"/>
    <w:rsid w:val="00C51F0D"/>
    <w:rsid w:val="00C7443A"/>
    <w:rsid w:val="00C77A62"/>
    <w:rsid w:val="00C77D7C"/>
    <w:rsid w:val="00C934A9"/>
    <w:rsid w:val="00CA6110"/>
    <w:rsid w:val="00CA68AC"/>
    <w:rsid w:val="00CB16B7"/>
    <w:rsid w:val="00CB3492"/>
    <w:rsid w:val="00CC358E"/>
    <w:rsid w:val="00CC3D92"/>
    <w:rsid w:val="00CE0227"/>
    <w:rsid w:val="00CE5270"/>
    <w:rsid w:val="00D02AAE"/>
    <w:rsid w:val="00D27D97"/>
    <w:rsid w:val="00D526D6"/>
    <w:rsid w:val="00D569F9"/>
    <w:rsid w:val="00D66368"/>
    <w:rsid w:val="00D7228C"/>
    <w:rsid w:val="00D85CBF"/>
    <w:rsid w:val="00D96E63"/>
    <w:rsid w:val="00DB782A"/>
    <w:rsid w:val="00DC582B"/>
    <w:rsid w:val="00DD450A"/>
    <w:rsid w:val="00DF3237"/>
    <w:rsid w:val="00E02906"/>
    <w:rsid w:val="00E03317"/>
    <w:rsid w:val="00E27360"/>
    <w:rsid w:val="00E36E89"/>
    <w:rsid w:val="00E476C8"/>
    <w:rsid w:val="00E51889"/>
    <w:rsid w:val="00E65DFE"/>
    <w:rsid w:val="00E96CE6"/>
    <w:rsid w:val="00E97B47"/>
    <w:rsid w:val="00EB45A7"/>
    <w:rsid w:val="00EC2D48"/>
    <w:rsid w:val="00EC5BA0"/>
    <w:rsid w:val="00ED0FE5"/>
    <w:rsid w:val="00ED4FAF"/>
    <w:rsid w:val="00EE1239"/>
    <w:rsid w:val="00EE7D3A"/>
    <w:rsid w:val="00F43F4D"/>
    <w:rsid w:val="00F47DB8"/>
    <w:rsid w:val="00F566AF"/>
    <w:rsid w:val="00F75643"/>
    <w:rsid w:val="00F82E35"/>
    <w:rsid w:val="00F86C83"/>
    <w:rsid w:val="00FA1993"/>
    <w:rsid w:val="00FC2157"/>
    <w:rsid w:val="00FD14C3"/>
    <w:rsid w:val="00FE116A"/>
    <w:rsid w:val="00FF4E1A"/>
    <w:rsid w:val="00FF6C20"/>
    <w:rsid w:val="02AB7E8F"/>
    <w:rsid w:val="064518B0"/>
    <w:rsid w:val="06FC6923"/>
    <w:rsid w:val="15D051B2"/>
    <w:rsid w:val="1B9673BB"/>
    <w:rsid w:val="1C4478F3"/>
    <w:rsid w:val="28378824"/>
    <w:rsid w:val="2AA16A87"/>
    <w:rsid w:val="2FCD0D35"/>
    <w:rsid w:val="32685C8B"/>
    <w:rsid w:val="36E624E8"/>
    <w:rsid w:val="36FDC548"/>
    <w:rsid w:val="3ADC402C"/>
    <w:rsid w:val="426C64BB"/>
    <w:rsid w:val="484364C1"/>
    <w:rsid w:val="4C1965D2"/>
    <w:rsid w:val="4E7319B9"/>
    <w:rsid w:val="4EC02FD7"/>
    <w:rsid w:val="5FEB2161"/>
    <w:rsid w:val="65673A36"/>
    <w:rsid w:val="698A2A90"/>
    <w:rsid w:val="6CB34607"/>
    <w:rsid w:val="6F225921"/>
    <w:rsid w:val="6FF5548D"/>
    <w:rsid w:val="73846CBA"/>
    <w:rsid w:val="73BE4472"/>
    <w:rsid w:val="75E579CC"/>
    <w:rsid w:val="76C85EC5"/>
    <w:rsid w:val="7B3C6A00"/>
    <w:rsid w:val="7BBA3F0B"/>
    <w:rsid w:val="7E1F7DB5"/>
    <w:rsid w:val="7E974220"/>
    <w:rsid w:val="A7FFFF66"/>
    <w:rsid w:val="BFFFC393"/>
    <w:rsid w:val="DAFF7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Body Text"/>
    <w:basedOn w:val="1"/>
    <w:next w:val="5"/>
    <w:qFormat/>
    <w:uiPriority w:val="0"/>
    <w:pPr>
      <w:spacing w:after="120"/>
    </w:pPr>
  </w:style>
  <w:style w:type="paragraph" w:styleId="5">
    <w:name w:val="Date"/>
    <w:basedOn w:val="1"/>
    <w:next w:val="1"/>
    <w:qFormat/>
    <w:uiPriority w:val="0"/>
    <w:rPr>
      <w:sz w:val="32"/>
      <w:szCs w:val="20"/>
    </w:rPr>
  </w:style>
  <w:style w:type="paragraph" w:styleId="6">
    <w:name w:val="Balloon Text"/>
    <w:basedOn w:val="1"/>
    <w:link w:val="18"/>
    <w:qFormat/>
    <w:uiPriority w:val="0"/>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paragraph" w:styleId="10">
    <w:name w:val="annotation subject"/>
    <w:basedOn w:val="3"/>
    <w:next w:val="3"/>
    <w:link w:val="21"/>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styleId="15">
    <w:name w:val="annotation reference"/>
    <w:qFormat/>
    <w:uiPriority w:val="0"/>
    <w:rPr>
      <w:sz w:val="21"/>
      <w:szCs w:val="21"/>
    </w:rPr>
  </w:style>
  <w:style w:type="character" w:customStyle="1" w:styleId="16">
    <w:name w:val="标题 1 字符"/>
    <w:link w:val="2"/>
    <w:qFormat/>
    <w:uiPriority w:val="0"/>
    <w:rPr>
      <w:rFonts w:eastAsia="宋体"/>
      <w:b/>
      <w:bCs/>
      <w:kern w:val="44"/>
      <w:sz w:val="44"/>
      <w:szCs w:val="44"/>
      <w:lang w:val="en-US" w:eastAsia="zh-CN" w:bidi="ar-SA"/>
    </w:rPr>
  </w:style>
  <w:style w:type="character" w:customStyle="1" w:styleId="17">
    <w:name w:val="批注文字 字符"/>
    <w:link w:val="3"/>
    <w:qFormat/>
    <w:uiPriority w:val="0"/>
    <w:rPr>
      <w:kern w:val="2"/>
      <w:sz w:val="21"/>
      <w:szCs w:val="24"/>
    </w:rPr>
  </w:style>
  <w:style w:type="character" w:customStyle="1" w:styleId="18">
    <w:name w:val="批注框文本 字符"/>
    <w:link w:val="6"/>
    <w:qFormat/>
    <w:uiPriority w:val="0"/>
    <w:rPr>
      <w:kern w:val="2"/>
      <w:sz w:val="18"/>
      <w:szCs w:val="18"/>
    </w:rPr>
  </w:style>
  <w:style w:type="character" w:customStyle="1" w:styleId="19">
    <w:name w:val="页脚 字符1"/>
    <w:link w:val="7"/>
    <w:qFormat/>
    <w:uiPriority w:val="99"/>
    <w:rPr>
      <w:kern w:val="2"/>
      <w:sz w:val="18"/>
      <w:szCs w:val="18"/>
    </w:rPr>
  </w:style>
  <w:style w:type="character" w:customStyle="1" w:styleId="20">
    <w:name w:val="页眉 字符"/>
    <w:link w:val="8"/>
    <w:qFormat/>
    <w:uiPriority w:val="0"/>
    <w:rPr>
      <w:kern w:val="2"/>
      <w:sz w:val="18"/>
      <w:szCs w:val="18"/>
    </w:rPr>
  </w:style>
  <w:style w:type="character" w:customStyle="1" w:styleId="21">
    <w:name w:val="批注主题 字符"/>
    <w:link w:val="10"/>
    <w:qFormat/>
    <w:uiPriority w:val="0"/>
  </w:style>
  <w:style w:type="paragraph" w:customStyle="1" w:styleId="22">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3">
    <w:name w:val="页脚 字符"/>
    <w:qFormat/>
    <w:uiPriority w:val="99"/>
  </w:style>
  <w:style w:type="paragraph" w:styleId="24">
    <w:name w:val="List Paragraph"/>
    <w:basedOn w:val="1"/>
    <w:qFormat/>
    <w:uiPriority w:val="99"/>
    <w:pPr>
      <w:ind w:firstLine="420" w:firstLineChars="200"/>
    </w:pPr>
  </w:style>
  <w:style w:type="paragraph" w:customStyle="1" w:styleId="25">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26">
    <w:name w:val="正文（公告）"/>
    <w:basedOn w:val="1"/>
    <w:qFormat/>
    <w:uiPriority w:val="0"/>
    <w:pPr>
      <w:adjustRightInd w:val="0"/>
      <w:snapToGrid w:val="0"/>
      <w:spacing w:line="300" w:lineRule="auto"/>
      <w:ind w:firstLine="560" w:firstLineChars="200"/>
    </w:pPr>
    <w:rPr>
      <w:sz w:val="28"/>
      <w:szCs w:val="28"/>
    </w:rPr>
  </w:style>
  <w:style w:type="paragraph" w:customStyle="1" w:styleId="27">
    <w:name w:val="_Style 100"/>
    <w:basedOn w:val="1"/>
    <w:qFormat/>
    <w:uiPriority w:val="0"/>
    <w:pPr>
      <w:widowControl w:val="0"/>
      <w:jc w:val="both"/>
    </w:pPr>
    <w:rPr>
      <w:rFonts w:ascii="Calibri" w:hAnsi="Calibri" w:cs="Times New Roman"/>
      <w:kern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00B77-6893-4E66-9264-A95492AF9DD5}">
  <ds:schemaRefs/>
</ds:datastoreItem>
</file>

<file path=docProps/app.xml><?xml version="1.0" encoding="utf-8"?>
<Properties xmlns="http://schemas.openxmlformats.org/officeDocument/2006/extended-properties" xmlns:vt="http://schemas.openxmlformats.org/officeDocument/2006/docPropsVTypes">
  <Template>Normal</Template>
  <Pages>11</Pages>
  <Words>1710</Words>
  <Characters>1867</Characters>
  <Lines>33</Lines>
  <Paragraphs>9</Paragraphs>
  <TotalTime>41</TotalTime>
  <ScaleCrop>false</ScaleCrop>
  <LinksUpToDate>false</LinksUpToDate>
  <CharactersWithSpaces>1890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2025-11-18T08:26:00Z</dcterms:created>
  <dc:creator>sse</dc:creator>
  <cp:lastModifiedBy>徐沛德</cp:lastModifiedBy>
  <dcterms:modified xsi:type="dcterms:W3CDTF">2025-11-27T08:21:52Z</dcterms:modified>
  <dc:title>第十号 上市公司关联交易公告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73AF8B183C7441A5A15C130FD4DD3792_13</vt:lpwstr>
  </property>
  <property fmtid="{D5CDD505-2E9C-101B-9397-08002B2CF9AE}" pid="4" name="5B77E7CEEC58BC6AFAE8886BEB80DBEB">
    <vt:lpwstr>otCYQxs9Dbw2bUEn/Soxv9pYAoWsCRIsU8+gIbxzzmNcJN13+qHIPyWmbF9hFzPHyi2m8DLwi54E5OVVM5pJ0yGmgAiYTaR6oYUdYZxdjep6I9xviFUFZ9aTScfBW9OG+RinnGphS13LMYYqnbCPzi2d4M5KOWz+vk/FyTpv/rg7Jjf1UTbvZcVc50lzoKgpMrxDZc+9XWgqd85oOTlkpKAAVXUpdEgW/Ik2qF7VldWVNFYypZxqsyEkb9xc+dCety/hUzjoJcpQZWFS8aymzeb3j3/BA0bBt/2nYM5Dj21h1ZOCVl2ai6lExNlFTjfLNjXfhCGpXZrghNRXFpFrFzrBCbuHsgvbyDHyjJNq24L3uYFSRrgaTXEAXMu/5q7jgj5CaWDNqKsvxhLK97+au8tx6vUDjdFaxUZbItlKqW65DcHfxETB73ZT/KpYl2d0x1pt1jE6dkDec4ogDXRcaU5q+ksriIQ73s5Lgd4X1bIc34rl90LnyQioqUlsVxymHNdsjLOq8BkBsVG1Xub0iveIgL0miEDYnaq+Z7WZzOPb6Fmh+aEk6DN8I4OUAzrYHlBkCzcL7RUz18hQ8FBVx7LeoHxtfWjLqwAz1lNCR29OCETky9uZSMSKWUtgVF8l</vt:lpwstr>
  </property>
  <property fmtid="{D5CDD505-2E9C-101B-9397-08002B2CF9AE}" pid="5" name="KSOTemplateDocerSaveRecord">
    <vt:lpwstr>eyJoZGlkIjoiNmJjMzlkOGJiNjZiNTM0ZTE5OGJjZDMyNWQxNjRhYjciLCJ1c2VySWQiOiI0NDYyMDcwMjAifQ==</vt:lpwstr>
  </property>
</Properties>
</file>