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p>
      <w:pPr>
        <w:ind w:firstLine="480"/>
      </w:pPr>
    </w:p>
    <w:p>
      <w:pPr>
        <w:spacing w:line="580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Toc19457"/>
      <w:bookmarkStart w:id="1" w:name="_Toc25377"/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jc w:val="left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</w:p>
    <w:p>
      <w:pPr>
        <w:jc w:val="center"/>
        <w:textAlignment w:val="baseline"/>
        <w:rPr>
          <w:rFonts w:ascii="华文新魏" w:hAnsi="华文新魏" w:eastAsia="华文新魏" w:cs="华文新魏"/>
          <w:b/>
          <w:sz w:val="72"/>
          <w:szCs w:val="72"/>
        </w:rPr>
      </w:pPr>
      <w:r>
        <w:rPr>
          <w:rFonts w:hint="eastAsia" w:ascii="华文新魏" w:hAnsi="华文新魏" w:eastAsia="华文新魏" w:cs="华文新魏"/>
          <w:b/>
          <w:sz w:val="72"/>
          <w:szCs w:val="72"/>
        </w:rPr>
        <w:t>戏剧影视表演专业</w:t>
      </w:r>
      <w:bookmarkEnd w:id="0"/>
      <w:bookmarkEnd w:id="1"/>
    </w:p>
    <w:p>
      <w:pPr>
        <w:jc w:val="center"/>
        <w:textAlignment w:val="baseline"/>
        <w:rPr>
          <w:rFonts w:ascii="华文新魏" w:hAnsi="华文新魏" w:eastAsia="华文新魏" w:cs="华文新魏"/>
          <w:b/>
          <w:sz w:val="72"/>
          <w:szCs w:val="72"/>
        </w:rPr>
      </w:pPr>
      <w:r>
        <w:rPr>
          <w:rFonts w:hint="eastAsia" w:ascii="华文新魏" w:hAnsi="华文新魏" w:eastAsia="华文新魏" w:cs="华文新魏"/>
          <w:b/>
          <w:sz w:val="72"/>
          <w:szCs w:val="72"/>
        </w:rPr>
        <w:t>人才培养方案</w:t>
      </w:r>
    </w:p>
    <w:p>
      <w:pPr>
        <w:jc w:val="center"/>
        <w:textAlignment w:val="baseline"/>
        <w:rPr>
          <w:rFonts w:ascii="华文新魏" w:eastAsia="华文新魏"/>
          <w:b/>
          <w:sz w:val="48"/>
          <w:szCs w:val="48"/>
        </w:rPr>
      </w:pPr>
    </w:p>
    <w:p>
      <w:pPr>
        <w:jc w:val="center"/>
        <w:textAlignment w:val="baseline"/>
        <w:rPr>
          <w:rFonts w:ascii="华文新魏" w:eastAsia="华文新魏"/>
          <w:b/>
          <w:sz w:val="48"/>
          <w:szCs w:val="48"/>
        </w:rPr>
      </w:pPr>
    </w:p>
    <w:p>
      <w:pPr>
        <w:tabs>
          <w:tab w:val="left" w:pos="6283"/>
        </w:tabs>
        <w:ind w:firstLine="883" w:firstLineChars="200"/>
        <w:textAlignment w:val="baseline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专业代码：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55</w:t>
      </w:r>
      <w:r>
        <w:rPr>
          <w:rFonts w:hint="eastAsia" w:ascii="宋体" w:hAnsi="宋体"/>
          <w:b/>
          <w:sz w:val="44"/>
          <w:szCs w:val="44"/>
        </w:rPr>
        <w:t>020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ab/>
      </w:r>
    </w:p>
    <w:p>
      <w:pPr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 </w:t>
      </w:r>
    </w:p>
    <w:p>
      <w:pPr>
        <w:ind w:firstLine="883" w:firstLineChars="200"/>
        <w:textAlignment w:val="baseline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专业负责人：陈平</w:t>
      </w:r>
    </w:p>
    <w:p>
      <w:pPr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     </w:t>
      </w:r>
    </w:p>
    <w:p>
      <w:pPr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           </w:t>
      </w:r>
    </w:p>
    <w:p>
      <w:pPr>
        <w:jc w:val="center"/>
        <w:textAlignment w:val="baseline"/>
        <w:rPr>
          <w:rFonts w:ascii="宋体" w:hAnsi="宋体"/>
          <w:b/>
          <w:sz w:val="18"/>
          <w:szCs w:val="18"/>
        </w:rPr>
      </w:pPr>
    </w:p>
    <w:p>
      <w:pPr>
        <w:jc w:val="center"/>
        <w:textAlignment w:val="baseline"/>
        <w:rPr>
          <w:rFonts w:ascii="宋体" w:hAnsi="宋体"/>
          <w:b/>
          <w:sz w:val="36"/>
          <w:szCs w:val="36"/>
        </w:rPr>
      </w:pPr>
    </w:p>
    <w:p>
      <w:pPr>
        <w:jc w:val="center"/>
        <w:textAlignment w:val="baseline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学前教育与戏剧系</w:t>
      </w:r>
    </w:p>
    <w:p>
      <w:pPr>
        <w:jc w:val="center"/>
        <w:textAlignment w:val="baseline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二零二一年八月</w:t>
      </w:r>
    </w:p>
    <w:p>
      <w:pPr>
        <w:jc w:val="center"/>
        <w:textAlignment w:val="baseline"/>
        <w:rPr>
          <w:rFonts w:ascii="宋体" w:hAnsi="宋体"/>
          <w:b/>
          <w:sz w:val="36"/>
          <w:szCs w:val="36"/>
        </w:rPr>
      </w:pPr>
    </w:p>
    <w:p>
      <w:pPr>
        <w:jc w:val="center"/>
        <w:textAlignment w:val="baseline"/>
        <w:rPr>
          <w:rFonts w:ascii="宋体" w:hAnsi="宋体"/>
          <w:b/>
          <w:sz w:val="36"/>
          <w:szCs w:val="36"/>
        </w:rPr>
      </w:pPr>
    </w:p>
    <w:p>
      <w:pPr>
        <w:jc w:val="center"/>
        <w:textAlignment w:val="baseline"/>
        <w:rPr>
          <w:rFonts w:ascii="宋体" w:hAnsi="宋体"/>
          <w:b/>
          <w:sz w:val="36"/>
          <w:szCs w:val="36"/>
        </w:rPr>
      </w:pPr>
    </w:p>
    <w:p>
      <w:pPr>
        <w:textAlignment w:val="baseline"/>
        <w:rPr>
          <w:rFonts w:ascii="宋体" w:hAnsi="宋体"/>
          <w:b/>
          <w:sz w:val="36"/>
          <w:szCs w:val="36"/>
        </w:rPr>
      </w:pPr>
    </w:p>
    <w:sdt>
      <w:sdtP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id w:val="-1226375341"/>
      </w:sdtPr>
      <w:sdtEndPr>
        <w:rPr>
          <w:rFonts w:hint="eastAsia" w:ascii="黑体" w:hAnsi="黑体" w:eastAsia="黑体" w:cs="黑体"/>
          <w:b/>
          <w:bCs/>
          <w:color w:val="000000"/>
          <w:kern w:val="0"/>
          <w:sz w:val="20"/>
          <w:szCs w:val="20"/>
        </w:rPr>
      </w:sdtEndPr>
      <w:sdtContent>
        <w:p>
          <w:pPr>
            <w:spacing w:after="312"/>
            <w:jc w:val="center"/>
            <w:textAlignment w:val="baseline"/>
            <w:rPr>
              <w:rFonts w:ascii="黑体" w:hAnsi="黑体" w:eastAsia="黑体" w:cs="黑体"/>
              <w:sz w:val="44"/>
              <w:szCs w:val="44"/>
            </w:rPr>
          </w:pPr>
          <w:r>
            <w:rPr>
              <w:rFonts w:hint="eastAsia" w:ascii="黑体" w:hAnsi="黑体" w:eastAsia="黑体" w:cs="黑体"/>
              <w:sz w:val="44"/>
              <w:szCs w:val="44"/>
            </w:rPr>
            <w:t xml:space="preserve">目 录  </w:t>
          </w:r>
        </w:p>
        <w:p>
          <w:pPr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  <w:instrText xml:space="preserve">TOC \o "1-1" \h  \u </w:instrText>
          </w:r>
          <w:r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"_Toc11651"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一、专业名称及代码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instrText xml:space="preserve"> PAGEREF _Toc11651 </w:instrTex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- 2 -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"_Toc22664"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二、入学要求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instrText xml:space="preserve"> PAGEREF _Toc22664 </w:instrTex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- 3 -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"_Toc2090"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三、修业年限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instrText xml:space="preserve"> PAGEREF _Toc22664 </w:instrTex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- 3 -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"_Toc14752"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四、教育类型与学历层次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instrText xml:space="preserve"> PAGEREF _Toc14752 </w:instrTex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- 3 -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"_Toc11488"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五、职业面向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instrText xml:space="preserve"> PAGEREF _Toc11488 </w:instrTex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- 3 -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"_Toc8750"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六、培养目标及培养规格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instrText xml:space="preserve"> PAGEREF _Toc8750 </w:instrTex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- 4 -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"_Toc25418"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七、职业能力分析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instrText xml:space="preserve"> PAGEREF _Toc25418 </w:instrTex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- 6 -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"_Toc21072"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八、课程体系构建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instrText xml:space="preserve"> PAGEREF _Toc21072 </w:instrTex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- 7 -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"_Toc28122"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九、毕业要求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instrText xml:space="preserve"> PAGEREF _Toc21072 </w:instrTex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- 12 -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"_Toc8795"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十、教学实施条件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13</w:t>
          </w:r>
        </w:p>
        <w:p>
          <w:pPr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"_Toc27821"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十一、专业指导委员会组成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16</w:t>
          </w:r>
        </w:p>
        <w:p>
          <w:pPr>
            <w:widowControl/>
            <w:spacing w:line="560" w:lineRule="exact"/>
            <w:ind w:firstLine="562" w:firstLineChars="200"/>
            <w:textAlignment w:val="baseline"/>
            <w:rPr>
              <w:rFonts w:ascii="仿宋_GB2312" w:hAnsi="仿宋_GB2312" w:eastAsia="仿宋_GB2312" w:cs="Times New Roman"/>
              <w:b/>
              <w:bCs/>
              <w:kern w:val="0"/>
              <w:szCs w:val="32"/>
            </w:rPr>
          </w:pP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widowControl/>
            <w:spacing w:line="560" w:lineRule="exact"/>
            <w:textAlignment w:val="baseline"/>
            <w:rPr>
              <w:rFonts w:ascii="仿宋_GB2312" w:hAnsi="仿宋_GB2312" w:eastAsia="仿宋_GB2312" w:cs="Times New Roman"/>
              <w:b/>
              <w:bCs/>
              <w:kern w:val="0"/>
              <w:szCs w:val="32"/>
            </w:rPr>
          </w:pPr>
        </w:p>
        <w:p>
          <w:pPr>
            <w:widowControl/>
            <w:spacing w:line="560" w:lineRule="exact"/>
            <w:ind w:firstLine="402" w:firstLineChars="200"/>
            <w:textAlignment w:val="baseline"/>
            <w:rPr>
              <w:rFonts w:ascii="仿宋_GB2312" w:hAnsi="仿宋_GB2312" w:eastAsia="仿宋_GB2312" w:cs="Times New Roman"/>
              <w:kern w:val="0"/>
              <w:szCs w:val="32"/>
            </w:rPr>
          </w:pPr>
        </w:p>
      </w:sdtContent>
    </w:sdt>
    <w:p>
      <w:pPr>
        <w:widowControl/>
        <w:spacing w:line="560" w:lineRule="exact"/>
        <w:textAlignment w:val="baseline"/>
        <w:rPr>
          <w:rFonts w:ascii="仿宋_GB2312" w:hAnsi="仿宋_GB2312" w:eastAsia="仿宋_GB2312" w:cs="Times New Roman"/>
          <w:kern w:val="0"/>
          <w:szCs w:val="32"/>
        </w:rPr>
      </w:pPr>
    </w:p>
    <w:p>
      <w:pPr>
        <w:widowControl/>
        <w:spacing w:line="560" w:lineRule="exact"/>
        <w:textAlignment w:val="baseline"/>
        <w:rPr>
          <w:rFonts w:ascii="仿宋_GB2312" w:hAnsi="仿宋_GB2312" w:eastAsia="仿宋_GB2312" w:cs="Times New Roman"/>
          <w:kern w:val="0"/>
          <w:szCs w:val="32"/>
        </w:rPr>
      </w:pPr>
    </w:p>
    <w:p>
      <w:pPr>
        <w:pStyle w:val="2"/>
        <w:rPr>
          <w:rFonts w:hint="default"/>
        </w:rPr>
      </w:pPr>
    </w:p>
    <w:p>
      <w:pPr>
        <w:widowControl/>
        <w:spacing w:line="560" w:lineRule="exact"/>
        <w:textAlignment w:val="baseline"/>
        <w:rPr>
          <w:rFonts w:ascii="仿宋_GB2312" w:hAnsi="仿宋_GB2312" w:eastAsia="仿宋_GB2312" w:cs="Times New Roman"/>
          <w:kern w:val="0"/>
          <w:szCs w:val="32"/>
        </w:rPr>
      </w:pPr>
    </w:p>
    <w:p>
      <w:pPr>
        <w:spacing w:line="580" w:lineRule="exact"/>
        <w:ind w:firstLine="1320" w:firstLineChars="30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戏剧影视表演专业人才培养方案</w:t>
      </w:r>
    </w:p>
    <w:p>
      <w:pPr>
        <w:pStyle w:val="2"/>
        <w:rPr>
          <w:rFonts w:hint="default"/>
        </w:rPr>
      </w:pPr>
    </w:p>
    <w:p>
      <w:pPr>
        <w:spacing w:line="600" w:lineRule="exact"/>
        <w:jc w:val="center"/>
        <w:textAlignment w:val="baseline"/>
        <w:outlineLvl w:val="0"/>
        <w:rPr>
          <w:rFonts w:ascii="黑体" w:hAnsi="黑体" w:eastAsia="黑体" w:cs="Times New Roman"/>
          <w:color w:val="FF0000"/>
          <w:sz w:val="32"/>
        </w:rPr>
      </w:pPr>
      <w:bookmarkStart w:id="2" w:name="_Toc12059"/>
      <w:bookmarkStart w:id="3" w:name="_Toc11651"/>
      <w:r>
        <w:rPr>
          <w:rFonts w:hint="eastAsia" w:ascii="黑体" w:hAnsi="黑体" w:eastAsia="黑体" w:cs="Times New Roman"/>
          <w:sz w:val="32"/>
        </w:rPr>
        <w:t xml:space="preserve">执笔人：陈平      </w:t>
      </w:r>
      <w:r>
        <w:rPr>
          <w:rFonts w:hint="eastAsia" w:ascii="黑体" w:hAnsi="黑体" w:eastAsia="黑体" w:cs="Times New Roman"/>
          <w:color w:val="FF0000"/>
          <w:sz w:val="32"/>
        </w:rPr>
        <w:t xml:space="preserve"> 初审：         终审：</w:t>
      </w:r>
    </w:p>
    <w:p>
      <w:pPr>
        <w:spacing w:line="600" w:lineRule="exact"/>
        <w:ind w:firstLine="640" w:firstLineChars="200"/>
        <w:textAlignment w:val="baseline"/>
        <w:outlineLvl w:val="0"/>
        <w:rPr>
          <w:rFonts w:ascii="黑体" w:hAnsi="黑体" w:eastAsia="黑体" w:cs="Times New Roman"/>
          <w:sz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一、专业名称及代码</w:t>
      </w:r>
    </w:p>
    <w:p>
      <w:pPr>
        <w:pStyle w:val="23"/>
        <w:spacing w:line="580" w:lineRule="exact"/>
        <w:ind w:firstLine="640"/>
        <w:textAlignment w:val="baseline"/>
        <w:rPr>
          <w:rFonts w:ascii="仿宋_GB2312" w:hAnsi="仿宋_GB2312" w:eastAsia="仿宋_GB2312" w:cs="仿宋_GB2312"/>
          <w:kern w:val="2"/>
          <w:szCs w:val="32"/>
        </w:rPr>
      </w:pPr>
      <w:r>
        <w:rPr>
          <w:rFonts w:hint="eastAsia" w:ascii="仿宋_GB2312" w:hAnsi="仿宋_GB2312" w:eastAsia="仿宋_GB2312" w:cs="仿宋_GB2312"/>
          <w:kern w:val="2"/>
          <w:szCs w:val="32"/>
        </w:rPr>
        <w:t>专业名称：戏剧影视表演专业</w:t>
      </w:r>
    </w:p>
    <w:p>
      <w:pPr>
        <w:spacing w:line="580" w:lineRule="exact"/>
        <w:ind w:firstLine="640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专业代码：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</w:rPr>
        <w:t>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</w:t>
      </w:r>
      <w:bookmarkEnd w:id="2"/>
      <w:bookmarkEnd w:id="3"/>
      <w:r>
        <w:rPr>
          <w:rFonts w:hint="eastAsia" w:ascii="黑体" w:hAnsi="黑体" w:eastAsia="黑体" w:cs="黑体"/>
          <w:color w:val="000000"/>
          <w:sz w:val="32"/>
          <w:szCs w:val="32"/>
        </w:rPr>
        <w:t>入学要求</w:t>
      </w:r>
    </w:p>
    <w:p>
      <w:pPr>
        <w:spacing w:line="580" w:lineRule="exact"/>
        <w:ind w:firstLine="640" w:firstLineChars="200"/>
        <w:textAlignment w:val="baseline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</w:rPr>
        <w:t>普通高中毕业生、中职毕业生或具有同等学力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bookmarkStart w:id="4" w:name="_Toc14446"/>
      <w:bookmarkStart w:id="5" w:name="_Toc22664"/>
      <w:r>
        <w:rPr>
          <w:rFonts w:hint="eastAsia" w:ascii="黑体" w:hAnsi="黑体" w:eastAsia="黑体" w:cs="黑体"/>
          <w:color w:val="000000"/>
          <w:sz w:val="32"/>
          <w:szCs w:val="32"/>
        </w:rPr>
        <w:t>三、</w:t>
      </w:r>
      <w:bookmarkEnd w:id="4"/>
      <w:bookmarkEnd w:id="5"/>
      <w:r>
        <w:rPr>
          <w:rFonts w:hint="eastAsia" w:ascii="黑体" w:hAnsi="黑体" w:eastAsia="黑体" w:cs="黑体"/>
          <w:color w:val="000000"/>
          <w:sz w:val="32"/>
          <w:szCs w:val="32"/>
        </w:rPr>
        <w:t>修业年限</w:t>
      </w:r>
    </w:p>
    <w:p>
      <w:pPr>
        <w:spacing w:line="58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Times New Roman"/>
          <w:sz w:val="32"/>
        </w:rPr>
        <w:t>修业年限一般3年，实行弹性修业年限，为3</w:t>
      </w:r>
      <w:r>
        <w:rPr>
          <w:rFonts w:hint="eastAsia" w:ascii="微软雅黑" w:hAnsi="微软雅黑" w:eastAsia="微软雅黑" w:cs="微软雅黑"/>
          <w:sz w:val="32"/>
        </w:rPr>
        <w:t>~</w:t>
      </w:r>
      <w:r>
        <w:rPr>
          <w:rFonts w:hint="eastAsia" w:ascii="仿宋_GB2312" w:hAnsi="仿宋_GB2312" w:eastAsia="仿宋_GB2312" w:cs="Times New Roman"/>
          <w:sz w:val="32"/>
        </w:rPr>
        <w:t>5年。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bookmarkStart w:id="6" w:name="_Toc22615"/>
      <w:bookmarkStart w:id="7" w:name="_Toc14752"/>
      <w:r>
        <w:rPr>
          <w:rFonts w:hint="eastAsia" w:ascii="黑体" w:hAnsi="黑体" w:eastAsia="黑体" w:cs="黑体"/>
          <w:color w:val="000000"/>
          <w:sz w:val="32"/>
          <w:szCs w:val="32"/>
        </w:rPr>
        <w:t>四、</w:t>
      </w:r>
      <w:bookmarkEnd w:id="6"/>
      <w:bookmarkEnd w:id="7"/>
      <w:r>
        <w:rPr>
          <w:rFonts w:hint="eastAsia" w:ascii="黑体" w:hAnsi="黑体" w:eastAsia="黑体" w:cs="黑体"/>
          <w:color w:val="000000"/>
          <w:sz w:val="32"/>
          <w:szCs w:val="32"/>
        </w:rPr>
        <w:t>教育类型与学历层次</w:t>
      </w:r>
    </w:p>
    <w:p>
      <w:pPr>
        <w:spacing w:line="58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Times New Roman"/>
          <w:sz w:val="32"/>
        </w:rPr>
        <w:t>高等职业教育。专科。</w:t>
      </w:r>
      <w:bookmarkStart w:id="8" w:name="_Toc12310"/>
      <w:bookmarkStart w:id="9" w:name="_Toc11488"/>
    </w:p>
    <w:p>
      <w:pPr>
        <w:spacing w:line="5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</w:t>
      </w:r>
      <w:bookmarkEnd w:id="8"/>
      <w:bookmarkEnd w:id="9"/>
      <w:r>
        <w:rPr>
          <w:rFonts w:hint="eastAsia" w:ascii="黑体" w:hAnsi="黑体" w:eastAsia="黑体" w:cs="黑体"/>
          <w:color w:val="000000"/>
          <w:sz w:val="32"/>
          <w:szCs w:val="32"/>
        </w:rPr>
        <w:t>职业面向</w:t>
      </w:r>
    </w:p>
    <w:p>
      <w:pPr>
        <w:spacing w:line="600" w:lineRule="exact"/>
        <w:jc w:val="center"/>
        <w:textAlignment w:val="baseline"/>
        <w:rPr>
          <w:rFonts w:ascii="仿宋_GB2312" w:hAnsi="仿宋_GB2312" w:eastAsia="仿宋_GB2312" w:cs="Times New Roman"/>
          <w:b/>
          <w:sz w:val="28"/>
        </w:rPr>
      </w:pPr>
      <w:r>
        <w:rPr>
          <w:rFonts w:hint="eastAsia" w:ascii="仿宋_GB2312" w:hAnsi="仿宋_GB2312" w:eastAsia="仿宋_GB2312" w:cs="Times New Roman"/>
          <w:b/>
          <w:sz w:val="28"/>
        </w:rPr>
        <w:t>表一 职业面向</w:t>
      </w:r>
    </w:p>
    <w:tbl>
      <w:tblPr>
        <w:tblStyle w:val="10"/>
        <w:tblW w:w="84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21"/>
        <w:gridCol w:w="1341"/>
        <w:gridCol w:w="1512"/>
        <w:gridCol w:w="1513"/>
        <w:gridCol w:w="1655"/>
        <w:gridCol w:w="13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55" w:hRule="atLeast"/>
          <w:jc w:val="center"/>
        </w:trPr>
        <w:tc>
          <w:tcPr>
            <w:tcW w:w="1021" w:type="dxa"/>
            <w:tcBorders>
              <w:top w:val="single" w:color="auto" w:sz="8" w:space="0"/>
            </w:tcBorders>
          </w:tcPr>
          <w:p>
            <w:pPr>
              <w:rPr>
                <w:rFonts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  <w:t>所属专业大类（代码）</w:t>
            </w:r>
          </w:p>
        </w:tc>
        <w:tc>
          <w:tcPr>
            <w:tcW w:w="1341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  <w:t>所属专业类（代码）</w:t>
            </w:r>
          </w:p>
        </w:tc>
        <w:tc>
          <w:tcPr>
            <w:tcW w:w="1512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  <w:t>对应行业</w:t>
            </w:r>
          </w:p>
          <w:p>
            <w:pPr>
              <w:rPr>
                <w:rFonts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  <w:t>（代码）</w:t>
            </w:r>
          </w:p>
        </w:tc>
        <w:tc>
          <w:tcPr>
            <w:tcW w:w="1513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w w:val="90"/>
                <w:sz w:val="24"/>
                <w:szCs w:val="24"/>
              </w:rPr>
            </w:pPr>
            <w:bookmarkStart w:id="10" w:name="OLE_LINK1"/>
            <w:r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  <w:t>主要职业类别</w:t>
            </w:r>
            <w:bookmarkEnd w:id="10"/>
            <w:r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  <w:t>（代码）</w:t>
            </w:r>
          </w:p>
        </w:tc>
        <w:tc>
          <w:tcPr>
            <w:tcW w:w="1655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  <w:t>主要岗位类别（或技术领域）举例</w:t>
            </w:r>
          </w:p>
        </w:tc>
        <w:tc>
          <w:tcPr>
            <w:tcW w:w="1371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  <w:t>职业资格或职业技能等级证书举例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4" w:hRule="atLeast"/>
          <w:jc w:val="center"/>
        </w:trPr>
        <w:tc>
          <w:tcPr>
            <w:tcW w:w="1021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341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5502</w:t>
            </w:r>
          </w:p>
        </w:tc>
        <w:tc>
          <w:tcPr>
            <w:tcW w:w="1512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901</w:t>
            </w:r>
          </w:p>
        </w:tc>
        <w:tc>
          <w:tcPr>
            <w:tcW w:w="1513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2-10-03-01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2-10-03-02</w:t>
            </w:r>
          </w:p>
        </w:tc>
        <w:tc>
          <w:tcPr>
            <w:tcW w:w="1655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影视剧演员、话剧演员、培训指导、平面模特、传媒类从业人员。</w:t>
            </w:r>
          </w:p>
        </w:tc>
        <w:tc>
          <w:tcPr>
            <w:tcW w:w="1371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演员等级证、普通话水平等级证书、演艺经纪人从业证。</w:t>
            </w:r>
          </w:p>
        </w:tc>
      </w:tr>
    </w:tbl>
    <w:p>
      <w:pPr>
        <w:spacing w:line="5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bookmarkStart w:id="11" w:name="_Toc31942"/>
      <w:bookmarkStart w:id="12" w:name="_Toc8750"/>
      <w:r>
        <w:rPr>
          <w:rFonts w:hint="eastAsia" w:ascii="黑体" w:hAnsi="黑体" w:eastAsia="黑体" w:cs="黑体"/>
          <w:color w:val="000000"/>
          <w:sz w:val="32"/>
          <w:szCs w:val="32"/>
        </w:rPr>
        <w:t>六、</w:t>
      </w:r>
      <w:bookmarkEnd w:id="11"/>
      <w:bookmarkEnd w:id="12"/>
      <w:bookmarkStart w:id="13" w:name="_Toc21072"/>
      <w:bookmarkStart w:id="14" w:name="_Toc19523"/>
      <w:r>
        <w:rPr>
          <w:rFonts w:hint="eastAsia" w:ascii="黑体" w:hAnsi="黑体" w:eastAsia="黑体" w:cs="黑体"/>
          <w:color w:val="000000"/>
          <w:sz w:val="32"/>
          <w:szCs w:val="32"/>
        </w:rPr>
        <w:t>培养目标及培养规格</w:t>
      </w:r>
      <w:bookmarkEnd w:id="13"/>
      <w:bookmarkEnd w:id="14"/>
    </w:p>
    <w:p>
      <w:pPr>
        <w:widowControl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（一）培养目标</w:t>
      </w:r>
    </w:p>
    <w:p>
      <w:pPr>
        <w:pStyle w:val="22"/>
        <w:ind w:left="0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专业培养理想信念坚定，德、智、体、美、劳全面发展，具有一定的科学文化水平，良好的人文素养、职业道德和创新意识，精益求精的工匠精神，较强的就业能力和可持续发展的能力；掌握本专业知识和技术技能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面向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戏剧影视表演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行业的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演艺公司、专业艺术院团、传媒公司、短视频平台企业、教培机构、企事业单位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领域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，能够从事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舞台剧和影视剧表演、短视频策划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拍摄和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剪辑配音、培训机构授课及管理、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企事业单位活动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宣传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执行等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工作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高素质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技能人才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yellow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yellow"/>
          <w:lang w:val="en-US" w:eastAsia="zh-CN"/>
        </w:rPr>
        <w:t>技术技能人才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yellow"/>
          <w:lang w:eastAsia="zh-CN"/>
        </w:rPr>
        <w:t>）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（二）培养规格</w:t>
      </w:r>
    </w:p>
    <w:p>
      <w:pPr>
        <w:spacing w:line="600" w:lineRule="exact"/>
        <w:ind w:firstLine="643" w:firstLineChars="200"/>
        <w:textAlignment w:val="baseline"/>
        <w:outlineLvl w:val="2"/>
        <w:rPr>
          <w:rFonts w:ascii="仿宋_GB2312" w:hAnsi="仿宋_GB2312" w:eastAsia="仿宋_GB2312" w:cs="Times New Roman"/>
          <w:b/>
          <w:sz w:val="32"/>
        </w:rPr>
      </w:pPr>
      <w:r>
        <w:rPr>
          <w:rFonts w:hint="eastAsia" w:ascii="仿宋_GB2312" w:hAnsi="仿宋_GB2312" w:eastAsia="仿宋_GB2312" w:cs="Times New Roman"/>
          <w:b/>
          <w:sz w:val="32"/>
        </w:rPr>
        <w:t>1.培养规格总体要求</w:t>
      </w:r>
    </w:p>
    <w:p>
      <w:pPr>
        <w:widowControl/>
        <w:tabs>
          <w:tab w:val="left" w:pos="8820"/>
          <w:tab w:val="left" w:pos="9720"/>
        </w:tabs>
        <w:snapToGrid w:val="0"/>
        <w:spacing w:after="313" w:line="600" w:lineRule="atLeas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戏剧影视表演专业侧重于培养学生独立塑造舞台剧创编导能力、影视剧人物形象的塑造能力、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短视频拍摄、策划及后期剪辑配音能力</w:t>
      </w:r>
      <w:r>
        <w:rPr>
          <w:rFonts w:hint="eastAsia" w:ascii="仿宋_GB2312" w:hAnsi="宋体" w:eastAsia="仿宋_GB2312"/>
          <w:sz w:val="32"/>
          <w:szCs w:val="32"/>
        </w:rPr>
        <w:t>、企事业单位活动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宣传</w:t>
      </w:r>
      <w:r>
        <w:rPr>
          <w:rFonts w:hint="eastAsia" w:ascii="仿宋_GB2312" w:hAnsi="宋体" w:eastAsia="仿宋_GB2312"/>
          <w:sz w:val="32"/>
          <w:szCs w:val="32"/>
        </w:rPr>
        <w:t>执行能力、培训机构授课及管理等基本能力。要求学生掌握台词、表演基础训练、表演艺术与排练、演员的角色创作、声乐训练、形体训练、形象设计、短视频创作实践、影视动画配音、镜前表演、普通话水平辅导与测试、电视摄像与编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新媒体运营实操</w:t>
      </w:r>
      <w:r>
        <w:rPr>
          <w:rFonts w:hint="eastAsia" w:ascii="仿宋_GB2312" w:hAnsi="宋体" w:eastAsia="仿宋_GB2312"/>
          <w:sz w:val="32"/>
          <w:szCs w:val="32"/>
        </w:rPr>
        <w:t>等基本理论和技术应用，掌握相关的专业知识，具备必须的专业能力，积极实践，认真归纳，具备一定的综合分析问题的能力，具备团队精神和责任感。能够在戏剧、影视表演等多个相关岗位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从事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舞台剧和影视剧表演、短视频策划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拍摄和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剪辑配音、培训机构授课及管理、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企事业单位活动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宣传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执行等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工作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高素质技能人才。</w:t>
      </w:r>
    </w:p>
    <w:p>
      <w:pPr>
        <w:spacing w:line="600" w:lineRule="exact"/>
        <w:ind w:firstLine="643" w:firstLineChars="200"/>
        <w:textAlignment w:val="baseline"/>
        <w:outlineLvl w:val="2"/>
        <w:rPr>
          <w:rFonts w:ascii="仿宋_GB2312" w:hAnsi="黑体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bCs/>
          <w:color w:val="000000"/>
          <w:sz w:val="32"/>
          <w:szCs w:val="32"/>
        </w:rPr>
        <w:t>2.素质、知识、能力结构分解表</w:t>
      </w:r>
    </w:p>
    <w:p>
      <w:pPr>
        <w:spacing w:line="600" w:lineRule="exact"/>
        <w:jc w:val="center"/>
        <w:textAlignment w:val="baseline"/>
        <w:rPr>
          <w:rFonts w:ascii="仿宋_GB2312" w:hAnsi="仿宋_GB2312" w:eastAsia="仿宋_GB2312" w:cs="Times New Roman"/>
          <w:b/>
          <w:sz w:val="28"/>
        </w:rPr>
      </w:pPr>
      <w:r>
        <w:rPr>
          <w:rFonts w:hint="eastAsia" w:ascii="仿宋_GB2312" w:hAnsi="仿宋_GB2312" w:eastAsia="仿宋_GB2312" w:cs="Times New Roman"/>
          <w:b/>
          <w:sz w:val="28"/>
        </w:rPr>
        <w:t>表二 知识能力素质结构分解表</w:t>
      </w:r>
    </w:p>
    <w:tbl>
      <w:tblPr>
        <w:tblStyle w:val="10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1"/>
              </w:rPr>
              <w:t>素质目标</w:t>
            </w:r>
          </w:p>
        </w:tc>
        <w:tc>
          <w:tcPr>
            <w:tcW w:w="7352" w:type="dxa"/>
            <w:vAlign w:val="center"/>
          </w:tcPr>
          <w:p>
            <w:pPr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1"/>
              </w:rPr>
              <w:t>1.坚定拥护中国共产党领导和我国社会主义制度，在习近平新时代中国特色社会主义思想指引下，践行社会主义核心价值观，具有深厚的爱国情感和中华民族自豪感；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</w:p>
        </w:tc>
        <w:tc>
          <w:tcPr>
            <w:tcW w:w="7352" w:type="dxa"/>
            <w:vAlign w:val="center"/>
          </w:tcPr>
          <w:p>
            <w:pPr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1"/>
              </w:rPr>
              <w:t>2.崇尚宪法、遵法守纪、崇德向善、诚实守信、尊重生命、热爱劳动，履行道德准则和行为规范，具有社会责任感和社会参与意识；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</w:p>
        </w:tc>
        <w:tc>
          <w:tcPr>
            <w:tcW w:w="7352" w:type="dxa"/>
            <w:vAlign w:val="center"/>
          </w:tcPr>
          <w:p>
            <w:pPr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1"/>
              </w:rPr>
              <w:t>3.具有质量意识、环保意识、安全意识、信息素养、工匠精神、创新思维；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</w:p>
        </w:tc>
        <w:tc>
          <w:tcPr>
            <w:tcW w:w="7352" w:type="dxa"/>
            <w:vAlign w:val="center"/>
          </w:tcPr>
          <w:p>
            <w:pPr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1"/>
              </w:rPr>
              <w:t>4.勇于奋斗、乐观向上，具有自我管理能力、职业生涯规划的意识，有较强的集体意识和团队合作精神；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</w:p>
        </w:tc>
        <w:tc>
          <w:tcPr>
            <w:tcW w:w="7352" w:type="dxa"/>
            <w:vAlign w:val="center"/>
          </w:tcPr>
          <w:p>
            <w:pPr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1"/>
              </w:rPr>
              <w:t>5.具有健康的体魄、心理和健全的人格，掌握基本运动知识和一两项运动技能，养成良好的健身与卫生习惯，良好的行为习惯；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</w:p>
        </w:tc>
        <w:tc>
          <w:tcPr>
            <w:tcW w:w="7352" w:type="dxa"/>
            <w:vAlign w:val="center"/>
          </w:tcPr>
          <w:p>
            <w:pPr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1"/>
              </w:rPr>
              <w:t>6.具有一定的审美和人文素养，能够形成一两项艺术特长或爱好；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</w:p>
        </w:tc>
        <w:tc>
          <w:tcPr>
            <w:tcW w:w="7352" w:type="dxa"/>
            <w:vAlign w:val="center"/>
          </w:tcPr>
          <w:p>
            <w:pPr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1"/>
              </w:rPr>
              <w:t>7.</w:t>
            </w:r>
            <w:r>
              <w:rPr>
                <w:rFonts w:hint="eastAsia" w:ascii="仿宋" w:hAnsi="仿宋" w:eastAsia="仿宋" w:cs="仿宋"/>
                <w:szCs w:val="21"/>
              </w:rPr>
              <w:t>具有良好的行为习惯和自我管理能力；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</w:p>
        </w:tc>
        <w:tc>
          <w:tcPr>
            <w:tcW w:w="7352" w:type="dxa"/>
            <w:vAlign w:val="center"/>
          </w:tcPr>
          <w:p>
            <w:pPr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8.</w:t>
            </w:r>
            <w:r>
              <w:rPr>
                <w:rFonts w:hint="eastAsia" w:ascii="仿宋" w:hAnsi="仿宋" w:eastAsia="仿宋" w:cs="仿宋"/>
                <w:szCs w:val="21"/>
              </w:rPr>
              <w:t>具有角色反思与个人提升的基本素养。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</w:p>
        </w:tc>
        <w:tc>
          <w:tcPr>
            <w:tcW w:w="7352" w:type="dxa"/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9.具有时代新人大格局意识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1"/>
              </w:rPr>
              <w:t>知识目标</w:t>
            </w:r>
          </w:p>
        </w:tc>
        <w:tc>
          <w:tcPr>
            <w:tcW w:w="7352" w:type="dxa"/>
            <w:tcBorders>
              <w:lef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1"/>
              </w:rPr>
              <w:t>1.掌握必备的思想政治理论、科学文化基础知识和中华优秀传统文化知识；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</w:p>
        </w:tc>
        <w:tc>
          <w:tcPr>
            <w:tcW w:w="7352" w:type="dxa"/>
            <w:tcBorders>
              <w:lef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1"/>
              </w:rPr>
              <w:t>2.熟悉与本专业相关的法律法规以及环境保护、安全消防等相关知识；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</w:p>
        </w:tc>
        <w:tc>
          <w:tcPr>
            <w:tcW w:w="7352" w:type="dxa"/>
            <w:tcBorders>
              <w:lef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3.了解表演艺术学科的基本理论和基本知识；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</w:p>
        </w:tc>
        <w:tc>
          <w:tcPr>
            <w:tcW w:w="7352" w:type="dxa"/>
            <w:tcBorders>
              <w:lef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4.熟悉舞台专业（服装、化妆、音韵、布景）的基本知识；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</w:p>
        </w:tc>
        <w:tc>
          <w:tcPr>
            <w:tcW w:w="7352" w:type="dxa"/>
            <w:tcBorders>
              <w:lef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5.掌握角色塑造的基本方式；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</w:p>
        </w:tc>
        <w:tc>
          <w:tcPr>
            <w:tcW w:w="7352" w:type="dxa"/>
            <w:tcBorders>
              <w:lef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6.掌握电视摄像与编辑的基本知识；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</w:p>
        </w:tc>
        <w:tc>
          <w:tcPr>
            <w:tcW w:w="7352" w:type="dxa"/>
            <w:tcBorders>
              <w:lef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7.熟悉演艺活动策划、组织和执行的基本流程；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</w:p>
        </w:tc>
        <w:tc>
          <w:tcPr>
            <w:tcW w:w="7352" w:type="dxa"/>
            <w:tcBorders>
              <w:lef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8.掌握表演教学的基本方法；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</w:p>
        </w:tc>
        <w:tc>
          <w:tcPr>
            <w:tcW w:w="7352" w:type="dxa"/>
            <w:tcBorders>
              <w:lef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9.了解表演艺术的现状和发展动态。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1"/>
              </w:rPr>
              <w:t>能力目标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1"/>
              </w:rPr>
              <w:t>1.具有探究学习、终身学习、分析问题和解决问题的能力；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_GB2312" w:hAnsi="黑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Cs w:val="21"/>
              </w:rPr>
              <w:t>2.具有良好的语言、文字表达能力和沟通能力；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szCs w:val="21"/>
              </w:rPr>
              <w:t>具有塑造艺术形象的基本能力；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4.具有把控舞台的基本能力（创、编、导、演）；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5.具有专业的表演素质和创作能力；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6.具有较强的演艺活动策划、组织和执行能力；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7.具有电视摄像与编辑能力；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8.具有基本的表演知识教授能力；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9.具有洞察表演艺术发展的能力。</w:t>
            </w:r>
          </w:p>
        </w:tc>
      </w:tr>
    </w:tbl>
    <w:p>
      <w:pPr>
        <w:spacing w:line="5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bookmarkStart w:id="15" w:name="_Toc24544"/>
      <w:bookmarkStart w:id="16" w:name="_Toc25418"/>
      <w:r>
        <w:rPr>
          <w:rFonts w:hint="eastAsia" w:ascii="黑体" w:hAnsi="黑体" w:eastAsia="黑体" w:cs="黑体"/>
          <w:color w:val="000000"/>
          <w:sz w:val="32"/>
          <w:szCs w:val="32"/>
        </w:rPr>
        <w:t>七、职业能力分析</w:t>
      </w:r>
      <w:bookmarkEnd w:id="15"/>
      <w:bookmarkEnd w:id="16"/>
    </w:p>
    <w:p>
      <w:pPr>
        <w:spacing w:line="600" w:lineRule="exact"/>
        <w:ind w:firstLine="2249" w:firstLineChars="800"/>
        <w:textAlignment w:val="baseline"/>
        <w:rPr>
          <w:rFonts w:ascii="仿宋_GB2312" w:hAnsi="仿宋_GB2312" w:eastAsia="仿宋_GB2312" w:cs="Times New Roman"/>
          <w:b/>
          <w:sz w:val="28"/>
        </w:rPr>
      </w:pPr>
      <w:r>
        <w:rPr>
          <w:rFonts w:hint="eastAsia" w:ascii="仿宋_GB2312" w:hAnsi="仿宋_GB2312" w:eastAsia="仿宋_GB2312" w:cs="Times New Roman"/>
          <w:b/>
          <w:sz w:val="28"/>
        </w:rPr>
        <w:t xml:space="preserve"> 表三 典型工作任务与职业能力分析表</w:t>
      </w:r>
    </w:p>
    <w:tbl>
      <w:tblPr>
        <w:tblStyle w:val="10"/>
        <w:tblpPr w:leftFromText="180" w:rightFromText="180" w:vertAnchor="text" w:horzAnchor="page" w:tblpX="1542" w:tblpY="416"/>
        <w:tblOverlap w:val="never"/>
        <w:tblW w:w="902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00"/>
        <w:gridCol w:w="3240"/>
        <w:gridCol w:w="22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01" w:type="dxa"/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bookmarkStart w:id="17" w:name="_Toc8795"/>
            <w:bookmarkStart w:id="18" w:name="_Toc30830"/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就业岗位（群）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典型工作任务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职业能力</w:t>
            </w:r>
          </w:p>
        </w:tc>
        <w:tc>
          <w:tcPr>
            <w:tcW w:w="2284" w:type="dxa"/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职业资格（名称、颁证单位）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70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影视或演艺传媒公司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电影、电视剧舞台剧人物的创作及饰演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具有分析剧本、塑造人物角色的能力；具有良好的艺术表现力及角色创作能力。</w:t>
            </w:r>
          </w:p>
        </w:tc>
        <w:tc>
          <w:tcPr>
            <w:tcW w:w="228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普通话水平测试一级乙等资格证书，山东省广播影视系统普通话水平测试站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70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传媒类从业人员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短视频拍摄及后期剪辑、制作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能够掌握短视频拍摄及制作过程。</w:t>
            </w:r>
          </w:p>
        </w:tc>
        <w:tc>
          <w:tcPr>
            <w:tcW w:w="228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演艺经纪人从业证；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70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培训机构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培训项目指导或策划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具有相关培训项目(舞台语言、表演艺术)具备的技能；具有良好的策划执行能力。</w:t>
            </w:r>
          </w:p>
        </w:tc>
        <w:tc>
          <w:tcPr>
            <w:tcW w:w="228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普通话水平测试一级乙等资格证书，幼儿或小学教师资格证。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170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各类社会活动（商务会议、商务演出、展会、开业庆典、婚礼、寿宴等）的策划、司仪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 完成活动的策划与组织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 完成主持词撰稿与现场主持</w:t>
            </w: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 独立担纲活动策划与组织的能力。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2.主持词撰稿与现场主持能力。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 使用录音、录像设备的能力</w:t>
            </w:r>
          </w:p>
        </w:tc>
        <w:tc>
          <w:tcPr>
            <w:tcW w:w="228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普通话水平测试一级乙等资格证书。</w:t>
            </w: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八、课程体系构建</w:t>
      </w:r>
      <w:bookmarkEnd w:id="17"/>
      <w:bookmarkEnd w:id="18"/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（一）课程体系构建的基本思路</w:t>
      </w:r>
    </w:p>
    <w:p>
      <w:pPr>
        <w:spacing w:after="312" w:afterLines="100" w:line="600" w:lineRule="atLeast"/>
        <w:ind w:firstLine="640" w:firstLineChars="200"/>
        <w:rPr>
          <w:rFonts w:eastAsia="仿宋_GB2312"/>
        </w:rPr>
      </w:pPr>
      <w:r>
        <w:rPr>
          <w:rFonts w:hint="eastAsia" w:ascii="仿宋_GB2312" w:hAnsi="宋体" w:eastAsia="仿宋_GB2312"/>
          <w:sz w:val="32"/>
          <w:szCs w:val="32"/>
        </w:rPr>
        <w:t>以社会需求为导向，通过行业企业调研，结合本区域经济发展，根据行业需求，确定专业培养目标和人才培养模式。通过岗位群和典型工作任务分析，确定岗位职业能力和课程教学内容，从而构建本专业合理的课程体系。</w:t>
      </w:r>
    </w:p>
    <w:p>
      <w:pPr>
        <w:spacing w:after="312" w:afterLines="100" w:line="600" w:lineRule="atLeast"/>
        <w:ind w:firstLine="420" w:firstLineChars="200"/>
        <w:jc w:val="center"/>
      </w:pPr>
      <w:r>
        <w:rPr>
          <w:rFonts w:hint="eastAsia"/>
        </w:rPr>
        <w:drawing>
          <wp:inline distT="0" distB="0" distL="114300" distR="114300">
            <wp:extent cx="4457065" cy="3094990"/>
            <wp:effectExtent l="0" t="0" r="635" b="3810"/>
            <wp:docPr id="4" name="图片 4" descr="TIM图片20180703225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IM图片2018070322561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065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12" w:afterLines="100" w:line="600" w:lineRule="atLeast"/>
        <w:ind w:firstLine="480" w:firstLineChars="200"/>
        <w:jc w:val="center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图一：专业课程体系构建流程图</w:t>
      </w:r>
    </w:p>
    <w:p>
      <w:pPr>
        <w:pStyle w:val="18"/>
        <w:spacing w:line="600" w:lineRule="exact"/>
        <w:ind w:firstLine="321" w:firstLineChars="100"/>
        <w:textAlignment w:val="baseline"/>
        <w:rPr>
          <w:rStyle w:val="25"/>
          <w:color w:val="auto"/>
          <w:szCs w:val="22"/>
        </w:rPr>
      </w:pPr>
      <w:r>
        <w:rPr>
          <w:rStyle w:val="25"/>
          <w:rFonts w:hint="eastAsia"/>
          <w:color w:val="auto"/>
          <w:szCs w:val="22"/>
        </w:rPr>
        <w:t>（二）学习领域开发</w:t>
      </w:r>
    </w:p>
    <w:p>
      <w:pPr>
        <w:pStyle w:val="24"/>
        <w:textAlignment w:val="baseline"/>
      </w:pPr>
      <w:r>
        <w:rPr>
          <w:rFonts w:hint="eastAsia"/>
        </w:rPr>
        <w:t>表四 职业能力与学习领域转换表</w:t>
      </w:r>
    </w:p>
    <w:tbl>
      <w:tblPr>
        <w:tblStyle w:val="10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8"/>
        <w:gridCol w:w="4680"/>
        <w:gridCol w:w="12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2" w:firstLineChars="2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职业能力</w:t>
            </w:r>
          </w:p>
        </w:tc>
        <w:tc>
          <w:tcPr>
            <w:tcW w:w="4680" w:type="dxa"/>
            <w:vAlign w:val="center"/>
          </w:tcPr>
          <w:p>
            <w:pPr>
              <w:ind w:firstLine="482" w:firstLineChars="2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学习领域（相应的支撑课程）</w:t>
            </w:r>
          </w:p>
        </w:tc>
        <w:tc>
          <w:tcPr>
            <w:tcW w:w="1262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能力测评标准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演员的角色创作能力</w:t>
            </w:r>
          </w:p>
        </w:tc>
        <w:tc>
          <w:tcPr>
            <w:tcW w:w="46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台词、表演基础训练、表演艺术与排练、演员的角色创作；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新媒体实践能力</w:t>
            </w: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镜前表演、短视频创作实践、影视动画配音、新媒体运营；</w:t>
            </w:r>
          </w:p>
        </w:tc>
        <w:tc>
          <w:tcPr>
            <w:tcW w:w="126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舞台专业综合能力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舞台形象设计、形体训练、声乐训练；</w:t>
            </w:r>
          </w:p>
        </w:tc>
        <w:tc>
          <w:tcPr>
            <w:tcW w:w="126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电视摄像与编辑能力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电视摄像与编辑</w:t>
            </w:r>
          </w:p>
        </w:tc>
        <w:tc>
          <w:tcPr>
            <w:tcW w:w="126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活动策划与主持能力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普通话水平测试辅导与测试、</w:t>
            </w:r>
          </w:p>
        </w:tc>
        <w:tc>
          <w:tcPr>
            <w:tcW w:w="126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团队协作能力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毕业设计、顶岗实习</w:t>
            </w:r>
          </w:p>
        </w:tc>
        <w:tc>
          <w:tcPr>
            <w:tcW w:w="126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98" w:type="dxa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人际交往能力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思想道德与法治、大学生就业指导、大学生心理健康教育</w:t>
            </w:r>
          </w:p>
        </w:tc>
        <w:tc>
          <w:tcPr>
            <w:tcW w:w="126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综合评定</w:t>
            </w:r>
          </w:p>
        </w:tc>
      </w:tr>
    </w:tbl>
    <w:p>
      <w:pPr>
        <w:pStyle w:val="24"/>
        <w:textAlignment w:val="baseline"/>
      </w:pPr>
    </w:p>
    <w:p>
      <w:pPr>
        <w:pStyle w:val="18"/>
        <w:spacing w:line="600" w:lineRule="exact"/>
        <w:ind w:firstLine="643"/>
        <w:textAlignment w:val="baseline"/>
        <w:rPr>
          <w:rStyle w:val="25"/>
          <w:color w:val="auto"/>
          <w:szCs w:val="22"/>
        </w:rPr>
      </w:pPr>
      <w:r>
        <w:rPr>
          <w:rStyle w:val="25"/>
          <w:rFonts w:hint="eastAsia"/>
          <w:color w:val="auto"/>
          <w:szCs w:val="22"/>
        </w:rPr>
        <w:t>（三）课程设置与教学计划安排</w:t>
      </w:r>
    </w:p>
    <w:p>
      <w:pPr>
        <w:pStyle w:val="24"/>
        <w:textAlignment w:val="baseline"/>
        <w:rPr>
          <w:rStyle w:val="25"/>
          <w:b w:val="0"/>
          <w:bCs/>
          <w:szCs w:val="22"/>
        </w:rPr>
      </w:pPr>
      <w:r>
        <w:rPr>
          <w:rFonts w:hint="eastAsia"/>
        </w:rPr>
        <w:t>表五 课程设置与教学计划表</w:t>
      </w:r>
    </w:p>
    <w:tbl>
      <w:tblPr>
        <w:tblStyle w:val="10"/>
        <w:tblpPr w:leftFromText="180" w:rightFromText="180" w:vertAnchor="text" w:horzAnchor="page" w:tblpX="564" w:tblpY="574"/>
        <w:tblOverlap w:val="never"/>
        <w:tblW w:w="10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577"/>
        <w:gridCol w:w="284"/>
        <w:gridCol w:w="903"/>
        <w:gridCol w:w="1466"/>
        <w:gridCol w:w="552"/>
        <w:gridCol w:w="536"/>
        <w:gridCol w:w="562"/>
        <w:gridCol w:w="632"/>
        <w:gridCol w:w="770"/>
        <w:gridCol w:w="774"/>
        <w:gridCol w:w="763"/>
        <w:gridCol w:w="732"/>
        <w:gridCol w:w="711"/>
        <w:gridCol w:w="727"/>
        <w:gridCol w:w="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课程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类别</w:t>
            </w:r>
          </w:p>
        </w:tc>
        <w:tc>
          <w:tcPr>
            <w:tcW w:w="57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课程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性质</w:t>
            </w:r>
          </w:p>
        </w:tc>
        <w:tc>
          <w:tcPr>
            <w:tcW w:w="284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序号</w:t>
            </w:r>
          </w:p>
        </w:tc>
        <w:tc>
          <w:tcPr>
            <w:tcW w:w="903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课程代码</w:t>
            </w:r>
          </w:p>
        </w:tc>
        <w:tc>
          <w:tcPr>
            <w:tcW w:w="146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课程名称</w:t>
            </w:r>
          </w:p>
        </w:tc>
        <w:tc>
          <w:tcPr>
            <w:tcW w:w="552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学分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总课时数</w:t>
            </w:r>
          </w:p>
        </w:tc>
        <w:tc>
          <w:tcPr>
            <w:tcW w:w="1194" w:type="dxa"/>
            <w:gridSpan w:val="2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课内课时</w:t>
            </w:r>
          </w:p>
        </w:tc>
        <w:tc>
          <w:tcPr>
            <w:tcW w:w="4477" w:type="dxa"/>
            <w:gridSpan w:val="6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各学期计划周课时安排</w:t>
            </w:r>
          </w:p>
        </w:tc>
        <w:tc>
          <w:tcPr>
            <w:tcW w:w="47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52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一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二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三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四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五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六</w:t>
            </w:r>
          </w:p>
        </w:tc>
        <w:tc>
          <w:tcPr>
            <w:tcW w:w="477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52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理论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教学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实践或技能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周课时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/16周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周课时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/18周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周课时/18周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周课时/18周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周课时/18周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周课时/18周</w:t>
            </w:r>
          </w:p>
        </w:tc>
        <w:tc>
          <w:tcPr>
            <w:tcW w:w="477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公共基础课程平台</w:t>
            </w:r>
          </w:p>
        </w:tc>
        <w:tc>
          <w:tcPr>
            <w:tcW w:w="577" w:type="dxa"/>
            <w:vMerge w:val="restart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必修课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0131002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军事技能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2周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0118010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军事理论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4/9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0111027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入学教育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0.5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15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15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0.5周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001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思想道德与法治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48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002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48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24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0111004　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大学体育（1）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0111005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大学体育（2）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0111006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大学体育（3）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0121002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创业基础与实训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003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形势与政策（1）</w:t>
            </w:r>
          </w:p>
        </w:tc>
        <w:tc>
          <w:tcPr>
            <w:tcW w:w="552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2/4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形势与政策（2）</w:t>
            </w:r>
          </w:p>
        </w:tc>
        <w:tc>
          <w:tcPr>
            <w:tcW w:w="552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2/4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形势与政策（3）</w:t>
            </w:r>
          </w:p>
        </w:tc>
        <w:tc>
          <w:tcPr>
            <w:tcW w:w="552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2/4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形势与政策（4）</w:t>
            </w:r>
          </w:p>
        </w:tc>
        <w:tc>
          <w:tcPr>
            <w:tcW w:w="552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2/4</w:t>
            </w: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形势与政策（5）</w:t>
            </w:r>
          </w:p>
        </w:tc>
        <w:tc>
          <w:tcPr>
            <w:tcW w:w="552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2/4 </w:t>
            </w: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15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0121001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大学生职业生涯规划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4/4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0121003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大学生就业指导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4/4</w:t>
            </w: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17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009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劳动教育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2/8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170　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大学生心理健康教育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19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0118008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四史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4/5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0111028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毕业教育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0.5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15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15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0.5周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21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0118011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国家安全教育（1）</w:t>
            </w:r>
          </w:p>
        </w:tc>
        <w:tc>
          <w:tcPr>
            <w:tcW w:w="552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4/1线下4/1讲座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22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0118012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国家安全教育（2）</w:t>
            </w:r>
          </w:p>
        </w:tc>
        <w:tc>
          <w:tcPr>
            <w:tcW w:w="552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4/1线下4/1讲座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23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0118013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国家安全教育（3）</w:t>
            </w:r>
          </w:p>
        </w:tc>
        <w:tc>
          <w:tcPr>
            <w:tcW w:w="552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lrTb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2/1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53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小计（占总课时比例：18%）</w:t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590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261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89" w:type="dxa"/>
            <w:gridSpan w:val="14"/>
            <w:vAlign w:val="center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说明：入学教育、毕业教育为免费学分，纳入毕业学分。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选修课模块一（美育）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0111078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戏剧鉴赏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0111077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影视鉴赏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0111076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影响力从语言开始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0111075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红色经典影片与近现代中国发展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0111074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中国现代文学名家名作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0111073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中华诗词之美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53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小计（占总课时比例：1%）</w:t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89" w:type="dxa"/>
            <w:gridSpan w:val="14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选修说明：美育课程至少修满2学分。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选修课模块二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0111135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大学语文</w:t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64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0111072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应用文体写作</w:t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64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0111033　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大学英语（1）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0111034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大学英语（2）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信息技术（1）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小计（占总课时比例：3%）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48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48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89" w:type="dxa"/>
            <w:gridSpan w:val="14"/>
            <w:vAlign w:val="center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选修说明：至少修满6学分，每学分16～18课时。备注：信息技术（1）在第一或第二学期开设。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restart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选修课模块三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03" w:type="dxa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选修课1</w:t>
            </w:r>
          </w:p>
        </w:tc>
        <w:tc>
          <w:tcPr>
            <w:tcW w:w="552" w:type="dxa"/>
            <w:shd w:val="clear" w:color="auto" w:fill="FF000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  <w:highlight w:val="yellow"/>
              </w:rPr>
            </w:pP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903" w:type="dxa"/>
            <w:vAlign w:val="center"/>
          </w:tcPr>
          <w:p>
            <w:pPr>
              <w:ind w:firstLine="180" w:firstLineChars="100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选修课2</w:t>
            </w:r>
          </w:p>
        </w:tc>
        <w:tc>
          <w:tcPr>
            <w:tcW w:w="552" w:type="dxa"/>
            <w:shd w:val="clear" w:color="auto" w:fill="FF0000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  <w:highlight w:val="yellow"/>
              </w:rPr>
            </w:pP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903" w:type="dxa"/>
            <w:vAlign w:val="center"/>
          </w:tcPr>
          <w:p>
            <w:pPr>
              <w:ind w:firstLine="180" w:firstLineChars="100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选修课3</w:t>
            </w:r>
          </w:p>
        </w:tc>
        <w:tc>
          <w:tcPr>
            <w:tcW w:w="552" w:type="dxa"/>
            <w:shd w:val="clear" w:color="auto" w:fill="FF0000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  <w:highlight w:val="yellow"/>
              </w:rPr>
            </w:pP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小计（占总课时比例：3%）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0"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b/>
                <w:bCs/>
                <w:sz w:val="20"/>
                <w:szCs w:val="21"/>
              </w:rPr>
            </w:pPr>
          </w:p>
        </w:tc>
        <w:tc>
          <w:tcPr>
            <w:tcW w:w="632" w:type="dxa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b/>
                <w:bCs/>
                <w:sz w:val="20"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9889" w:type="dxa"/>
            <w:gridSpan w:val="14"/>
          </w:tcPr>
          <w:p>
            <w:pPr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选修说明：至少修满6学分，每学分16</w:t>
            </w:r>
            <w:r>
              <w:rPr>
                <w:rFonts w:hint="eastAsia"/>
              </w:rPr>
              <w:t>～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18课时。若专业总学分超过140学分，该部分需要选修6学分以上，以满足基础课不少于总课时1/4的要求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highlight w:val="yellow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  <w:highlight w:val="yellow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要确定课程名称和学分或见附件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highlight w:val="yellow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35" w:type="dxa"/>
            <w:gridSpan w:val="5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合计（占总课时比例：26%）</w:t>
            </w:r>
          </w:p>
        </w:tc>
        <w:tc>
          <w:tcPr>
            <w:tcW w:w="552" w:type="dxa"/>
            <w:vAlign w:val="center"/>
          </w:tcPr>
          <w:p>
            <w:pPr>
              <w:ind w:firstLine="181" w:firstLineChars="100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830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417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413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restart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专业技能课程平台</w:t>
            </w:r>
          </w:p>
        </w:tc>
        <w:tc>
          <w:tcPr>
            <w:tcW w:w="57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专业核心课程平台（必选）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0802001　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表演基础训练（1）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0802002　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表演基础训练（2）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0802003　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演员的角色创作（1）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0802004　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演员的角色创作（2）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0802005　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表演艺术与排练（1）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0802006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表演艺术与排练（2）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0802007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台词（1）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64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48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0802008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台词（2）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0802009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台词（3）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0802010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台词（4）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小计（占总课时比例：24%）</w:t>
            </w:r>
          </w:p>
        </w:tc>
        <w:tc>
          <w:tcPr>
            <w:tcW w:w="552" w:type="dxa"/>
            <w:vAlign w:val="bottom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36" w:type="dxa"/>
            <w:vAlign w:val="bottom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736</w:t>
            </w:r>
          </w:p>
        </w:tc>
        <w:tc>
          <w:tcPr>
            <w:tcW w:w="562" w:type="dxa"/>
            <w:vAlign w:val="bottom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bottom"/>
          </w:tcPr>
          <w:p>
            <w:pPr>
              <w:ind w:firstLine="181" w:firstLineChars="100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720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ind w:firstLine="177" w:firstLineChars="98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专业方向课程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0802012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形体（1）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0802013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形体（2）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0802014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形体（3）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05" w:type="dxa"/>
            <w:vMerge w:val="continue"/>
            <w:shd w:val="clear" w:color="auto" w:fill="auto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shd w:val="clear" w:color="auto" w:fill="auto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0802015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形体（4）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05" w:type="dxa"/>
            <w:vMerge w:val="continue"/>
            <w:shd w:val="clear" w:color="auto" w:fill="auto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shd w:val="clear" w:color="auto" w:fill="auto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0802016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声乐（1）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0802017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声乐（2）</w:t>
            </w:r>
          </w:p>
        </w:tc>
        <w:tc>
          <w:tcPr>
            <w:tcW w:w="552" w:type="dxa"/>
            <w:vAlign w:val="bottom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bottom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bottom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bottom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0802018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镜前表演</w:t>
            </w:r>
          </w:p>
        </w:tc>
        <w:tc>
          <w:tcPr>
            <w:tcW w:w="552" w:type="dxa"/>
            <w:vAlign w:val="bottom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36" w:type="dxa"/>
            <w:vAlign w:val="bottom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2" w:type="dxa"/>
            <w:vAlign w:val="bottom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2" w:type="dxa"/>
            <w:vAlign w:val="bottom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0802027</w:t>
            </w:r>
          </w:p>
        </w:tc>
        <w:tc>
          <w:tcPr>
            <w:tcW w:w="1466" w:type="dxa"/>
            <w:vAlign w:val="center"/>
          </w:tcPr>
          <w:p>
            <w:pPr>
              <w:jc w:val="both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短视频创作实践              </w:t>
            </w:r>
          </w:p>
        </w:tc>
        <w:tc>
          <w:tcPr>
            <w:tcW w:w="552" w:type="dxa"/>
            <w:vAlign w:val="bottom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36" w:type="dxa"/>
            <w:vAlign w:val="bottom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562" w:type="dxa"/>
            <w:vAlign w:val="bottom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2" w:type="dxa"/>
            <w:vAlign w:val="bottom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0802029</w:t>
            </w:r>
          </w:p>
        </w:tc>
        <w:tc>
          <w:tcPr>
            <w:tcW w:w="1466" w:type="dxa"/>
            <w:vAlign w:val="center"/>
          </w:tcPr>
          <w:p>
            <w:pPr>
              <w:jc w:val="both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影视动画配音（表演）</w:t>
            </w:r>
          </w:p>
        </w:tc>
        <w:tc>
          <w:tcPr>
            <w:tcW w:w="552" w:type="dxa"/>
            <w:vAlign w:val="bottom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36" w:type="dxa"/>
            <w:vAlign w:val="bottom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2" w:type="dxa"/>
            <w:vAlign w:val="bottom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2" w:type="dxa"/>
            <w:vAlign w:val="bottom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小计（占总课时比例：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%）</w:t>
            </w:r>
          </w:p>
        </w:tc>
        <w:tc>
          <w:tcPr>
            <w:tcW w:w="552" w:type="dxa"/>
            <w:vAlign w:val="bottom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36" w:type="dxa"/>
            <w:vAlign w:val="bottom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356</w:t>
            </w:r>
          </w:p>
        </w:tc>
        <w:tc>
          <w:tcPr>
            <w:tcW w:w="562" w:type="dxa"/>
            <w:vAlign w:val="bottom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bottom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356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专业实践课程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0802023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跟岗实习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120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4周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0802024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毕业设计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240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240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8周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0802025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顶岗实习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24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720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6周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18周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小计（占总课时比例：35%）</w:t>
            </w:r>
          </w:p>
        </w:tc>
        <w:tc>
          <w:tcPr>
            <w:tcW w:w="552" w:type="dxa"/>
            <w:vAlign w:val="bottom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36" w:type="dxa"/>
            <w:vAlign w:val="bottom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562" w:type="dxa"/>
            <w:vAlign w:val="bottom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bottom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专业拓展模块（选修）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电视摄像与编辑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考试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0802020　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普通话水平辅导与测试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4/4　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0802021　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新媒体发展与运营案例分析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0802022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形象设计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小计（占总课时比例：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%）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124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466" w:type="dxa"/>
            <w:gridSpan w:val="15"/>
          </w:tcPr>
          <w:p>
            <w:pPr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选修说明：本专业至少修满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学分。其中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学分为免费学分，不收取学分学费。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FF0000"/>
                <w:sz w:val="18"/>
                <w:szCs w:val="18"/>
                <w:highlight w:val="yellow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FF0000"/>
                <w:sz w:val="18"/>
                <w:szCs w:val="18"/>
                <w:highlight w:val="yellow"/>
                <w:shd w:val="clear" w:color="auto" w:fill="auto"/>
                <w:lang w:val="en-US" w:eastAsia="zh-CN"/>
              </w:rPr>
              <w:t>共8分如何选？应该是7分为免费学分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FF0000"/>
                <w:sz w:val="18"/>
                <w:szCs w:val="18"/>
                <w:highlight w:val="yellow"/>
                <w:shd w:val="clear" w:color="auto" w:fill="auto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5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230" w:type="dxa"/>
            <w:gridSpan w:val="4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合计（占总课时比例：74%）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2296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2228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35" w:type="dxa"/>
            <w:gridSpan w:val="5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3126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485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2641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</w:tr>
    </w:tbl>
    <w:p>
      <w:pPr>
        <w:pStyle w:val="24"/>
        <w:snapToGrid w:val="0"/>
        <w:spacing w:line="240" w:lineRule="auto"/>
        <w:jc w:val="left"/>
        <w:textAlignment w:val="baseline"/>
        <w:rPr>
          <w:b w:val="0"/>
          <w:sz w:val="24"/>
          <w:szCs w:val="24"/>
        </w:rPr>
      </w:pPr>
    </w:p>
    <w:p>
      <w:pPr>
        <w:pStyle w:val="24"/>
        <w:textAlignment w:val="baseline"/>
      </w:pPr>
      <w:r>
        <w:rPr>
          <w:rFonts w:hint="eastAsia"/>
        </w:rPr>
        <w:t>表六 独立设置的实践教学环节统计表</w:t>
      </w:r>
    </w:p>
    <w:tbl>
      <w:tblPr>
        <w:tblStyle w:val="10"/>
        <w:tblW w:w="93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20"/>
        <w:gridCol w:w="1054"/>
        <w:gridCol w:w="2417"/>
        <w:gridCol w:w="1294"/>
        <w:gridCol w:w="1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课时数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主要内容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镜前表演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36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镜头前的演绎及拍摄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文东校区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随堂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短视频创作实践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72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电影电视剧影片项目汇报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排练厅505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随堂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跟岗实习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120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通过实习，了解行业需求，将所学内容有效运用到舞台实践中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实习单位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实习报告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顶岗实习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5.6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720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通过顶岗实习，深入实践，可以独立完成作品，并且有效的在工作中将其运用。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实习单位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顶岗实习表</w:t>
            </w:r>
          </w:p>
        </w:tc>
      </w:tr>
    </w:tbl>
    <w:p>
      <w:pPr>
        <w:pStyle w:val="24"/>
        <w:textAlignment w:val="baseline"/>
      </w:pPr>
    </w:p>
    <w:p>
      <w:pPr>
        <w:pStyle w:val="24"/>
        <w:textAlignment w:val="baseline"/>
      </w:pPr>
    </w:p>
    <w:p>
      <w:pPr>
        <w:pStyle w:val="24"/>
        <w:textAlignment w:val="baseline"/>
        <w:rPr>
          <w:rFonts w:hint="eastAsia" w:eastAsia="仿宋_GB2312"/>
          <w:lang w:eastAsia="zh-CN"/>
        </w:rPr>
      </w:pPr>
      <w:r>
        <w:rPr>
          <w:rFonts w:hint="eastAsia"/>
        </w:rPr>
        <w:t>表七 学分与课时统计表</w:t>
      </w:r>
      <w:r>
        <w:rPr>
          <w:rFonts w:hint="eastAsia"/>
          <w:color w:val="FF0000"/>
          <w:highlight w:val="yellow"/>
          <w:lang w:eastAsia="zh-CN"/>
        </w:rPr>
        <w:t>（</w:t>
      </w:r>
      <w:r>
        <w:rPr>
          <w:rFonts w:hint="eastAsia"/>
          <w:color w:val="FF0000"/>
          <w:highlight w:val="yellow"/>
          <w:lang w:val="en-US" w:eastAsia="zh-CN"/>
        </w:rPr>
        <w:t>该表错误</w:t>
      </w:r>
      <w:r>
        <w:rPr>
          <w:rFonts w:hint="eastAsia"/>
          <w:color w:val="FF0000"/>
          <w:highlight w:val="yellow"/>
          <w:lang w:eastAsia="zh-CN"/>
        </w:rPr>
        <w:t>）</w:t>
      </w:r>
    </w:p>
    <w:tbl>
      <w:tblPr>
        <w:tblStyle w:val="10"/>
        <w:tblW w:w="10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401"/>
        <w:gridCol w:w="1261"/>
        <w:gridCol w:w="1054"/>
        <w:gridCol w:w="989"/>
        <w:gridCol w:w="848"/>
        <w:gridCol w:w="729"/>
        <w:gridCol w:w="1339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28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课程门数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学分</w:t>
            </w:r>
          </w:p>
        </w:tc>
        <w:tc>
          <w:tcPr>
            <w:tcW w:w="1054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占总学分比例（%）</w:t>
            </w:r>
          </w:p>
        </w:tc>
        <w:tc>
          <w:tcPr>
            <w:tcW w:w="3905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课时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占总课时比例（%）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28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1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总课时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理论</w:t>
            </w:r>
          </w:p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课时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实践课时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实践课时占总课时比例（%）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28" w:type="dxa"/>
            <w:vAlign w:val="bottom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公共必修课程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28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4"/>
              </w:rPr>
              <w:t>%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590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261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329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60%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28" w:type="dxa"/>
            <w:vAlign w:val="bottom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专业核心课程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42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 w:val="24"/>
              </w:rPr>
              <w:t>%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736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720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98%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28" w:type="dxa"/>
            <w:vAlign w:val="bottom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专业方向课程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16</w:t>
            </w:r>
            <w:r>
              <w:rPr>
                <w:rFonts w:hint="eastAsia" w:ascii="仿宋_GB2312" w:hAnsi="宋体" w:eastAsia="仿宋_GB2312"/>
                <w:sz w:val="24"/>
              </w:rPr>
              <w:t>%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356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356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bookmarkStart w:id="25" w:name="_GoBack"/>
            <w:bookmarkEnd w:id="25"/>
            <w:r>
              <w:rPr>
                <w:rFonts w:hint="eastAsia" w:ascii="仿宋_GB2312" w:hAnsi="宋体" w:eastAsia="仿宋_GB2312"/>
                <w:sz w:val="24"/>
              </w:rPr>
              <w:t>00%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28" w:type="dxa"/>
            <w:vAlign w:val="bottom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专业拓展选修课程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%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124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52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72</w:t>
            </w:r>
          </w:p>
        </w:tc>
        <w:tc>
          <w:tcPr>
            <w:tcW w:w="1339" w:type="dxa"/>
            <w:vAlign w:val="bottom"/>
          </w:tcPr>
          <w:p>
            <w:pPr>
              <w:jc w:val="center"/>
              <w:textAlignment w:val="bottom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58</w:t>
            </w:r>
            <w:r>
              <w:rPr>
                <w:rFonts w:hint="eastAsia" w:ascii="仿宋_GB2312" w:hAnsi="宋体" w:eastAsia="仿宋_GB2312"/>
                <w:sz w:val="24"/>
              </w:rPr>
              <w:t>%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总计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46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73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49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%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1806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329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1477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82%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58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%</w:t>
            </w:r>
          </w:p>
        </w:tc>
      </w:tr>
    </w:tbl>
    <w:p>
      <w:pPr>
        <w:pStyle w:val="24"/>
        <w:snapToGrid w:val="0"/>
        <w:spacing w:line="240" w:lineRule="auto"/>
        <w:jc w:val="left"/>
        <w:textAlignment w:val="baseline"/>
        <w:rPr>
          <w:b w:val="0"/>
          <w:sz w:val="24"/>
          <w:szCs w:val="24"/>
        </w:rPr>
      </w:pPr>
    </w:p>
    <w:p>
      <w:pPr>
        <w:pStyle w:val="24"/>
        <w:snapToGrid w:val="0"/>
        <w:spacing w:line="240" w:lineRule="auto"/>
        <w:jc w:val="left"/>
        <w:textAlignment w:val="baseline"/>
        <w:rPr>
          <w:b w:val="0"/>
          <w:sz w:val="24"/>
          <w:szCs w:val="24"/>
        </w:rPr>
      </w:pPr>
    </w:p>
    <w:p>
      <w:pPr>
        <w:pStyle w:val="24"/>
        <w:snapToGrid w:val="0"/>
        <w:spacing w:line="240" w:lineRule="auto"/>
        <w:jc w:val="left"/>
        <w:textAlignment w:val="baseline"/>
        <w:rPr>
          <w:b w:val="0"/>
          <w:sz w:val="24"/>
          <w:szCs w:val="24"/>
        </w:rPr>
      </w:pPr>
    </w:p>
    <w:p>
      <w:pPr>
        <w:pStyle w:val="24"/>
        <w:textAlignment w:val="baseline"/>
      </w:pPr>
      <w:r>
        <w:rPr>
          <w:rFonts w:hint="eastAsia"/>
        </w:rPr>
        <w:t>表八 分学期教学情况统计表</w:t>
      </w:r>
    </w:p>
    <w:tbl>
      <w:tblPr>
        <w:tblStyle w:val="10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715"/>
        <w:gridCol w:w="624"/>
        <w:gridCol w:w="708"/>
        <w:gridCol w:w="756"/>
        <w:gridCol w:w="780"/>
        <w:gridCol w:w="1327"/>
        <w:gridCol w:w="1166"/>
        <w:gridCol w:w="618"/>
        <w:gridCol w:w="756"/>
        <w:gridCol w:w="561"/>
        <w:gridCol w:w="390"/>
        <w:gridCol w:w="641"/>
        <w:gridCol w:w="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28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课内教学周</w:t>
            </w:r>
          </w:p>
        </w:tc>
        <w:tc>
          <w:tcPr>
            <w:tcW w:w="32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集中实践教学周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其他</w:t>
            </w:r>
          </w:p>
        </w:tc>
        <w:tc>
          <w:tcPr>
            <w:tcW w:w="5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考试</w:t>
            </w:r>
          </w:p>
        </w:tc>
        <w:tc>
          <w:tcPr>
            <w:tcW w:w="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机动</w:t>
            </w:r>
          </w:p>
        </w:tc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周数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理论课时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实践课时</w:t>
            </w:r>
          </w:p>
        </w:tc>
        <w:tc>
          <w:tcPr>
            <w:tcW w:w="7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周课时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校内实习实训</w:t>
            </w:r>
          </w:p>
        </w:tc>
        <w:tc>
          <w:tcPr>
            <w:tcW w:w="13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跟岗实习（毕业论文/设计）</w:t>
            </w:r>
          </w:p>
        </w:tc>
        <w:tc>
          <w:tcPr>
            <w:tcW w:w="11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顶岗实习</w:t>
            </w:r>
          </w:p>
        </w:tc>
        <w:tc>
          <w:tcPr>
            <w:tcW w:w="6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军训/入学教育</w:t>
            </w:r>
          </w:p>
        </w:tc>
        <w:tc>
          <w:tcPr>
            <w:tcW w:w="7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毕业教育</w:t>
            </w:r>
          </w:p>
        </w:tc>
        <w:tc>
          <w:tcPr>
            <w:tcW w:w="5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周数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一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16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145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406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27.7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19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二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339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27.2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三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431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四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109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363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27.5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五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14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307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六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555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0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0.5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0.5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84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1340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1542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109.5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0.5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5.5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119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148</w:t>
            </w:r>
          </w:p>
        </w:tc>
      </w:tr>
    </w:tbl>
    <w:p>
      <w:pPr>
        <w:pStyle w:val="23"/>
        <w:ind w:firstLine="640"/>
        <w:jc w:val="left"/>
        <w:textAlignment w:val="baseline"/>
      </w:pPr>
      <w:bookmarkStart w:id="19" w:name="_Toc27821"/>
      <w:bookmarkStart w:id="20" w:name="_Toc3264"/>
    </w:p>
    <w:p>
      <w:pPr>
        <w:pStyle w:val="2"/>
        <w:rPr>
          <w:rFonts w:ascii="黑体" w:hAnsi="黑体" w:eastAsia="黑体" w:cs="Times New Roman"/>
          <w:sz w:val="32"/>
          <w:szCs w:val="20"/>
        </w:rPr>
      </w:pPr>
      <w:r>
        <w:br w:type="page"/>
      </w:r>
    </w:p>
    <w:p>
      <w:pPr>
        <w:pStyle w:val="23"/>
        <w:ind w:firstLine="640"/>
        <w:jc w:val="left"/>
        <w:textAlignment w:val="baseline"/>
      </w:pPr>
      <w:r>
        <w:rPr>
          <w:rFonts w:hint="eastAsia"/>
        </w:rPr>
        <w:t>九、毕业要求</w:t>
      </w:r>
      <w:bookmarkEnd w:id="19"/>
      <w:bookmarkEnd w:id="20"/>
    </w:p>
    <w:p>
      <w:pPr>
        <w:pStyle w:val="18"/>
        <w:spacing w:line="600" w:lineRule="exact"/>
        <w:ind w:firstLine="640"/>
        <w:textAlignment w:val="baseline"/>
        <w:rPr>
          <w:rStyle w:val="25"/>
          <w:rFonts w:ascii="仿宋_GB2312" w:hAnsi="仿宋_GB2312" w:eastAsia="仿宋_GB2312" w:cs="仿宋_GB2312"/>
          <w:b w:val="0"/>
          <w:bCs/>
          <w:color w:val="auto"/>
          <w:szCs w:val="22"/>
        </w:rPr>
      </w:pPr>
      <w:r>
        <w:rPr>
          <w:rStyle w:val="25"/>
          <w:rFonts w:hint="eastAsia" w:ascii="仿宋_GB2312" w:hAnsi="仿宋_GB2312" w:eastAsia="仿宋_GB2312" w:cs="仿宋_GB2312"/>
          <w:b w:val="0"/>
          <w:bCs/>
          <w:color w:val="auto"/>
          <w:szCs w:val="22"/>
        </w:rPr>
        <w:t>（一）根据人才培养方案要求修满所需毕业学分和第二课堂6学分。</w:t>
      </w:r>
    </w:p>
    <w:p>
      <w:pPr>
        <w:pStyle w:val="18"/>
        <w:spacing w:line="600" w:lineRule="exact"/>
        <w:ind w:firstLine="640"/>
        <w:textAlignment w:val="baseline"/>
        <w:rPr>
          <w:rStyle w:val="25"/>
          <w:rFonts w:ascii="仿宋_GB2312" w:hAnsi="仿宋_GB2312" w:eastAsia="仿宋_GB2312" w:cs="仿宋_GB2312"/>
          <w:b w:val="0"/>
          <w:bCs/>
          <w:color w:val="auto"/>
          <w:szCs w:val="22"/>
        </w:rPr>
      </w:pPr>
      <w:r>
        <w:rPr>
          <w:rStyle w:val="25"/>
          <w:rFonts w:hint="eastAsia" w:ascii="仿宋_GB2312" w:hAnsi="仿宋_GB2312" w:eastAsia="仿宋_GB2312" w:cs="仿宋_GB2312"/>
          <w:b w:val="0"/>
          <w:bCs/>
          <w:color w:val="auto"/>
          <w:szCs w:val="22"/>
        </w:rPr>
        <w:t>（二）鼓励考取等级证书与职业资格证书</w:t>
      </w:r>
      <w:r>
        <w:rPr>
          <w:rStyle w:val="25"/>
          <w:rFonts w:hint="eastAsia" w:cs="仿宋_GB2312"/>
          <w:b w:val="0"/>
          <w:bCs/>
          <w:color w:val="auto"/>
          <w:szCs w:val="22"/>
        </w:rPr>
        <w:t>。</w:t>
      </w:r>
    </w:p>
    <w:p>
      <w:pPr>
        <w:pStyle w:val="24"/>
        <w:textAlignment w:val="baseline"/>
      </w:pPr>
      <w:r>
        <w:rPr>
          <w:rFonts w:hint="eastAsia"/>
        </w:rPr>
        <w:t xml:space="preserve"> 表九 等级证书与职业资格证书参考</w:t>
      </w:r>
    </w:p>
    <w:tbl>
      <w:tblPr>
        <w:tblStyle w:val="10"/>
        <w:tblW w:w="9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733"/>
        <w:gridCol w:w="3697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考核项目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考核发证部门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等级要求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普通话水平测试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山东省语言文字工作委员会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二级甲等以上</w:t>
            </w:r>
          </w:p>
        </w:tc>
      </w:tr>
    </w:tbl>
    <w:p>
      <w:pPr>
        <w:pStyle w:val="18"/>
        <w:spacing w:line="600" w:lineRule="exact"/>
        <w:ind w:firstLine="0" w:firstLineChars="0"/>
        <w:textAlignment w:val="baseline"/>
        <w:rPr>
          <w:rFonts w:cs="仿宋_GB2312"/>
          <w:color w:val="auto"/>
        </w:rPr>
      </w:pPr>
      <w:bookmarkStart w:id="21" w:name="_Toc27990"/>
      <w:bookmarkStart w:id="22" w:name="_Toc7842"/>
    </w:p>
    <w:p>
      <w:pPr>
        <w:pStyle w:val="23"/>
        <w:ind w:firstLine="640"/>
        <w:textAlignment w:val="baseline"/>
      </w:pPr>
      <w:r>
        <w:rPr>
          <w:rFonts w:hint="eastAsia"/>
        </w:rPr>
        <w:t>十、教学实施条件</w:t>
      </w:r>
      <w:bookmarkEnd w:id="21"/>
      <w:bookmarkEnd w:id="22"/>
    </w:p>
    <w:p>
      <w:pPr>
        <w:pStyle w:val="18"/>
        <w:spacing w:line="600" w:lineRule="exact"/>
        <w:ind w:firstLine="643"/>
        <w:textAlignment w:val="baseline"/>
        <w:rPr>
          <w:rStyle w:val="25"/>
          <w:color w:val="auto"/>
          <w:szCs w:val="22"/>
        </w:rPr>
      </w:pPr>
      <w:r>
        <w:rPr>
          <w:rStyle w:val="25"/>
          <w:rFonts w:hint="eastAsia"/>
          <w:color w:val="auto"/>
          <w:szCs w:val="22"/>
        </w:rPr>
        <w:t>（一）师资条件</w:t>
      </w:r>
    </w:p>
    <w:p>
      <w:pPr>
        <w:spacing w:line="600" w:lineRule="atLeas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戏剧影视表演专业根据人才培养要求，专业教学团队构成合理，教师团队学历层次高，职称结构达到要求，具体任课教师见下表。</w:t>
      </w:r>
    </w:p>
    <w:p>
      <w:pPr>
        <w:pStyle w:val="18"/>
        <w:spacing w:line="600" w:lineRule="exact"/>
        <w:ind w:firstLine="643"/>
        <w:textAlignment w:val="baseline"/>
        <w:rPr>
          <w:rStyle w:val="25"/>
          <w:color w:val="auto"/>
          <w:szCs w:val="22"/>
        </w:rPr>
      </w:pPr>
    </w:p>
    <w:p>
      <w:pPr>
        <w:pStyle w:val="27"/>
        <w:ind w:firstLine="643"/>
        <w:textAlignment w:val="baseline"/>
      </w:pPr>
      <w:r>
        <w:rPr>
          <w:rFonts w:hint="eastAsia"/>
        </w:rPr>
        <w:t>1.校内专任教师</w:t>
      </w:r>
    </w:p>
    <w:p>
      <w:pPr>
        <w:pStyle w:val="24"/>
        <w:textAlignment w:val="baseline"/>
      </w:pPr>
      <w:r>
        <w:rPr>
          <w:rFonts w:hint="eastAsia"/>
        </w:rPr>
        <w:t>表十 校内专任教师一览表</w:t>
      </w:r>
    </w:p>
    <w:tbl>
      <w:tblPr>
        <w:tblStyle w:val="10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93"/>
        <w:gridCol w:w="708"/>
        <w:gridCol w:w="709"/>
        <w:gridCol w:w="709"/>
        <w:gridCol w:w="1843"/>
        <w:gridCol w:w="2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职称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双师素质</w:t>
            </w:r>
          </w:p>
        </w:tc>
        <w:tc>
          <w:tcPr>
            <w:tcW w:w="2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陈平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助理讲师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高等学校教师资格证、省级普通话水平测试员</w:t>
            </w:r>
          </w:p>
        </w:tc>
        <w:tc>
          <w:tcPr>
            <w:tcW w:w="29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表演基础 演员角色创作 表演艺术与排练  台词  影视动画配音 短视频创作实践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陈彦金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助理讲师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高等学校教师资格证、省级普通话水平测试员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表演基础 演员角色创作 表演艺术与排练  台词   影视动画配音 短视频创作实践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王芳政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助理讲师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表演基础 演员角色创作 表演艺术与排练  台词   镜前表演 短视频创作实践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张育维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助理讲师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表演基础 演员角色创作 表演艺术与排练  台词  镜前表演 短视频创作实践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潘江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讲师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高等学校教师资格证、化妆师</w:t>
            </w:r>
          </w:p>
        </w:tc>
        <w:tc>
          <w:tcPr>
            <w:tcW w:w="2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形象设计 、声乐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王启超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学士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助理讲师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形体训练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张思玺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讲师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高等学校教师资格证</w:t>
            </w:r>
          </w:p>
        </w:tc>
        <w:tc>
          <w:tcPr>
            <w:tcW w:w="2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新媒体运营案例分析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钟睿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助理讲师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高等学校教师资格证、省级普通话水平测试员</w:t>
            </w:r>
          </w:p>
        </w:tc>
        <w:tc>
          <w:tcPr>
            <w:tcW w:w="2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普通话水平测试辅导与测试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韩钧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讲师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电视摄像与编辑</w:t>
            </w:r>
          </w:p>
        </w:tc>
      </w:tr>
    </w:tbl>
    <w:p>
      <w:pPr>
        <w:pStyle w:val="24"/>
        <w:textAlignment w:val="baseline"/>
      </w:pPr>
    </w:p>
    <w:p>
      <w:pPr>
        <w:pStyle w:val="24"/>
        <w:textAlignment w:val="baseline"/>
      </w:pPr>
    </w:p>
    <w:p>
      <w:pPr>
        <w:pStyle w:val="27"/>
        <w:ind w:firstLine="643"/>
        <w:textAlignment w:val="baseline"/>
      </w:pPr>
      <w:r>
        <w:rPr>
          <w:rFonts w:hint="eastAsia"/>
        </w:rPr>
        <w:t>2.校外兼职教师</w:t>
      </w:r>
    </w:p>
    <w:p>
      <w:pPr>
        <w:pStyle w:val="24"/>
        <w:textAlignment w:val="baseline"/>
      </w:pPr>
      <w:r>
        <w:rPr>
          <w:rFonts w:hint="eastAsia"/>
        </w:rPr>
        <w:t>表十一 校外兼职教师一览表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057"/>
        <w:gridCol w:w="1057"/>
        <w:gridCol w:w="1231"/>
        <w:gridCol w:w="1405"/>
        <w:gridCol w:w="1231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双师素质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王勇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国家一级演员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表演基础训练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丁小秋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国家一级演员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表演艺术与排练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张茹华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国家一级演员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演员的角色创作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王耀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国家一级演员</w:t>
            </w:r>
          </w:p>
        </w:tc>
        <w:tc>
          <w:tcPr>
            <w:tcW w:w="1231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台词</w:t>
            </w:r>
          </w:p>
        </w:tc>
      </w:tr>
    </w:tbl>
    <w:p>
      <w:pPr>
        <w:pStyle w:val="24"/>
        <w:textAlignment w:val="baseline"/>
      </w:pPr>
    </w:p>
    <w:p>
      <w:pPr>
        <w:pStyle w:val="18"/>
        <w:spacing w:line="600" w:lineRule="exact"/>
        <w:ind w:firstLine="643"/>
        <w:textAlignment w:val="baseline"/>
        <w:rPr>
          <w:rStyle w:val="25"/>
          <w:color w:val="auto"/>
          <w:szCs w:val="22"/>
        </w:rPr>
      </w:pPr>
      <w:r>
        <w:rPr>
          <w:rStyle w:val="25"/>
          <w:rFonts w:hint="eastAsia"/>
          <w:color w:val="auto"/>
          <w:szCs w:val="22"/>
        </w:rPr>
        <w:t>（二）实践教学条件</w:t>
      </w:r>
    </w:p>
    <w:p>
      <w:pPr>
        <w:pStyle w:val="27"/>
        <w:ind w:firstLine="643"/>
        <w:textAlignment w:val="baseline"/>
      </w:pPr>
      <w:r>
        <w:rPr>
          <w:rFonts w:hint="eastAsia"/>
        </w:rPr>
        <w:t>1.校内实训教学条件</w:t>
      </w:r>
    </w:p>
    <w:p>
      <w:pPr>
        <w:pStyle w:val="24"/>
        <w:textAlignment w:val="baseline"/>
      </w:pPr>
      <w:r>
        <w:rPr>
          <w:rFonts w:hint="eastAsia"/>
        </w:rPr>
        <w:t>表十二 校内实训一览表</w:t>
      </w:r>
    </w:p>
    <w:tbl>
      <w:tblPr>
        <w:tblStyle w:val="10"/>
        <w:tblpPr w:leftFromText="180" w:rightFromText="180" w:vertAnchor="text" w:horzAnchor="page" w:tblpX="1582" w:tblpY="408"/>
        <w:tblOverlap w:val="never"/>
        <w:tblW w:w="89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759"/>
        <w:gridCol w:w="900"/>
        <w:gridCol w:w="3960"/>
        <w:gridCol w:w="6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实践基地名称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批准时间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实训项目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75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文东黑匣子小剧场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2018</w:t>
            </w:r>
          </w:p>
        </w:tc>
        <w:tc>
          <w:tcPr>
            <w:tcW w:w="396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表演艺术与排练、演员的角色创作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275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排练厅（3间）（文东校区）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2016</w:t>
            </w:r>
          </w:p>
        </w:tc>
        <w:tc>
          <w:tcPr>
            <w:tcW w:w="396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表演基础训练、台词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275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形体房（3间）（文东校区）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2016</w:t>
            </w:r>
          </w:p>
        </w:tc>
        <w:tc>
          <w:tcPr>
            <w:tcW w:w="39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形体训练</w:t>
            </w:r>
          </w:p>
        </w:tc>
        <w:tc>
          <w:tcPr>
            <w:tcW w:w="6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275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声乐实训室（1间）（文东校区）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2016</w:t>
            </w:r>
          </w:p>
        </w:tc>
        <w:tc>
          <w:tcPr>
            <w:tcW w:w="396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声乐</w:t>
            </w:r>
          </w:p>
        </w:tc>
        <w:tc>
          <w:tcPr>
            <w:tcW w:w="6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275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化妆间（1间）（文东校区）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2016</w:t>
            </w:r>
          </w:p>
        </w:tc>
        <w:tc>
          <w:tcPr>
            <w:tcW w:w="396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舞台形象设计、化妆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pStyle w:val="24"/>
        <w:textAlignment w:val="baseline"/>
      </w:pPr>
    </w:p>
    <w:p>
      <w:pPr>
        <w:pStyle w:val="27"/>
        <w:ind w:firstLine="643"/>
        <w:textAlignment w:val="baseline"/>
      </w:pPr>
      <w:r>
        <w:rPr>
          <w:rFonts w:hint="eastAsia"/>
        </w:rPr>
        <w:t>2.校外实习教学条件</w:t>
      </w:r>
    </w:p>
    <w:p>
      <w:pPr>
        <w:pStyle w:val="24"/>
        <w:textAlignment w:val="baseline"/>
      </w:pPr>
      <w:r>
        <w:rPr>
          <w:rFonts w:hint="eastAsia"/>
        </w:rPr>
        <w:t>表十三 校外实训一览表</w:t>
      </w:r>
    </w:p>
    <w:tbl>
      <w:tblPr>
        <w:tblStyle w:val="10"/>
        <w:tblW w:w="86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77"/>
        <w:gridCol w:w="1985"/>
        <w:gridCol w:w="1275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44" w:hRule="atLeast"/>
          <w:jc w:val="center"/>
        </w:trPr>
        <w:tc>
          <w:tcPr>
            <w:tcW w:w="709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实践基地名称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依托单位</w:t>
            </w:r>
          </w:p>
        </w:tc>
        <w:tc>
          <w:tcPr>
            <w:tcW w:w="1275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批准时间</w:t>
            </w:r>
          </w:p>
        </w:tc>
        <w:tc>
          <w:tcPr>
            <w:tcW w:w="1701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实训项目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09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指点文化经纪（北京）有限公司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北京指点传媒</w:t>
            </w:r>
          </w:p>
        </w:tc>
        <w:tc>
          <w:tcPr>
            <w:tcW w:w="1275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见习实习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09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河北省话剧院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河北省话剧院</w:t>
            </w:r>
          </w:p>
        </w:tc>
        <w:tc>
          <w:tcPr>
            <w:tcW w:w="1275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2016</w:t>
            </w:r>
          </w:p>
        </w:tc>
        <w:tc>
          <w:tcPr>
            <w:tcW w:w="1701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见习实习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09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山东少儿频道实训基地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山东少儿频道</w:t>
            </w:r>
          </w:p>
        </w:tc>
        <w:tc>
          <w:tcPr>
            <w:tcW w:w="1275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2016</w:t>
            </w:r>
          </w:p>
        </w:tc>
        <w:tc>
          <w:tcPr>
            <w:tcW w:w="1701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见习实习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9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山东广播电视台实践基地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山东广播电视台</w:t>
            </w:r>
          </w:p>
        </w:tc>
        <w:tc>
          <w:tcPr>
            <w:tcW w:w="1275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2009</w:t>
            </w:r>
          </w:p>
        </w:tc>
        <w:tc>
          <w:tcPr>
            <w:tcW w:w="1701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见习实习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济南广播电视台实践基地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济南广播电视台</w:t>
            </w:r>
          </w:p>
        </w:tc>
        <w:tc>
          <w:tcPr>
            <w:tcW w:w="1275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2010</w:t>
            </w:r>
          </w:p>
        </w:tc>
        <w:tc>
          <w:tcPr>
            <w:tcW w:w="1701" w:type="dxa"/>
            <w:vAlign w:val="center"/>
          </w:tcPr>
          <w:p>
            <w:pPr>
              <w:spacing w:before="313" w:line="60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见习实习</w:t>
            </w:r>
          </w:p>
        </w:tc>
      </w:tr>
    </w:tbl>
    <w:p>
      <w:pPr>
        <w:pStyle w:val="24"/>
        <w:textAlignment w:val="baseline"/>
      </w:pPr>
    </w:p>
    <w:p>
      <w:pPr>
        <w:pStyle w:val="23"/>
        <w:ind w:firstLine="640"/>
        <w:textAlignment w:val="baseline"/>
      </w:pPr>
      <w:bookmarkStart w:id="23" w:name="_Toc16989"/>
      <w:bookmarkStart w:id="24" w:name="_Toc15540"/>
      <w:r>
        <w:rPr>
          <w:rFonts w:hint="eastAsia"/>
        </w:rPr>
        <w:t>十一、专业指导委员会组成</w:t>
      </w:r>
      <w:bookmarkEnd w:id="23"/>
      <w:bookmarkEnd w:id="24"/>
    </w:p>
    <w:p>
      <w:pPr>
        <w:pStyle w:val="24"/>
        <w:textAlignment w:val="baseline"/>
      </w:pPr>
      <w:r>
        <w:rPr>
          <w:rFonts w:hint="eastAsia"/>
        </w:rPr>
        <w:t>表十四 专业指导委员会组成一览表</w:t>
      </w:r>
    </w:p>
    <w:tbl>
      <w:tblPr>
        <w:tblStyle w:val="10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0"/>
        <w:gridCol w:w="1960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89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委员会职务</w:t>
            </w:r>
          </w:p>
        </w:tc>
        <w:tc>
          <w:tcPr>
            <w:tcW w:w="138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96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职称（职务）</w:t>
            </w:r>
          </w:p>
        </w:tc>
        <w:tc>
          <w:tcPr>
            <w:tcW w:w="425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389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主任</w:t>
            </w:r>
          </w:p>
        </w:tc>
        <w:tc>
          <w:tcPr>
            <w:tcW w:w="138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曲敬国</w:t>
            </w:r>
          </w:p>
        </w:tc>
        <w:tc>
          <w:tcPr>
            <w:tcW w:w="196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教授</w:t>
            </w:r>
          </w:p>
        </w:tc>
        <w:tc>
          <w:tcPr>
            <w:tcW w:w="425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原解放军艺术学院戏剧系台词教研室主任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389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成员</w:t>
            </w:r>
          </w:p>
        </w:tc>
        <w:tc>
          <w:tcPr>
            <w:tcW w:w="138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马树声</w:t>
            </w:r>
          </w:p>
        </w:tc>
        <w:tc>
          <w:tcPr>
            <w:tcW w:w="196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教授</w:t>
            </w:r>
          </w:p>
        </w:tc>
        <w:tc>
          <w:tcPr>
            <w:tcW w:w="425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389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成员</w:t>
            </w:r>
          </w:p>
        </w:tc>
        <w:tc>
          <w:tcPr>
            <w:tcW w:w="138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王全有</w:t>
            </w:r>
          </w:p>
        </w:tc>
        <w:tc>
          <w:tcPr>
            <w:tcW w:w="196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国家一级演员</w:t>
            </w:r>
          </w:p>
        </w:tc>
        <w:tc>
          <w:tcPr>
            <w:tcW w:w="425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中国评剧院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1389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成员</w:t>
            </w:r>
          </w:p>
        </w:tc>
        <w:tc>
          <w:tcPr>
            <w:tcW w:w="138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王勇</w:t>
            </w:r>
          </w:p>
        </w:tc>
        <w:tc>
          <w:tcPr>
            <w:tcW w:w="196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国家一级演员</w:t>
            </w:r>
          </w:p>
        </w:tc>
        <w:tc>
          <w:tcPr>
            <w:tcW w:w="425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山东省话剧院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389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成员</w:t>
            </w:r>
          </w:p>
        </w:tc>
        <w:tc>
          <w:tcPr>
            <w:tcW w:w="138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丁小秋</w:t>
            </w:r>
          </w:p>
        </w:tc>
        <w:tc>
          <w:tcPr>
            <w:tcW w:w="196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国家一级演员</w:t>
            </w:r>
          </w:p>
        </w:tc>
        <w:tc>
          <w:tcPr>
            <w:tcW w:w="425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原济南儿童艺术剧院（院长）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1389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成员</w:t>
            </w:r>
          </w:p>
        </w:tc>
        <w:tc>
          <w:tcPr>
            <w:tcW w:w="138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张茹华</w:t>
            </w:r>
          </w:p>
        </w:tc>
        <w:tc>
          <w:tcPr>
            <w:tcW w:w="196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国家一级演员</w:t>
            </w:r>
          </w:p>
        </w:tc>
        <w:tc>
          <w:tcPr>
            <w:tcW w:w="425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原济南儿童艺术剧院（党委副书）记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389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成员</w:t>
            </w:r>
          </w:p>
        </w:tc>
        <w:tc>
          <w:tcPr>
            <w:tcW w:w="138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王耀</w:t>
            </w:r>
          </w:p>
        </w:tc>
        <w:tc>
          <w:tcPr>
            <w:tcW w:w="196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国家一级演员</w:t>
            </w:r>
          </w:p>
        </w:tc>
        <w:tc>
          <w:tcPr>
            <w:tcW w:w="425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原济南儿童艺术剧院（演员）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389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成员</w:t>
            </w:r>
          </w:p>
        </w:tc>
        <w:tc>
          <w:tcPr>
            <w:tcW w:w="138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汤丽峰</w:t>
            </w:r>
          </w:p>
        </w:tc>
        <w:tc>
          <w:tcPr>
            <w:tcW w:w="196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总经理</w:t>
            </w:r>
          </w:p>
        </w:tc>
        <w:tc>
          <w:tcPr>
            <w:tcW w:w="425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指点文化经纪（北京）有限公司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389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成员</w:t>
            </w:r>
          </w:p>
        </w:tc>
        <w:tc>
          <w:tcPr>
            <w:tcW w:w="138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步文萍</w:t>
            </w:r>
          </w:p>
        </w:tc>
        <w:tc>
          <w:tcPr>
            <w:tcW w:w="196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副教授</w:t>
            </w:r>
          </w:p>
        </w:tc>
        <w:tc>
          <w:tcPr>
            <w:tcW w:w="425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山东职业学院土木工程学院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389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成员</w:t>
            </w:r>
          </w:p>
        </w:tc>
        <w:tc>
          <w:tcPr>
            <w:tcW w:w="138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李钦君</w:t>
            </w:r>
          </w:p>
        </w:tc>
        <w:tc>
          <w:tcPr>
            <w:tcW w:w="196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副教授</w:t>
            </w:r>
          </w:p>
        </w:tc>
        <w:tc>
          <w:tcPr>
            <w:tcW w:w="425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389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成员</w:t>
            </w:r>
          </w:p>
        </w:tc>
        <w:tc>
          <w:tcPr>
            <w:tcW w:w="138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陈平</w:t>
            </w:r>
          </w:p>
        </w:tc>
        <w:tc>
          <w:tcPr>
            <w:tcW w:w="196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助理讲师</w:t>
            </w:r>
          </w:p>
        </w:tc>
        <w:tc>
          <w:tcPr>
            <w:tcW w:w="4250" w:type="dxa"/>
            <w:vAlign w:val="center"/>
          </w:tcPr>
          <w:p>
            <w:pPr>
              <w:spacing w:after="312" w:afterLine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山东传媒职业学院</w:t>
            </w:r>
          </w:p>
        </w:tc>
      </w:tr>
    </w:tbl>
    <w:p>
      <w:pPr>
        <w:rPr>
          <w:rFonts w:ascii="黑体" w:hAnsi="黑体" w:eastAsia="黑体" w:cs="黑体"/>
          <w:kern w:val="0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1ECA"/>
    <w:rsid w:val="000956EC"/>
    <w:rsid w:val="00130B41"/>
    <w:rsid w:val="001604E0"/>
    <w:rsid w:val="00172A27"/>
    <w:rsid w:val="0019261B"/>
    <w:rsid w:val="001B209C"/>
    <w:rsid w:val="001D6E25"/>
    <w:rsid w:val="001E473B"/>
    <w:rsid w:val="001F41C0"/>
    <w:rsid w:val="001F6537"/>
    <w:rsid w:val="0020262C"/>
    <w:rsid w:val="0022198A"/>
    <w:rsid w:val="00226975"/>
    <w:rsid w:val="002307C1"/>
    <w:rsid w:val="00241B82"/>
    <w:rsid w:val="002453DA"/>
    <w:rsid w:val="00262985"/>
    <w:rsid w:val="00291F8C"/>
    <w:rsid w:val="002B440D"/>
    <w:rsid w:val="002D03DD"/>
    <w:rsid w:val="00321223"/>
    <w:rsid w:val="00324F8A"/>
    <w:rsid w:val="0034360A"/>
    <w:rsid w:val="003A55CB"/>
    <w:rsid w:val="003C2392"/>
    <w:rsid w:val="0044163C"/>
    <w:rsid w:val="00447CD1"/>
    <w:rsid w:val="00466452"/>
    <w:rsid w:val="00495F63"/>
    <w:rsid w:val="004B3D3A"/>
    <w:rsid w:val="00514062"/>
    <w:rsid w:val="005515C0"/>
    <w:rsid w:val="00562F62"/>
    <w:rsid w:val="0058226C"/>
    <w:rsid w:val="005A08C4"/>
    <w:rsid w:val="005B3D6C"/>
    <w:rsid w:val="005B41CF"/>
    <w:rsid w:val="005D792B"/>
    <w:rsid w:val="0063443D"/>
    <w:rsid w:val="00645F9D"/>
    <w:rsid w:val="00674CA8"/>
    <w:rsid w:val="00692A7C"/>
    <w:rsid w:val="006A0CEF"/>
    <w:rsid w:val="006A0CF2"/>
    <w:rsid w:val="006A1EEC"/>
    <w:rsid w:val="006C0364"/>
    <w:rsid w:val="006E27FA"/>
    <w:rsid w:val="006F6381"/>
    <w:rsid w:val="0070658F"/>
    <w:rsid w:val="0071158C"/>
    <w:rsid w:val="00762677"/>
    <w:rsid w:val="007A3706"/>
    <w:rsid w:val="007D3F46"/>
    <w:rsid w:val="007F102D"/>
    <w:rsid w:val="007F59EC"/>
    <w:rsid w:val="008318CD"/>
    <w:rsid w:val="00857D08"/>
    <w:rsid w:val="008906DB"/>
    <w:rsid w:val="00895B5A"/>
    <w:rsid w:val="008B3170"/>
    <w:rsid w:val="008B498B"/>
    <w:rsid w:val="008B7618"/>
    <w:rsid w:val="008C39A7"/>
    <w:rsid w:val="008D6C52"/>
    <w:rsid w:val="009137F6"/>
    <w:rsid w:val="009215DC"/>
    <w:rsid w:val="009360EF"/>
    <w:rsid w:val="009C07E4"/>
    <w:rsid w:val="009E78EA"/>
    <w:rsid w:val="009F22D1"/>
    <w:rsid w:val="00A61302"/>
    <w:rsid w:val="00A7107D"/>
    <w:rsid w:val="00A827CD"/>
    <w:rsid w:val="00AD42E2"/>
    <w:rsid w:val="00B21A61"/>
    <w:rsid w:val="00B252AB"/>
    <w:rsid w:val="00B63987"/>
    <w:rsid w:val="00B8595A"/>
    <w:rsid w:val="00BB0499"/>
    <w:rsid w:val="00BC0D3B"/>
    <w:rsid w:val="00BD09CC"/>
    <w:rsid w:val="00BD7311"/>
    <w:rsid w:val="00BE1E07"/>
    <w:rsid w:val="00BF0A73"/>
    <w:rsid w:val="00C5515B"/>
    <w:rsid w:val="00C63E10"/>
    <w:rsid w:val="00C759FB"/>
    <w:rsid w:val="00CC0040"/>
    <w:rsid w:val="00CD22C3"/>
    <w:rsid w:val="00D1140A"/>
    <w:rsid w:val="00D20877"/>
    <w:rsid w:val="00D34A71"/>
    <w:rsid w:val="00D37A15"/>
    <w:rsid w:val="00D85150"/>
    <w:rsid w:val="00D94064"/>
    <w:rsid w:val="00DA408D"/>
    <w:rsid w:val="00DB4082"/>
    <w:rsid w:val="00DB6236"/>
    <w:rsid w:val="00DC74B5"/>
    <w:rsid w:val="00DE2096"/>
    <w:rsid w:val="00E5250F"/>
    <w:rsid w:val="00E76888"/>
    <w:rsid w:val="00E97CDA"/>
    <w:rsid w:val="00ED1B56"/>
    <w:rsid w:val="00EF7A5E"/>
    <w:rsid w:val="00F14BA0"/>
    <w:rsid w:val="00F229A8"/>
    <w:rsid w:val="00F35E7B"/>
    <w:rsid w:val="00F622A3"/>
    <w:rsid w:val="00FB4FF1"/>
    <w:rsid w:val="00FC71B2"/>
    <w:rsid w:val="00FD5FC3"/>
    <w:rsid w:val="00FE3EB2"/>
    <w:rsid w:val="012A64BB"/>
    <w:rsid w:val="01796D6A"/>
    <w:rsid w:val="018F0526"/>
    <w:rsid w:val="01967A81"/>
    <w:rsid w:val="01B5157D"/>
    <w:rsid w:val="01DF2D99"/>
    <w:rsid w:val="01FA21EC"/>
    <w:rsid w:val="0212216F"/>
    <w:rsid w:val="021D6F59"/>
    <w:rsid w:val="024D5F7C"/>
    <w:rsid w:val="02C37808"/>
    <w:rsid w:val="0304404C"/>
    <w:rsid w:val="034D19B1"/>
    <w:rsid w:val="037D03DE"/>
    <w:rsid w:val="040B4DC7"/>
    <w:rsid w:val="04184850"/>
    <w:rsid w:val="04247FB4"/>
    <w:rsid w:val="04536E11"/>
    <w:rsid w:val="04AC16E8"/>
    <w:rsid w:val="04D52D35"/>
    <w:rsid w:val="04FA6EFD"/>
    <w:rsid w:val="05496F4A"/>
    <w:rsid w:val="05686233"/>
    <w:rsid w:val="058A7C77"/>
    <w:rsid w:val="05B80DDC"/>
    <w:rsid w:val="06121299"/>
    <w:rsid w:val="064A3EC5"/>
    <w:rsid w:val="06C1231C"/>
    <w:rsid w:val="070A558B"/>
    <w:rsid w:val="074C4B08"/>
    <w:rsid w:val="07BD409A"/>
    <w:rsid w:val="07CF03CB"/>
    <w:rsid w:val="07FD1B31"/>
    <w:rsid w:val="080875B0"/>
    <w:rsid w:val="0821555A"/>
    <w:rsid w:val="085B0B43"/>
    <w:rsid w:val="088D07E5"/>
    <w:rsid w:val="08CB0C90"/>
    <w:rsid w:val="08F04E9F"/>
    <w:rsid w:val="092B58F2"/>
    <w:rsid w:val="09577672"/>
    <w:rsid w:val="09EA6BA1"/>
    <w:rsid w:val="0A62099E"/>
    <w:rsid w:val="0A9C2788"/>
    <w:rsid w:val="0AA70291"/>
    <w:rsid w:val="0AFE756B"/>
    <w:rsid w:val="0B0E5C93"/>
    <w:rsid w:val="0B1174DD"/>
    <w:rsid w:val="0B17120C"/>
    <w:rsid w:val="0B6C08BD"/>
    <w:rsid w:val="0BF42BFE"/>
    <w:rsid w:val="0BF96737"/>
    <w:rsid w:val="0C267043"/>
    <w:rsid w:val="0C2A1BC2"/>
    <w:rsid w:val="0D562E12"/>
    <w:rsid w:val="0DE03C8D"/>
    <w:rsid w:val="0E052A1C"/>
    <w:rsid w:val="0E0C0CC8"/>
    <w:rsid w:val="0E361F36"/>
    <w:rsid w:val="0E577FA1"/>
    <w:rsid w:val="0E597507"/>
    <w:rsid w:val="0E807376"/>
    <w:rsid w:val="0F3A6C37"/>
    <w:rsid w:val="0F3D4ABD"/>
    <w:rsid w:val="0F930185"/>
    <w:rsid w:val="0FA20487"/>
    <w:rsid w:val="0FC06DCE"/>
    <w:rsid w:val="0FED45EE"/>
    <w:rsid w:val="104477DB"/>
    <w:rsid w:val="10457433"/>
    <w:rsid w:val="10537DAE"/>
    <w:rsid w:val="10CD1CE9"/>
    <w:rsid w:val="11130300"/>
    <w:rsid w:val="112209CC"/>
    <w:rsid w:val="1133375B"/>
    <w:rsid w:val="11AB5A75"/>
    <w:rsid w:val="11EA54C3"/>
    <w:rsid w:val="11F27D50"/>
    <w:rsid w:val="122C4E35"/>
    <w:rsid w:val="12356E3F"/>
    <w:rsid w:val="128070A5"/>
    <w:rsid w:val="135467BE"/>
    <w:rsid w:val="138628CB"/>
    <w:rsid w:val="13D9187D"/>
    <w:rsid w:val="13EB2EF5"/>
    <w:rsid w:val="13F45F88"/>
    <w:rsid w:val="140F1AE1"/>
    <w:rsid w:val="148E5438"/>
    <w:rsid w:val="14FE0A5D"/>
    <w:rsid w:val="157C2E00"/>
    <w:rsid w:val="159E60C6"/>
    <w:rsid w:val="15C55088"/>
    <w:rsid w:val="15DF2F6D"/>
    <w:rsid w:val="161956E4"/>
    <w:rsid w:val="161E30AF"/>
    <w:rsid w:val="164D2199"/>
    <w:rsid w:val="16A15DA5"/>
    <w:rsid w:val="16A9519E"/>
    <w:rsid w:val="16DB4CC1"/>
    <w:rsid w:val="16DB55D1"/>
    <w:rsid w:val="16EC57F2"/>
    <w:rsid w:val="16F753D8"/>
    <w:rsid w:val="170E2B75"/>
    <w:rsid w:val="174F4D53"/>
    <w:rsid w:val="17E71C01"/>
    <w:rsid w:val="181C6A5F"/>
    <w:rsid w:val="184A2973"/>
    <w:rsid w:val="1878440D"/>
    <w:rsid w:val="18B67DAC"/>
    <w:rsid w:val="1906465E"/>
    <w:rsid w:val="195E2B01"/>
    <w:rsid w:val="196A5FD0"/>
    <w:rsid w:val="19722D12"/>
    <w:rsid w:val="19C90304"/>
    <w:rsid w:val="19CC2030"/>
    <w:rsid w:val="19D3403E"/>
    <w:rsid w:val="19D95775"/>
    <w:rsid w:val="1A0B3653"/>
    <w:rsid w:val="1A386824"/>
    <w:rsid w:val="1A52243E"/>
    <w:rsid w:val="1A581DC0"/>
    <w:rsid w:val="1ABB4559"/>
    <w:rsid w:val="1AC72D89"/>
    <w:rsid w:val="1B05563C"/>
    <w:rsid w:val="1B51357C"/>
    <w:rsid w:val="1B9B0743"/>
    <w:rsid w:val="1BC92D06"/>
    <w:rsid w:val="1C221176"/>
    <w:rsid w:val="1C3F4135"/>
    <w:rsid w:val="1C8B3CA7"/>
    <w:rsid w:val="1CAB334B"/>
    <w:rsid w:val="1CF95DCA"/>
    <w:rsid w:val="1D1E73D1"/>
    <w:rsid w:val="1D2274A3"/>
    <w:rsid w:val="1D421F80"/>
    <w:rsid w:val="1D88531E"/>
    <w:rsid w:val="1E0611F1"/>
    <w:rsid w:val="1E177569"/>
    <w:rsid w:val="1E807A11"/>
    <w:rsid w:val="1F300DD4"/>
    <w:rsid w:val="1F58410F"/>
    <w:rsid w:val="1F7635BF"/>
    <w:rsid w:val="1F792A58"/>
    <w:rsid w:val="1F960CF3"/>
    <w:rsid w:val="1F967B9A"/>
    <w:rsid w:val="1FDE0BA1"/>
    <w:rsid w:val="1FE6348B"/>
    <w:rsid w:val="1FEE4082"/>
    <w:rsid w:val="20813DCC"/>
    <w:rsid w:val="20863108"/>
    <w:rsid w:val="20EA6897"/>
    <w:rsid w:val="210A5AA0"/>
    <w:rsid w:val="212C68BC"/>
    <w:rsid w:val="215722FD"/>
    <w:rsid w:val="21E3147A"/>
    <w:rsid w:val="21ED0296"/>
    <w:rsid w:val="21F705C7"/>
    <w:rsid w:val="22393AF4"/>
    <w:rsid w:val="22AF031F"/>
    <w:rsid w:val="22D1576C"/>
    <w:rsid w:val="22DA2C6B"/>
    <w:rsid w:val="22E022D5"/>
    <w:rsid w:val="230320A0"/>
    <w:rsid w:val="24100CC6"/>
    <w:rsid w:val="24387094"/>
    <w:rsid w:val="24984DE9"/>
    <w:rsid w:val="249D62A4"/>
    <w:rsid w:val="251063F2"/>
    <w:rsid w:val="251B7066"/>
    <w:rsid w:val="25542658"/>
    <w:rsid w:val="255A0EE4"/>
    <w:rsid w:val="256B06D6"/>
    <w:rsid w:val="256B7E34"/>
    <w:rsid w:val="25AC1E6B"/>
    <w:rsid w:val="25B57147"/>
    <w:rsid w:val="25E91C0D"/>
    <w:rsid w:val="260270B5"/>
    <w:rsid w:val="261C67A8"/>
    <w:rsid w:val="262E5611"/>
    <w:rsid w:val="264F77F1"/>
    <w:rsid w:val="268B0C7B"/>
    <w:rsid w:val="26B12462"/>
    <w:rsid w:val="26BD5379"/>
    <w:rsid w:val="26C77ED5"/>
    <w:rsid w:val="26D91DD2"/>
    <w:rsid w:val="26E750F0"/>
    <w:rsid w:val="2792506B"/>
    <w:rsid w:val="27BD2498"/>
    <w:rsid w:val="27EB0B72"/>
    <w:rsid w:val="28012242"/>
    <w:rsid w:val="281D32C5"/>
    <w:rsid w:val="284E0509"/>
    <w:rsid w:val="286469C9"/>
    <w:rsid w:val="28B215D1"/>
    <w:rsid w:val="28ED65B6"/>
    <w:rsid w:val="29124151"/>
    <w:rsid w:val="292A42C4"/>
    <w:rsid w:val="294F2549"/>
    <w:rsid w:val="297A4C84"/>
    <w:rsid w:val="29885815"/>
    <w:rsid w:val="299164C7"/>
    <w:rsid w:val="29A53CB3"/>
    <w:rsid w:val="29E67A0B"/>
    <w:rsid w:val="2A2062CF"/>
    <w:rsid w:val="2A350EF3"/>
    <w:rsid w:val="2A9C2D2E"/>
    <w:rsid w:val="2ACB7883"/>
    <w:rsid w:val="2B716521"/>
    <w:rsid w:val="2B76513C"/>
    <w:rsid w:val="2B864352"/>
    <w:rsid w:val="2B88564C"/>
    <w:rsid w:val="2B9D43D6"/>
    <w:rsid w:val="2BF47FD6"/>
    <w:rsid w:val="2CA84679"/>
    <w:rsid w:val="2CA85DE0"/>
    <w:rsid w:val="2CCB3491"/>
    <w:rsid w:val="2CE115CE"/>
    <w:rsid w:val="2D003255"/>
    <w:rsid w:val="2DA42D05"/>
    <w:rsid w:val="2DDE4333"/>
    <w:rsid w:val="2DE23C78"/>
    <w:rsid w:val="2DEC7C77"/>
    <w:rsid w:val="2E553912"/>
    <w:rsid w:val="2F4D64B4"/>
    <w:rsid w:val="2F4D658A"/>
    <w:rsid w:val="2FF068D5"/>
    <w:rsid w:val="300338F4"/>
    <w:rsid w:val="30051E37"/>
    <w:rsid w:val="301C6C61"/>
    <w:rsid w:val="30890946"/>
    <w:rsid w:val="30943741"/>
    <w:rsid w:val="30B577D2"/>
    <w:rsid w:val="30B963D0"/>
    <w:rsid w:val="30D32D5E"/>
    <w:rsid w:val="30D508CC"/>
    <w:rsid w:val="30FD7077"/>
    <w:rsid w:val="31170F51"/>
    <w:rsid w:val="313C5182"/>
    <w:rsid w:val="31461A45"/>
    <w:rsid w:val="315A3DB9"/>
    <w:rsid w:val="316E2888"/>
    <w:rsid w:val="31B91097"/>
    <w:rsid w:val="31BC3C05"/>
    <w:rsid w:val="31D456D6"/>
    <w:rsid w:val="322F7774"/>
    <w:rsid w:val="32EE34BD"/>
    <w:rsid w:val="32F0410A"/>
    <w:rsid w:val="333E47AC"/>
    <w:rsid w:val="343414BF"/>
    <w:rsid w:val="346D2801"/>
    <w:rsid w:val="34926A93"/>
    <w:rsid w:val="349C347D"/>
    <w:rsid w:val="34D21B9A"/>
    <w:rsid w:val="35060F04"/>
    <w:rsid w:val="3516625E"/>
    <w:rsid w:val="352F65BF"/>
    <w:rsid w:val="355B1345"/>
    <w:rsid w:val="357331A3"/>
    <w:rsid w:val="35CE7AC9"/>
    <w:rsid w:val="35F072C7"/>
    <w:rsid w:val="36631ED3"/>
    <w:rsid w:val="36C63E9A"/>
    <w:rsid w:val="37087362"/>
    <w:rsid w:val="37592C84"/>
    <w:rsid w:val="37974842"/>
    <w:rsid w:val="3797747E"/>
    <w:rsid w:val="37DC6870"/>
    <w:rsid w:val="382157CD"/>
    <w:rsid w:val="38407A86"/>
    <w:rsid w:val="385F0AF3"/>
    <w:rsid w:val="388066C1"/>
    <w:rsid w:val="389C4906"/>
    <w:rsid w:val="390D6D78"/>
    <w:rsid w:val="391A1119"/>
    <w:rsid w:val="39392570"/>
    <w:rsid w:val="39900719"/>
    <w:rsid w:val="39A8207C"/>
    <w:rsid w:val="39AC78D6"/>
    <w:rsid w:val="39C11946"/>
    <w:rsid w:val="39D27C7A"/>
    <w:rsid w:val="39D971B2"/>
    <w:rsid w:val="3A3465AC"/>
    <w:rsid w:val="3A990303"/>
    <w:rsid w:val="3AAC1215"/>
    <w:rsid w:val="3AC15378"/>
    <w:rsid w:val="3ADA4156"/>
    <w:rsid w:val="3B0C38ED"/>
    <w:rsid w:val="3B6B2E44"/>
    <w:rsid w:val="3B846E87"/>
    <w:rsid w:val="3BC204F2"/>
    <w:rsid w:val="3BD63535"/>
    <w:rsid w:val="3C0918EE"/>
    <w:rsid w:val="3C15674B"/>
    <w:rsid w:val="3C274678"/>
    <w:rsid w:val="3C40769C"/>
    <w:rsid w:val="3C4528D1"/>
    <w:rsid w:val="3C9E4148"/>
    <w:rsid w:val="3CB822B8"/>
    <w:rsid w:val="3D002F92"/>
    <w:rsid w:val="3D805C05"/>
    <w:rsid w:val="3DE26772"/>
    <w:rsid w:val="3E223831"/>
    <w:rsid w:val="3E7961A1"/>
    <w:rsid w:val="3ECA6C67"/>
    <w:rsid w:val="3ECF44F0"/>
    <w:rsid w:val="3EEE6268"/>
    <w:rsid w:val="3F010387"/>
    <w:rsid w:val="3F072636"/>
    <w:rsid w:val="3F2E7C81"/>
    <w:rsid w:val="4028608F"/>
    <w:rsid w:val="40C037A0"/>
    <w:rsid w:val="40E37ABE"/>
    <w:rsid w:val="40F505CA"/>
    <w:rsid w:val="413E6BBD"/>
    <w:rsid w:val="41794DBA"/>
    <w:rsid w:val="41821623"/>
    <w:rsid w:val="41BD32A6"/>
    <w:rsid w:val="41FF31E6"/>
    <w:rsid w:val="42993CAF"/>
    <w:rsid w:val="42AD2D5E"/>
    <w:rsid w:val="42DA2E89"/>
    <w:rsid w:val="42E97F17"/>
    <w:rsid w:val="433F54EA"/>
    <w:rsid w:val="43751B1E"/>
    <w:rsid w:val="438E2970"/>
    <w:rsid w:val="4394232D"/>
    <w:rsid w:val="44916261"/>
    <w:rsid w:val="454658B4"/>
    <w:rsid w:val="455C2CBE"/>
    <w:rsid w:val="45762BE9"/>
    <w:rsid w:val="45CD409B"/>
    <w:rsid w:val="461E7614"/>
    <w:rsid w:val="4623516F"/>
    <w:rsid w:val="4640643A"/>
    <w:rsid w:val="46E57867"/>
    <w:rsid w:val="47090E49"/>
    <w:rsid w:val="47427C9F"/>
    <w:rsid w:val="483A54A2"/>
    <w:rsid w:val="484E63E8"/>
    <w:rsid w:val="4899551A"/>
    <w:rsid w:val="48C944E2"/>
    <w:rsid w:val="48E12FB5"/>
    <w:rsid w:val="48FF2A61"/>
    <w:rsid w:val="492D61AA"/>
    <w:rsid w:val="494939EE"/>
    <w:rsid w:val="4951324D"/>
    <w:rsid w:val="49784F53"/>
    <w:rsid w:val="499D6AD3"/>
    <w:rsid w:val="49EE5EEB"/>
    <w:rsid w:val="4A2D486B"/>
    <w:rsid w:val="4B3A2291"/>
    <w:rsid w:val="4B680587"/>
    <w:rsid w:val="4B712C87"/>
    <w:rsid w:val="4BBA1739"/>
    <w:rsid w:val="4BD729C5"/>
    <w:rsid w:val="4BEC5DA6"/>
    <w:rsid w:val="4BF12C86"/>
    <w:rsid w:val="4C193175"/>
    <w:rsid w:val="4C1F2DD7"/>
    <w:rsid w:val="4C6F0207"/>
    <w:rsid w:val="4C6F3263"/>
    <w:rsid w:val="4C7D2F29"/>
    <w:rsid w:val="4C8354CB"/>
    <w:rsid w:val="4D021657"/>
    <w:rsid w:val="4D0F5503"/>
    <w:rsid w:val="4D2A48EB"/>
    <w:rsid w:val="4D6A3EF0"/>
    <w:rsid w:val="4D902481"/>
    <w:rsid w:val="4DA94B5A"/>
    <w:rsid w:val="4E061C7A"/>
    <w:rsid w:val="4E87003C"/>
    <w:rsid w:val="4F23154E"/>
    <w:rsid w:val="4F64616D"/>
    <w:rsid w:val="4F7854F1"/>
    <w:rsid w:val="4F7A15D5"/>
    <w:rsid w:val="4FD82DB3"/>
    <w:rsid w:val="4FE74A87"/>
    <w:rsid w:val="501D3CB6"/>
    <w:rsid w:val="502827EF"/>
    <w:rsid w:val="50465D6D"/>
    <w:rsid w:val="504F5060"/>
    <w:rsid w:val="50682750"/>
    <w:rsid w:val="509C7BAB"/>
    <w:rsid w:val="50A47D6B"/>
    <w:rsid w:val="50C81242"/>
    <w:rsid w:val="50D708BB"/>
    <w:rsid w:val="510A47F0"/>
    <w:rsid w:val="5154740F"/>
    <w:rsid w:val="51A414E3"/>
    <w:rsid w:val="51C24302"/>
    <w:rsid w:val="51CA1098"/>
    <w:rsid w:val="51FC10F1"/>
    <w:rsid w:val="51FF5C5C"/>
    <w:rsid w:val="521A3A2C"/>
    <w:rsid w:val="524A370F"/>
    <w:rsid w:val="52842978"/>
    <w:rsid w:val="52A037DC"/>
    <w:rsid w:val="52C576D8"/>
    <w:rsid w:val="531E475F"/>
    <w:rsid w:val="53281346"/>
    <w:rsid w:val="53A33AAA"/>
    <w:rsid w:val="53B54394"/>
    <w:rsid w:val="53CE7EBB"/>
    <w:rsid w:val="53ED3D9E"/>
    <w:rsid w:val="54264DCB"/>
    <w:rsid w:val="543E6826"/>
    <w:rsid w:val="544465F7"/>
    <w:rsid w:val="546F7DE0"/>
    <w:rsid w:val="54702D5C"/>
    <w:rsid w:val="549F7F35"/>
    <w:rsid w:val="54A13074"/>
    <w:rsid w:val="54CA12A3"/>
    <w:rsid w:val="54D470FE"/>
    <w:rsid w:val="55127BFA"/>
    <w:rsid w:val="551C5074"/>
    <w:rsid w:val="551C51E3"/>
    <w:rsid w:val="55234914"/>
    <w:rsid w:val="55507C9F"/>
    <w:rsid w:val="558050D5"/>
    <w:rsid w:val="55A66787"/>
    <w:rsid w:val="564C7670"/>
    <w:rsid w:val="574817EF"/>
    <w:rsid w:val="57AE435C"/>
    <w:rsid w:val="57BD3684"/>
    <w:rsid w:val="581C68FA"/>
    <w:rsid w:val="58595494"/>
    <w:rsid w:val="58C70918"/>
    <w:rsid w:val="58DA4414"/>
    <w:rsid w:val="592C152E"/>
    <w:rsid w:val="59A62A37"/>
    <w:rsid w:val="59E95651"/>
    <w:rsid w:val="5A1F190D"/>
    <w:rsid w:val="5A416090"/>
    <w:rsid w:val="5A78790E"/>
    <w:rsid w:val="5A7908FA"/>
    <w:rsid w:val="5A9A2701"/>
    <w:rsid w:val="5AB5028D"/>
    <w:rsid w:val="5B8D116F"/>
    <w:rsid w:val="5BB369B4"/>
    <w:rsid w:val="5BD264A9"/>
    <w:rsid w:val="5C1B2406"/>
    <w:rsid w:val="5C1B5AA0"/>
    <w:rsid w:val="5C4F318E"/>
    <w:rsid w:val="5C5664C8"/>
    <w:rsid w:val="5C8C4819"/>
    <w:rsid w:val="5CD50459"/>
    <w:rsid w:val="5CDD075F"/>
    <w:rsid w:val="5D01748C"/>
    <w:rsid w:val="5D406190"/>
    <w:rsid w:val="5D4A4E32"/>
    <w:rsid w:val="5D652A74"/>
    <w:rsid w:val="5D681E84"/>
    <w:rsid w:val="5D6E0CB3"/>
    <w:rsid w:val="5DFB4CA0"/>
    <w:rsid w:val="5E5B080E"/>
    <w:rsid w:val="5E6C27DE"/>
    <w:rsid w:val="5E9559B5"/>
    <w:rsid w:val="5E9A2D03"/>
    <w:rsid w:val="5F5A4534"/>
    <w:rsid w:val="5F6B497C"/>
    <w:rsid w:val="5F6C43AD"/>
    <w:rsid w:val="5F7B712F"/>
    <w:rsid w:val="5F84102F"/>
    <w:rsid w:val="60286811"/>
    <w:rsid w:val="603839CE"/>
    <w:rsid w:val="607775CC"/>
    <w:rsid w:val="607938BF"/>
    <w:rsid w:val="608957DE"/>
    <w:rsid w:val="60AE71A7"/>
    <w:rsid w:val="60B12A31"/>
    <w:rsid w:val="60CE7539"/>
    <w:rsid w:val="60E67BE4"/>
    <w:rsid w:val="60FE4A60"/>
    <w:rsid w:val="615573AC"/>
    <w:rsid w:val="6159587F"/>
    <w:rsid w:val="61627D2B"/>
    <w:rsid w:val="61983D2C"/>
    <w:rsid w:val="61AC6C8D"/>
    <w:rsid w:val="625A04DB"/>
    <w:rsid w:val="628F4EA9"/>
    <w:rsid w:val="62EC219E"/>
    <w:rsid w:val="635E53C8"/>
    <w:rsid w:val="63A547E9"/>
    <w:rsid w:val="63C74F23"/>
    <w:rsid w:val="63E7090A"/>
    <w:rsid w:val="649523B5"/>
    <w:rsid w:val="649A37E6"/>
    <w:rsid w:val="64CD33EB"/>
    <w:rsid w:val="64EF04CC"/>
    <w:rsid w:val="66996B7D"/>
    <w:rsid w:val="676E40CE"/>
    <w:rsid w:val="67783A8F"/>
    <w:rsid w:val="679227E7"/>
    <w:rsid w:val="67D929BC"/>
    <w:rsid w:val="681D75E0"/>
    <w:rsid w:val="6855414D"/>
    <w:rsid w:val="687D4662"/>
    <w:rsid w:val="68B3295F"/>
    <w:rsid w:val="69426074"/>
    <w:rsid w:val="695151B9"/>
    <w:rsid w:val="6976115A"/>
    <w:rsid w:val="69AE04B7"/>
    <w:rsid w:val="6A797466"/>
    <w:rsid w:val="6AAB216B"/>
    <w:rsid w:val="6AED1B7F"/>
    <w:rsid w:val="6B335907"/>
    <w:rsid w:val="6B736F64"/>
    <w:rsid w:val="6B7F0D15"/>
    <w:rsid w:val="6BCD5341"/>
    <w:rsid w:val="6BD540AD"/>
    <w:rsid w:val="6C2B7288"/>
    <w:rsid w:val="6C8F37C6"/>
    <w:rsid w:val="6D355E87"/>
    <w:rsid w:val="6D8C5304"/>
    <w:rsid w:val="6DFF1D3D"/>
    <w:rsid w:val="6E5A2AF3"/>
    <w:rsid w:val="6EA9439B"/>
    <w:rsid w:val="6EBF3AFB"/>
    <w:rsid w:val="6F3023B7"/>
    <w:rsid w:val="6F356C45"/>
    <w:rsid w:val="6F5A324A"/>
    <w:rsid w:val="6F856B17"/>
    <w:rsid w:val="6F9A5617"/>
    <w:rsid w:val="7024506B"/>
    <w:rsid w:val="70406EF7"/>
    <w:rsid w:val="70450AD6"/>
    <w:rsid w:val="70610E7E"/>
    <w:rsid w:val="70973B54"/>
    <w:rsid w:val="70A00F62"/>
    <w:rsid w:val="70BB5AF8"/>
    <w:rsid w:val="70D003ED"/>
    <w:rsid w:val="70D85AE8"/>
    <w:rsid w:val="71920671"/>
    <w:rsid w:val="71EA3844"/>
    <w:rsid w:val="71EB1C81"/>
    <w:rsid w:val="721930F3"/>
    <w:rsid w:val="72203E7E"/>
    <w:rsid w:val="722A2063"/>
    <w:rsid w:val="72335821"/>
    <w:rsid w:val="728E2EB4"/>
    <w:rsid w:val="729B1A9F"/>
    <w:rsid w:val="72FD64F6"/>
    <w:rsid w:val="732B1612"/>
    <w:rsid w:val="732B1DE8"/>
    <w:rsid w:val="733A1256"/>
    <w:rsid w:val="736B3341"/>
    <w:rsid w:val="736D2D85"/>
    <w:rsid w:val="73937DCB"/>
    <w:rsid w:val="739B30E9"/>
    <w:rsid w:val="744D134D"/>
    <w:rsid w:val="74A159AE"/>
    <w:rsid w:val="74C61C8D"/>
    <w:rsid w:val="74CD4FC1"/>
    <w:rsid w:val="74F546DF"/>
    <w:rsid w:val="752D4BFD"/>
    <w:rsid w:val="75912201"/>
    <w:rsid w:val="75DB7709"/>
    <w:rsid w:val="77786543"/>
    <w:rsid w:val="77BE03D1"/>
    <w:rsid w:val="77CF330B"/>
    <w:rsid w:val="77D93081"/>
    <w:rsid w:val="780673D2"/>
    <w:rsid w:val="781E329D"/>
    <w:rsid w:val="78292DBC"/>
    <w:rsid w:val="78470541"/>
    <w:rsid w:val="786771E4"/>
    <w:rsid w:val="78E260B9"/>
    <w:rsid w:val="78F60220"/>
    <w:rsid w:val="79091EA1"/>
    <w:rsid w:val="79802946"/>
    <w:rsid w:val="7994425D"/>
    <w:rsid w:val="799B0FAF"/>
    <w:rsid w:val="79FB5C26"/>
    <w:rsid w:val="7A395A56"/>
    <w:rsid w:val="7A6D1F33"/>
    <w:rsid w:val="7A7E753A"/>
    <w:rsid w:val="7AA761D9"/>
    <w:rsid w:val="7ABA3B6C"/>
    <w:rsid w:val="7ACF4F53"/>
    <w:rsid w:val="7B15388D"/>
    <w:rsid w:val="7B862500"/>
    <w:rsid w:val="7C246402"/>
    <w:rsid w:val="7C9818D4"/>
    <w:rsid w:val="7CA01367"/>
    <w:rsid w:val="7CC11EB4"/>
    <w:rsid w:val="7CD34EFB"/>
    <w:rsid w:val="7D2449CE"/>
    <w:rsid w:val="7D252D0C"/>
    <w:rsid w:val="7D471CEA"/>
    <w:rsid w:val="7D4F5185"/>
    <w:rsid w:val="7D66705B"/>
    <w:rsid w:val="7DAA2ECB"/>
    <w:rsid w:val="7DD95BEF"/>
    <w:rsid w:val="7E213198"/>
    <w:rsid w:val="7E574A29"/>
    <w:rsid w:val="7E6F0C3F"/>
    <w:rsid w:val="7E905456"/>
    <w:rsid w:val="7EEA5243"/>
    <w:rsid w:val="7FA54BE0"/>
    <w:rsid w:val="7FC84179"/>
    <w:rsid w:val="7FF6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cs="仿宋_GB2312" w:eastAsiaTheme="minorEastAsia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12"/>
    <w:link w:val="5"/>
    <w:semiHidden/>
    <w:qFormat/>
    <w:uiPriority w:val="99"/>
    <w:rPr>
      <w:kern w:val="2"/>
      <w:sz w:val="18"/>
      <w:szCs w:val="18"/>
    </w:rPr>
  </w:style>
  <w:style w:type="paragraph" w:customStyle="1" w:styleId="18">
    <w:name w:val="汇编正文"/>
    <w:basedOn w:val="19"/>
    <w:qFormat/>
    <w:uiPriority w:val="0"/>
    <w:pPr>
      <w:spacing w:line="560" w:lineRule="exact"/>
      <w:ind w:firstLine="880"/>
      <w:jc w:val="both"/>
    </w:pPr>
    <w:rPr>
      <w:rFonts w:hAnsi="仿宋_GB2312"/>
    </w:rPr>
  </w:style>
  <w:style w:type="paragraph" w:customStyle="1" w:styleId="19">
    <w:name w:val="正文文本缩进1"/>
    <w:basedOn w:val="1"/>
    <w:qFormat/>
    <w:uiPriority w:val="0"/>
    <w:pPr>
      <w:widowControl/>
      <w:ind w:firstLine="640" w:firstLineChars="200"/>
      <w:jc w:val="left"/>
    </w:pPr>
    <w:rPr>
      <w:rFonts w:ascii="仿宋_GB2312" w:hAnsi="华文仿宋" w:eastAsia="仿宋_GB2312" w:cs="Times New Roman"/>
      <w:color w:val="000000"/>
      <w:kern w:val="0"/>
      <w:sz w:val="32"/>
      <w:szCs w:val="32"/>
    </w:rPr>
  </w:style>
  <w:style w:type="paragraph" w:customStyle="1" w:styleId="20">
    <w:name w:val="汇编大标题"/>
    <w:basedOn w:val="1"/>
    <w:qFormat/>
    <w:uiPriority w:val="0"/>
    <w:pPr>
      <w:spacing w:line="560" w:lineRule="exact"/>
      <w:jc w:val="center"/>
      <w:outlineLvl w:val="1"/>
    </w:pPr>
    <w:rPr>
      <w:rFonts w:ascii="Times New Roman" w:hAnsi="Times New Roman" w:eastAsia="黑体"/>
      <w:sz w:val="44"/>
    </w:rPr>
  </w:style>
  <w:style w:type="character" w:customStyle="1" w:styleId="21">
    <w:name w:val="人培正文 Char Char"/>
    <w:link w:val="22"/>
    <w:qFormat/>
    <w:uiPriority w:val="0"/>
    <w:rPr>
      <w:rFonts w:ascii="仿宋_GB2312" w:hAnsi="仿宋_GB2312" w:eastAsia="仿宋_GB2312" w:cs="Times New Roman"/>
      <w:sz w:val="32"/>
      <w:lang w:val="en-US" w:eastAsia="zh-CN" w:bidi="ar-SA"/>
    </w:rPr>
  </w:style>
  <w:style w:type="paragraph" w:customStyle="1" w:styleId="22">
    <w:name w:val="人培正文"/>
    <w:link w:val="21"/>
    <w:qFormat/>
    <w:uiPriority w:val="0"/>
    <w:pPr>
      <w:spacing w:line="600" w:lineRule="exact"/>
      <w:ind w:firstLine="880" w:firstLineChars="200"/>
      <w:jc w:val="both"/>
    </w:pPr>
    <w:rPr>
      <w:rFonts w:ascii="仿宋_GB2312" w:hAnsi="仿宋_GB2312" w:eastAsia="仿宋_GB2312" w:cs="Times New Roman"/>
      <w:sz w:val="32"/>
      <w:lang w:val="en-US" w:eastAsia="zh-CN" w:bidi="ar-SA"/>
    </w:rPr>
  </w:style>
  <w:style w:type="paragraph" w:customStyle="1" w:styleId="23">
    <w:name w:val="一级标题"/>
    <w:qFormat/>
    <w:uiPriority w:val="0"/>
    <w:pPr>
      <w:spacing w:line="600" w:lineRule="exact"/>
      <w:ind w:firstLine="880" w:firstLineChars="200"/>
      <w:jc w:val="both"/>
      <w:outlineLvl w:val="0"/>
    </w:pPr>
    <w:rPr>
      <w:rFonts w:ascii="黑体" w:hAnsi="黑体" w:eastAsia="黑体" w:cs="Times New Roman"/>
      <w:sz w:val="32"/>
      <w:lang w:val="en-US" w:eastAsia="zh-CN" w:bidi="ar-SA"/>
    </w:rPr>
  </w:style>
  <w:style w:type="paragraph" w:customStyle="1" w:styleId="24">
    <w:name w:val="图表标题"/>
    <w:qFormat/>
    <w:uiPriority w:val="0"/>
    <w:pPr>
      <w:spacing w:line="600" w:lineRule="exact"/>
      <w:jc w:val="center"/>
    </w:pPr>
    <w:rPr>
      <w:rFonts w:ascii="仿宋_GB2312" w:hAnsi="仿宋_GB2312" w:eastAsia="仿宋_GB2312" w:cs="Times New Roman"/>
      <w:b/>
      <w:sz w:val="28"/>
      <w:lang w:val="en-US" w:eastAsia="zh-CN" w:bidi="ar-SA"/>
    </w:rPr>
  </w:style>
  <w:style w:type="character" w:customStyle="1" w:styleId="25">
    <w:name w:val="二级标题 Char Char"/>
    <w:link w:val="26"/>
    <w:qFormat/>
    <w:uiPriority w:val="0"/>
    <w:rPr>
      <w:rFonts w:ascii="楷体_GB2312" w:hAnsi="楷体_GB2312" w:eastAsia="楷体_GB2312" w:cs="Times New Roman"/>
      <w:b/>
      <w:sz w:val="32"/>
      <w:lang w:val="en-US" w:eastAsia="zh-CN" w:bidi="ar-SA"/>
    </w:rPr>
  </w:style>
  <w:style w:type="paragraph" w:customStyle="1" w:styleId="26">
    <w:name w:val="二级标题"/>
    <w:link w:val="25"/>
    <w:qFormat/>
    <w:uiPriority w:val="0"/>
    <w:pPr>
      <w:spacing w:line="600" w:lineRule="exact"/>
      <w:ind w:firstLine="880" w:firstLineChars="200"/>
      <w:jc w:val="both"/>
      <w:outlineLvl w:val="1"/>
    </w:pPr>
    <w:rPr>
      <w:rFonts w:ascii="楷体_GB2312" w:hAnsi="楷体_GB2312" w:eastAsia="楷体_GB2312" w:cs="Times New Roman"/>
      <w:b/>
      <w:sz w:val="32"/>
      <w:lang w:val="en-US" w:eastAsia="zh-CN" w:bidi="ar-SA"/>
    </w:rPr>
  </w:style>
  <w:style w:type="paragraph" w:customStyle="1" w:styleId="27">
    <w:name w:val="三级标题"/>
    <w:qFormat/>
    <w:uiPriority w:val="0"/>
    <w:pPr>
      <w:spacing w:line="600" w:lineRule="exact"/>
      <w:ind w:firstLine="880" w:firstLineChars="200"/>
      <w:jc w:val="both"/>
      <w:outlineLvl w:val="2"/>
    </w:pPr>
    <w:rPr>
      <w:rFonts w:ascii="仿宋_GB2312" w:hAnsi="仿宋_GB2312" w:eastAsia="仿宋_GB2312" w:cs="Times New Roman"/>
      <w:b/>
      <w:sz w:val="32"/>
      <w:lang w:val="en-US" w:eastAsia="zh-CN" w:bidi="ar-SA"/>
    </w:rPr>
  </w:style>
  <w:style w:type="paragraph" w:customStyle="1" w:styleId="28">
    <w:name w:val="列出段落1"/>
    <w:basedOn w:val="1"/>
    <w:qFormat/>
    <w:uiPriority w:val="1"/>
    <w:pPr>
      <w:ind w:left="2302" w:hanging="323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168029-19C3-4AA5-B31C-E4010B8A29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16</Pages>
  <Words>1604</Words>
  <Characters>9143</Characters>
  <Lines>76</Lines>
  <Paragraphs>21</Paragraphs>
  <TotalTime>14</TotalTime>
  <ScaleCrop>false</ScaleCrop>
  <LinksUpToDate>false</LinksUpToDate>
  <CharactersWithSpaces>10726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2020-01-28T02:36:00Z</dcterms:created>
  <dc:creator>致远测试</dc:creator>
  <cp:lastModifiedBy>张卫东</cp:lastModifiedBy>
  <cp:lastPrinted>2020-01-28T16:08:00Z</cp:lastPrinted>
  <dcterms:modified xsi:type="dcterms:W3CDTF">2021-12-01T13:07:26Z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C7C224C7AD544D9382C75E56F5956894</vt:lpwstr>
  </property>
</Properties>
</file>