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202</w:t>
      </w:r>
      <w:r>
        <w:rPr>
          <w:rFonts w:ascii="方正小标宋简体" w:eastAsia="方正小标宋简体" w:cs="方正小标宋简体"/>
          <w:sz w:val="32"/>
          <w:szCs w:val="32"/>
        </w:rPr>
        <w:t>2</w:t>
      </w:r>
      <w:r>
        <w:rPr>
          <w:rFonts w:hint="eastAsia" w:ascii="方正小标宋简体" w:eastAsia="方正小标宋简体" w:cs="方正小标宋简体"/>
          <w:sz w:val="32"/>
          <w:szCs w:val="32"/>
        </w:rPr>
        <w:t>年山东传媒职业学院技能大赛</w:t>
      </w:r>
    </w:p>
    <w:p>
      <w:pPr>
        <w:snapToGrid w:val="0"/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 xml:space="preserve"> “网络系统管理”赛项规程</w:t>
      </w:r>
    </w:p>
    <w:p>
      <w:pPr>
        <w:snapToGrid w:val="0"/>
        <w:spacing w:line="580" w:lineRule="exact"/>
        <w:ind w:firstLine="453" w:firstLineChars="189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</w:t>
      </w:r>
      <w:r>
        <w:rPr>
          <w:rFonts w:hint="eastAsia" w:ascii="黑体" w:hAnsi="黑体" w:eastAsia="黑体"/>
          <w:spacing w:val="-8"/>
          <w:sz w:val="24"/>
          <w:szCs w:val="24"/>
        </w:rPr>
        <w:t>赛项名称</w:t>
      </w:r>
    </w:p>
    <w:p>
      <w:pPr>
        <w:snapToGrid w:val="0"/>
        <w:spacing w:line="360" w:lineRule="auto"/>
        <w:ind w:firstLine="423" w:firstLineChars="189"/>
        <w:rPr>
          <w:rFonts w:ascii="仿宋_GB2312" w:eastAsia="仿宋_GB2312"/>
          <w:spacing w:val="-8"/>
          <w:sz w:val="24"/>
          <w:szCs w:val="24"/>
        </w:rPr>
      </w:pPr>
      <w:r>
        <w:rPr>
          <w:rFonts w:hint="eastAsia" w:ascii="仿宋_GB2312" w:eastAsia="仿宋_GB2312"/>
          <w:spacing w:val="-8"/>
          <w:sz w:val="24"/>
          <w:szCs w:val="24"/>
        </w:rPr>
        <w:t>网络系统管理</w:t>
      </w:r>
    </w:p>
    <w:p>
      <w:pPr>
        <w:snapToGrid w:val="0"/>
        <w:spacing w:line="360" w:lineRule="auto"/>
        <w:ind w:firstLine="423" w:firstLineChars="189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二、竞赛目的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网络系统管理岗位上的人员主要工作在商业和组织机构中，包括网络运营中心、互联网服务提供商、数据中心等工作场所；为用户提供日常</w:t>
      </w:r>
      <w:r>
        <w:rPr>
          <w:rFonts w:ascii="仿宋_GB2312" w:eastAsia="仿宋_GB2312"/>
          <w:spacing w:val="-1"/>
          <w:sz w:val="24"/>
          <w:szCs w:val="24"/>
        </w:rPr>
        <w:t>IT业务运营，支持广泛的IT信息服务：用户业务支持、故障排除、</w:t>
      </w:r>
      <w:r>
        <w:rPr>
          <w:rFonts w:hint="eastAsia" w:ascii="仿宋_GB2312" w:eastAsia="仿宋_GB2312"/>
          <w:spacing w:val="-1"/>
          <w:sz w:val="24"/>
          <w:szCs w:val="24"/>
        </w:rPr>
        <w:t>设计、安装与升级操作系统、规划网络应用、配置网络设备等。此外，网络系统管理人员有责任与用户进行专业的工作交互，以满足用户的信息化需求，确保</w:t>
      </w:r>
      <w:r>
        <w:rPr>
          <w:rFonts w:ascii="仿宋_GB2312" w:eastAsia="仿宋_GB2312"/>
          <w:spacing w:val="-1"/>
          <w:sz w:val="24"/>
          <w:szCs w:val="24"/>
        </w:rPr>
        <w:t>IT系统和网络服务的连续性，并对IT系统的运营和网络服</w:t>
      </w:r>
      <w:r>
        <w:rPr>
          <w:rFonts w:hint="eastAsia" w:ascii="仿宋_GB2312" w:eastAsia="仿宋_GB2312"/>
          <w:spacing w:val="-1"/>
          <w:sz w:val="24"/>
          <w:szCs w:val="24"/>
        </w:rPr>
        <w:t>务的开发提供建议和指导，以提升</w:t>
      </w:r>
      <w:r>
        <w:rPr>
          <w:rFonts w:ascii="仿宋_GB2312" w:eastAsia="仿宋_GB2312"/>
          <w:spacing w:val="-1"/>
          <w:sz w:val="24"/>
          <w:szCs w:val="24"/>
        </w:rPr>
        <w:t>IT网络信息系统的管理效能，推动</w:t>
      </w:r>
      <w:r>
        <w:rPr>
          <w:rFonts w:hint="eastAsia" w:ascii="仿宋_GB2312" w:eastAsia="仿宋_GB2312"/>
          <w:spacing w:val="-1"/>
          <w:sz w:val="24"/>
          <w:szCs w:val="24"/>
        </w:rPr>
        <w:t>组织向前发展。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三、竞赛内容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本竞赛进行技能实操考核，涉及A模块网络构建模块、B模块</w:t>
      </w:r>
      <w:r>
        <w:rPr>
          <w:rFonts w:ascii="仿宋_GB2312" w:eastAsia="仿宋_GB2312"/>
          <w:spacing w:val="-1"/>
          <w:sz w:val="24"/>
          <w:szCs w:val="24"/>
        </w:rPr>
        <w:t>Linux部署模块2个模块，其中</w:t>
      </w:r>
      <w:r>
        <w:rPr>
          <w:rFonts w:hint="eastAsia" w:ascii="仿宋_GB2312" w:eastAsia="仿宋_GB2312"/>
          <w:spacing w:val="-1"/>
          <w:sz w:val="24"/>
          <w:szCs w:val="24"/>
        </w:rPr>
        <w:t>A模块占总成绩60%，B模块占总成绩40%，</w:t>
      </w:r>
      <w:r>
        <w:rPr>
          <w:rFonts w:ascii="仿宋_GB2312" w:eastAsia="仿宋_GB2312"/>
          <w:spacing w:val="-1"/>
          <w:sz w:val="24"/>
          <w:szCs w:val="24"/>
        </w:rPr>
        <w:t>竞赛时间</w:t>
      </w:r>
      <w:r>
        <w:rPr>
          <w:rFonts w:hint="eastAsia" w:ascii="仿宋_GB2312" w:eastAsia="仿宋_GB2312"/>
          <w:spacing w:val="-1"/>
          <w:sz w:val="24"/>
          <w:szCs w:val="24"/>
        </w:rPr>
        <w:t>为</w:t>
      </w:r>
      <w:r>
        <w:rPr>
          <w:rFonts w:ascii="仿宋_GB2312" w:eastAsia="仿宋_GB2312"/>
          <w:spacing w:val="-1"/>
          <w:sz w:val="24"/>
          <w:szCs w:val="24"/>
        </w:rPr>
        <w:t>9</w:t>
      </w:r>
      <w:r>
        <w:rPr>
          <w:rFonts w:hint="eastAsia" w:ascii="仿宋_GB2312" w:eastAsia="仿宋_GB2312"/>
          <w:spacing w:val="-1"/>
          <w:sz w:val="24"/>
          <w:szCs w:val="24"/>
        </w:rPr>
        <w:t>0分钟</w:t>
      </w:r>
      <w:r>
        <w:rPr>
          <w:rFonts w:ascii="仿宋_GB2312" w:eastAsia="仿宋_GB2312"/>
          <w:spacing w:val="-1"/>
          <w:sz w:val="24"/>
          <w:szCs w:val="24"/>
        </w:rPr>
        <w:t>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四、竞赛方式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本赛项为单人技能赛，参赛</w:t>
      </w:r>
      <w:r>
        <w:rPr>
          <w:rFonts w:ascii="仿宋_GB2312" w:eastAsia="仿宋_GB2312"/>
          <w:spacing w:val="-1"/>
          <w:sz w:val="24"/>
          <w:szCs w:val="24"/>
        </w:rPr>
        <w:t>选手必须为信息工程系</w:t>
      </w:r>
      <w:r>
        <w:rPr>
          <w:rFonts w:hint="eastAsia" w:ascii="仿宋_GB2312" w:eastAsia="仿宋_GB2312"/>
          <w:spacing w:val="-1"/>
          <w:sz w:val="24"/>
          <w:szCs w:val="24"/>
        </w:rPr>
        <w:t>在籍学生。指导教师须为本校专兼职教师，每名参赛选手可配置</w:t>
      </w:r>
      <w:r>
        <w:rPr>
          <w:rFonts w:ascii="仿宋_GB2312" w:eastAsia="仿宋_GB2312"/>
          <w:spacing w:val="-1"/>
          <w:sz w:val="24"/>
          <w:szCs w:val="24"/>
        </w:rPr>
        <w:t>1名指导老师。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五、竞赛流程</w:t>
      </w:r>
    </w:p>
    <w:p>
      <w:pPr>
        <w:snapToGrid w:val="0"/>
        <w:spacing w:line="360" w:lineRule="auto"/>
        <w:ind w:firstLine="440" w:firstLineChars="200"/>
      </w:pPr>
      <w:r>
        <w:t xml:space="preserve"> </w:t>
      </w:r>
      <w:r>
        <w:rPr>
          <w:rFonts w:hint="eastAsia" w:ascii="仿宋_GB2312" w:eastAsia="仿宋_GB2312"/>
          <w:spacing w:val="-1"/>
          <w:sz w:val="24"/>
          <w:szCs w:val="24"/>
        </w:rPr>
        <w:t>本赛项在实训室1</w:t>
      </w:r>
      <w:r>
        <w:rPr>
          <w:rFonts w:ascii="仿宋_GB2312" w:eastAsia="仿宋_GB2312"/>
          <w:spacing w:val="-1"/>
          <w:sz w:val="24"/>
          <w:szCs w:val="24"/>
        </w:rPr>
        <w:t>304</w:t>
      </w:r>
      <w:r>
        <w:rPr>
          <w:rFonts w:hint="eastAsia" w:ascii="仿宋_GB2312" w:eastAsia="仿宋_GB2312"/>
          <w:spacing w:val="-1"/>
          <w:sz w:val="24"/>
          <w:szCs w:val="24"/>
        </w:rPr>
        <w:t>举行，具体时间安排如下：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比赛时间</w:t>
            </w:r>
          </w:p>
        </w:tc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/>
                <w:spacing w:val="-8"/>
                <w:sz w:val="24"/>
                <w:szCs w:val="24"/>
              </w:rPr>
              <w:t>13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0-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13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0</w:t>
            </w:r>
          </w:p>
        </w:tc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参赛选手赛前准备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/>
                <w:spacing w:val="-8"/>
                <w:sz w:val="24"/>
                <w:szCs w:val="24"/>
              </w:rPr>
              <w:t>13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0-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15:00</w:t>
            </w:r>
          </w:p>
        </w:tc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参赛选手比赛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15:00-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:</w:t>
            </w:r>
            <w:r>
              <w:rPr>
                <w:rFonts w:ascii="仿宋_GB2312" w:eastAsia="仿宋_GB2312"/>
                <w:spacing w:val="-8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0</w:t>
            </w:r>
          </w:p>
        </w:tc>
        <w:tc>
          <w:tcPr>
            <w:tcW w:w="4150" w:type="dxa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成绩评定</w:t>
            </w:r>
          </w:p>
        </w:tc>
      </w:tr>
    </w:tbl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六、竞赛命题</w:t>
      </w:r>
    </w:p>
    <w:p>
      <w:pPr>
        <w:snapToGrid w:val="0"/>
        <w:spacing w:line="360" w:lineRule="auto"/>
        <w:ind w:firstLine="476" w:firstLineChars="200"/>
        <w:rPr>
          <w:rFonts w:hint="eastAsia"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本赛项样题设计基于山东传媒职业学院</w:t>
      </w:r>
      <w:r>
        <w:rPr>
          <w:rFonts w:ascii="仿宋_GB2312" w:eastAsia="仿宋_GB2312"/>
          <w:spacing w:val="-1"/>
          <w:sz w:val="24"/>
          <w:szCs w:val="24"/>
        </w:rPr>
        <w:t>2022年技能大赛</w:t>
      </w:r>
      <w:r>
        <w:rPr>
          <w:rFonts w:hint="eastAsia" w:ascii="仿宋_GB2312" w:eastAsia="仿宋_GB2312"/>
          <w:spacing w:val="-1"/>
          <w:sz w:val="24"/>
          <w:szCs w:val="24"/>
        </w:rPr>
        <w:t>相关文件要求，发布在</w:t>
      </w:r>
      <w:r>
        <w:rPr>
          <w:rFonts w:hint="eastAsia" w:ascii="仿宋_GB2312" w:eastAsia="仿宋_GB2312"/>
          <w:spacing w:val="-1"/>
          <w:sz w:val="24"/>
          <w:szCs w:val="24"/>
          <w:lang w:val="en-US" w:eastAsia="zh-CN"/>
        </w:rPr>
        <w:t>教务</w:t>
      </w:r>
      <w:r>
        <w:rPr>
          <w:rFonts w:hint="eastAsia" w:ascii="仿宋_GB2312" w:eastAsia="仿宋_GB2312"/>
          <w:spacing w:val="-1"/>
          <w:sz w:val="24"/>
          <w:szCs w:val="24"/>
        </w:rPr>
        <w:t>网站</w:t>
      </w:r>
      <w:r>
        <w:rPr>
          <w:rFonts w:hint="eastAsia" w:ascii="仿宋_GB2312" w:eastAsia="仿宋_GB2312"/>
          <w:spacing w:val="-1"/>
          <w:sz w:val="24"/>
          <w:szCs w:val="24"/>
        </w:rPr>
        <w:t>上。</w:t>
      </w:r>
      <w:bookmarkStart w:id="0" w:name="_GoBack"/>
      <w:bookmarkEnd w:id="0"/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七、竞赛规则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1.参赛选手资格。参赛选手须为</w:t>
      </w:r>
      <w:r>
        <w:rPr>
          <w:rFonts w:hint="eastAsia" w:ascii="仿宋_GB2312" w:eastAsia="仿宋_GB2312"/>
          <w:spacing w:val="-1"/>
          <w:sz w:val="24"/>
          <w:szCs w:val="24"/>
        </w:rPr>
        <w:t>信息</w:t>
      </w:r>
      <w:r>
        <w:rPr>
          <w:rFonts w:ascii="仿宋_GB2312" w:eastAsia="仿宋_GB2312"/>
          <w:spacing w:val="-1"/>
          <w:sz w:val="24"/>
          <w:szCs w:val="24"/>
        </w:rPr>
        <w:t>工程系在籍注册学</w:t>
      </w:r>
      <w:r>
        <w:rPr>
          <w:rFonts w:hint="eastAsia" w:ascii="仿宋_GB2312" w:eastAsia="仿宋_GB2312"/>
          <w:spacing w:val="-1"/>
          <w:sz w:val="24"/>
          <w:szCs w:val="24"/>
        </w:rPr>
        <w:t>生。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2.比赛期间参赛选手原则上不得离开</w:t>
      </w:r>
      <w:r>
        <w:rPr>
          <w:rFonts w:hint="eastAsia" w:ascii="仿宋_GB2312" w:eastAsia="仿宋_GB2312"/>
          <w:spacing w:val="-1"/>
          <w:sz w:val="24"/>
          <w:szCs w:val="24"/>
        </w:rPr>
        <w:t>比赛场地。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3.参赛选手在赛前30分钟，到达赛场等候，并凭学生证、身份证检录，</w:t>
      </w:r>
      <w:r>
        <w:rPr>
          <w:rFonts w:hint="eastAsia" w:ascii="仿宋_GB2312" w:eastAsia="仿宋_GB2312"/>
          <w:spacing w:val="-1"/>
          <w:sz w:val="24"/>
          <w:szCs w:val="24"/>
        </w:rPr>
        <w:t>不得迟到早退，未按照规定时间到场并检录者视为自动放弃比赛。</w:t>
      </w:r>
      <w:r>
        <w:rPr>
          <w:rFonts w:ascii="仿宋_GB2312" w:eastAsia="仿宋_GB2312"/>
          <w:spacing w:val="-1"/>
          <w:sz w:val="24"/>
          <w:szCs w:val="24"/>
        </w:rPr>
        <w:t>比</w:t>
      </w:r>
      <w:r>
        <w:rPr>
          <w:rFonts w:hint="eastAsia" w:ascii="仿宋_GB2312" w:eastAsia="仿宋_GB2312"/>
          <w:spacing w:val="-1"/>
          <w:sz w:val="24"/>
          <w:szCs w:val="24"/>
        </w:rPr>
        <w:t>赛正式开始后方可进行相关操作。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4.在比赛过程中，参赛选手如有疑问，应举手示意，现场裁判</w:t>
      </w:r>
      <w:r>
        <w:rPr>
          <w:rFonts w:hint="eastAsia" w:ascii="仿宋_GB2312" w:eastAsia="仿宋_GB2312"/>
          <w:spacing w:val="-1"/>
          <w:sz w:val="24"/>
          <w:szCs w:val="24"/>
        </w:rPr>
        <w:t>应按要求及时予以答疑。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5.比赛时间结束，选手应结束操作</w:t>
      </w:r>
      <w:r>
        <w:rPr>
          <w:rFonts w:hint="eastAsia" w:ascii="仿宋_GB2312" w:eastAsia="仿宋_GB2312"/>
          <w:spacing w:val="-1"/>
          <w:sz w:val="24"/>
          <w:szCs w:val="24"/>
        </w:rPr>
        <w:t>，提交</w:t>
      </w:r>
      <w:r>
        <w:rPr>
          <w:rFonts w:ascii="仿宋_GB2312" w:eastAsia="仿宋_GB2312"/>
          <w:spacing w:val="-1"/>
          <w:sz w:val="24"/>
          <w:szCs w:val="24"/>
        </w:rPr>
        <w:t>竞赛答题文档</w:t>
      </w:r>
      <w:r>
        <w:rPr>
          <w:rFonts w:hint="eastAsia" w:ascii="仿宋_GB2312" w:eastAsia="仿宋_GB2312"/>
          <w:spacing w:val="-1"/>
          <w:sz w:val="24"/>
          <w:szCs w:val="24"/>
        </w:rPr>
        <w:t>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6.赛项裁判应严格遵守赛项各项规章制度，确保比赛公平、公</w:t>
      </w:r>
      <w:r>
        <w:rPr>
          <w:rFonts w:hint="eastAsia" w:ascii="仿宋_GB2312" w:eastAsia="仿宋_GB2312"/>
          <w:spacing w:val="-1"/>
          <w:sz w:val="24"/>
          <w:szCs w:val="24"/>
        </w:rPr>
        <w:t>正、公开。比赛当天</w:t>
      </w:r>
      <w:r>
        <w:rPr>
          <w:rFonts w:ascii="仿宋_GB2312" w:eastAsia="仿宋_GB2312"/>
          <w:spacing w:val="-1"/>
          <w:sz w:val="24"/>
          <w:szCs w:val="24"/>
        </w:rPr>
        <w:t>13:00起，赛项裁判应上交所有通信设备，由赛</w:t>
      </w:r>
      <w:r>
        <w:rPr>
          <w:rFonts w:hint="eastAsia" w:ascii="仿宋_GB2312" w:eastAsia="仿宋_GB2312"/>
          <w:spacing w:val="-1"/>
          <w:sz w:val="24"/>
          <w:szCs w:val="24"/>
        </w:rPr>
        <w:t>项执委会统一保管。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/>
          <w:spacing w:val="-1"/>
          <w:sz w:val="24"/>
          <w:szCs w:val="24"/>
        </w:rPr>
        <w:t>7.比赛结束，</w:t>
      </w:r>
      <w:r>
        <w:rPr>
          <w:rFonts w:hint="eastAsia" w:ascii="仿宋_GB2312" w:eastAsia="仿宋_GB2312"/>
          <w:spacing w:val="-1"/>
          <w:sz w:val="24"/>
          <w:szCs w:val="24"/>
        </w:rPr>
        <w:t xml:space="preserve">评分裁判进行成绩评判。最终竞赛成绩经复核无误，由裁判长、监督长签字确认后，以纸质形式向全体参赛人员进行公布。 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八、竞赛环境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竞赛场地包括参赛选手竞赛区域、裁判及技术支持区域。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1.参赛选手竞赛区域。</w:t>
      </w:r>
      <w:r>
        <w:rPr>
          <w:rFonts w:hint="eastAsia" w:ascii="仿宋_GB2312" w:eastAsia="仿宋_GB2312"/>
          <w:spacing w:val="-1"/>
          <w:sz w:val="24"/>
          <w:szCs w:val="24"/>
        </w:rPr>
        <w:t>每个竞赛工位标有醒目的工位编号，</w:t>
      </w:r>
      <w:r>
        <w:rPr>
          <w:rFonts w:ascii="仿宋_GB2312" w:eastAsia="仿宋_GB2312"/>
          <w:spacing w:val="-1"/>
          <w:sz w:val="24"/>
          <w:szCs w:val="24"/>
        </w:rPr>
        <w:t>确保</w:t>
      </w:r>
      <w:r>
        <w:rPr>
          <w:rFonts w:hint="eastAsia" w:ascii="仿宋_GB2312" w:eastAsia="仿宋_GB2312"/>
          <w:spacing w:val="-1"/>
          <w:sz w:val="24"/>
          <w:szCs w:val="24"/>
        </w:rPr>
        <w:t>参赛选手之间互不干扰。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2.裁判及技术支持区域。供裁判、技术支持人员休息及工作场地。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376555</wp:posOffset>
            </wp:positionV>
            <wp:extent cx="5276215" cy="1743075"/>
            <wp:effectExtent l="0" t="0" r="63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pacing w:val="-8"/>
          <w:sz w:val="24"/>
          <w:szCs w:val="24"/>
        </w:rPr>
        <w:t>九、技术规范</w:t>
      </w:r>
    </w:p>
    <w:p>
      <w:pPr>
        <w:snapToGrid w:val="0"/>
        <w:spacing w:line="360" w:lineRule="auto"/>
        <w:ind w:firstLine="423" w:firstLineChars="189"/>
        <w:rPr>
          <w:rFonts w:ascii="黑体" w:hAnsi="黑体" w:eastAsia="黑体"/>
          <w:spacing w:val="-8"/>
          <w:sz w:val="24"/>
          <w:szCs w:val="24"/>
        </w:rPr>
      </w:pPr>
    </w:p>
    <w:p>
      <w:pPr>
        <w:snapToGrid w:val="0"/>
        <w:spacing w:line="360" w:lineRule="auto"/>
        <w:ind w:firstLine="423" w:firstLineChars="189"/>
        <w:rPr>
          <w:rFonts w:ascii="黑体" w:hAnsi="黑体" w:eastAsia="黑体"/>
          <w:spacing w:val="-8"/>
          <w:sz w:val="24"/>
          <w:szCs w:val="24"/>
        </w:rPr>
      </w:pPr>
    </w:p>
    <w:p>
      <w:pPr>
        <w:snapToGrid w:val="0"/>
        <w:spacing w:line="360" w:lineRule="auto"/>
        <w:ind w:firstLine="423" w:firstLineChars="189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十、技术平台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竞赛设备：笔记本电脑或实训室电脑。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十一、成绩评定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1. 竞赛满分为100分。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ascii="仿宋_GB2312" w:eastAsia="仿宋_GB2312"/>
          <w:spacing w:val="-1"/>
          <w:sz w:val="24"/>
          <w:szCs w:val="24"/>
        </w:rPr>
        <w:t>2. 评分成绩=A模块+B模块。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十二、赛场预案</w:t>
      </w:r>
    </w:p>
    <w:p>
      <w:pPr>
        <w:snapToGrid w:val="0"/>
        <w:spacing w:line="360" w:lineRule="auto"/>
        <w:ind w:firstLine="476" w:firstLineChars="200"/>
        <w:rPr>
          <w:rFonts w:ascii="仿宋_GB2312" w:eastAsia="仿宋_GB2312"/>
          <w:spacing w:val="-1"/>
          <w:sz w:val="24"/>
          <w:szCs w:val="24"/>
        </w:rPr>
      </w:pPr>
      <w:r>
        <w:rPr>
          <w:rFonts w:hint="eastAsia" w:ascii="仿宋_GB2312" w:eastAsia="仿宋_GB2312"/>
          <w:spacing w:val="-1"/>
          <w:sz w:val="24"/>
          <w:szCs w:val="24"/>
        </w:rPr>
        <w:t>比赛期间发生意外事故，发现者应第一时间报告赛项执委会，同时采取措施避免事态扩大。</w:t>
      </w:r>
    </w:p>
    <w:p>
      <w:pPr>
        <w:snapToGrid w:val="0"/>
        <w:spacing w:line="360" w:lineRule="auto"/>
        <w:ind w:firstLine="448" w:firstLineChars="200"/>
        <w:rPr>
          <w:rFonts w:ascii="黑体" w:hAnsi="黑体" w:eastAsia="黑体"/>
          <w:spacing w:val="-8"/>
          <w:sz w:val="24"/>
          <w:szCs w:val="24"/>
        </w:rPr>
      </w:pPr>
      <w:r>
        <w:rPr>
          <w:rFonts w:hint="eastAsia" w:ascii="黑体" w:hAnsi="黑体" w:eastAsia="黑体"/>
          <w:spacing w:val="-8"/>
          <w:sz w:val="24"/>
          <w:szCs w:val="24"/>
        </w:rPr>
        <w:t>十三、申诉与仲裁</w:t>
      </w:r>
    </w:p>
    <w:p>
      <w:pPr>
        <w:snapToGrid w:val="0"/>
        <w:spacing w:line="360" w:lineRule="auto"/>
        <w:ind w:firstLine="476" w:firstLineChars="200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hint="eastAsia" w:ascii="仿宋_GB2312" w:eastAsia="仿宋_GB2312"/>
          <w:spacing w:val="-1"/>
          <w:sz w:val="24"/>
          <w:szCs w:val="24"/>
        </w:rPr>
        <w:t>各参赛选手对不符合大赛和赛项规程规定的竞赛使用工具、用品，竞赛执裁、赛场管理，以及工作人员的不规范行为等，可向赛项仲裁工作组提出书面申诉。</w:t>
      </w:r>
    </w:p>
    <w:p/>
    <w:sectPr>
      <w:footerReference r:id="rId3" w:type="default"/>
      <w:footerReference r:id="rId4" w:type="even"/>
      <w:pgSz w:w="11910" w:h="16840"/>
      <w:pgMar w:top="2041" w:right="1418" w:bottom="1985" w:left="1418" w:header="0" w:footer="16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5759450</wp:posOffset>
              </wp:positionH>
              <wp:positionV relativeFrom="page">
                <wp:posOffset>9508490</wp:posOffset>
              </wp:positionV>
              <wp:extent cx="680720" cy="222885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53.5pt;margin-top:748.7pt;height:17.55pt;width:53.6pt;mso-position-horizontal-relative:page;mso-position-vertical-relative:page;z-index:-251656192;mso-width-relative:page;mso-height-relative:page;" filled="f" stroked="f" coordsize="21600,21600" o:gfxdata="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juhk9wAAAAOAQAADwAAAAAAAAABACAAAAAiAAAAZHJzL2Rvd25yZXYueG1sUEsB&#10;AhQAFAAAAAgAh07iQIEzlXG4AQAAcQMAAA4AAAAAAAAAAQAgAAAAK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87070" cy="22288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1.3pt;margin-top:748.7pt;height:17.55pt;width:54.1pt;mso-position-horizontal-relative:page;mso-position-vertical-relative:page;z-index:-251657216;mso-width-relative:page;mso-height-relative:page;" filled="f" stroked="f" coordsize="21600,21600" o:gfxdata="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5rn5tsAAAANAQAADwAAAAAAAAABACAAAAAiAAAAZHJzL2Rvd25yZXYueG1sUEsB&#10;AhQAFAAAAAgAh07iQBoGD6W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865258"/>
    <w:rsid w:val="00103BB1"/>
    <w:rsid w:val="00441CC3"/>
    <w:rsid w:val="004C51CD"/>
    <w:rsid w:val="0059503C"/>
    <w:rsid w:val="005B3A10"/>
    <w:rsid w:val="006B4B3A"/>
    <w:rsid w:val="00746644"/>
    <w:rsid w:val="0078658E"/>
    <w:rsid w:val="007B16A4"/>
    <w:rsid w:val="00851B24"/>
    <w:rsid w:val="00865258"/>
    <w:rsid w:val="008B4F81"/>
    <w:rsid w:val="00921281"/>
    <w:rsid w:val="009535E5"/>
    <w:rsid w:val="00BF031D"/>
    <w:rsid w:val="00D229ED"/>
    <w:rsid w:val="00E05C8C"/>
    <w:rsid w:val="00E31956"/>
    <w:rsid w:val="00E56209"/>
    <w:rsid w:val="00E64AB3"/>
    <w:rsid w:val="01BE5802"/>
    <w:rsid w:val="03480F80"/>
    <w:rsid w:val="03805376"/>
    <w:rsid w:val="056D1269"/>
    <w:rsid w:val="06E810D0"/>
    <w:rsid w:val="07096CFF"/>
    <w:rsid w:val="07191E3A"/>
    <w:rsid w:val="07262172"/>
    <w:rsid w:val="0A300C8C"/>
    <w:rsid w:val="0AEB116D"/>
    <w:rsid w:val="0B1F512D"/>
    <w:rsid w:val="0E88615C"/>
    <w:rsid w:val="0EB52325"/>
    <w:rsid w:val="0FBC4DA8"/>
    <w:rsid w:val="10A933EE"/>
    <w:rsid w:val="10D4278C"/>
    <w:rsid w:val="13C42949"/>
    <w:rsid w:val="13C62EBC"/>
    <w:rsid w:val="13C92283"/>
    <w:rsid w:val="13F6294C"/>
    <w:rsid w:val="150D6DB1"/>
    <w:rsid w:val="157743FE"/>
    <w:rsid w:val="165100B7"/>
    <w:rsid w:val="17E36ABF"/>
    <w:rsid w:val="18607884"/>
    <w:rsid w:val="1A701951"/>
    <w:rsid w:val="1B15618C"/>
    <w:rsid w:val="1C4F1FAB"/>
    <w:rsid w:val="1F0D5C9D"/>
    <w:rsid w:val="20397B23"/>
    <w:rsid w:val="2110303B"/>
    <w:rsid w:val="220D7706"/>
    <w:rsid w:val="248901BB"/>
    <w:rsid w:val="257D23D2"/>
    <w:rsid w:val="276E24CE"/>
    <w:rsid w:val="285B2715"/>
    <w:rsid w:val="29245595"/>
    <w:rsid w:val="29F27391"/>
    <w:rsid w:val="2FB62473"/>
    <w:rsid w:val="305E067B"/>
    <w:rsid w:val="3065559B"/>
    <w:rsid w:val="308A558D"/>
    <w:rsid w:val="30B70818"/>
    <w:rsid w:val="30C546E2"/>
    <w:rsid w:val="30ED106A"/>
    <w:rsid w:val="321C6ABF"/>
    <w:rsid w:val="32A87583"/>
    <w:rsid w:val="32FA4A29"/>
    <w:rsid w:val="34896238"/>
    <w:rsid w:val="3496371E"/>
    <w:rsid w:val="35077DC2"/>
    <w:rsid w:val="35ED11B7"/>
    <w:rsid w:val="366D74A8"/>
    <w:rsid w:val="371D130B"/>
    <w:rsid w:val="38F55C4F"/>
    <w:rsid w:val="3F7E1BF6"/>
    <w:rsid w:val="3F9500F6"/>
    <w:rsid w:val="43262710"/>
    <w:rsid w:val="44A363BC"/>
    <w:rsid w:val="471B72B3"/>
    <w:rsid w:val="48BC14AF"/>
    <w:rsid w:val="4B411787"/>
    <w:rsid w:val="4BEE146B"/>
    <w:rsid w:val="4E8E7BFB"/>
    <w:rsid w:val="4F05194E"/>
    <w:rsid w:val="52461E89"/>
    <w:rsid w:val="52F2010D"/>
    <w:rsid w:val="546B2FCC"/>
    <w:rsid w:val="55CD0352"/>
    <w:rsid w:val="56394A92"/>
    <w:rsid w:val="56E8145A"/>
    <w:rsid w:val="57864F01"/>
    <w:rsid w:val="5A155491"/>
    <w:rsid w:val="5AED6601"/>
    <w:rsid w:val="5AF078FA"/>
    <w:rsid w:val="5C115B42"/>
    <w:rsid w:val="611B37BA"/>
    <w:rsid w:val="63BD3E01"/>
    <w:rsid w:val="65883EB4"/>
    <w:rsid w:val="67302760"/>
    <w:rsid w:val="68B00F56"/>
    <w:rsid w:val="69E173B2"/>
    <w:rsid w:val="6A024D1C"/>
    <w:rsid w:val="6B683D60"/>
    <w:rsid w:val="6B720AE3"/>
    <w:rsid w:val="6D364F2B"/>
    <w:rsid w:val="6FCA5843"/>
    <w:rsid w:val="71EC356F"/>
    <w:rsid w:val="722E5DD5"/>
    <w:rsid w:val="758E56B6"/>
    <w:rsid w:val="76C67408"/>
    <w:rsid w:val="77D163F9"/>
    <w:rsid w:val="78F036AD"/>
    <w:rsid w:val="7B9D5628"/>
    <w:rsid w:val="7BD04614"/>
    <w:rsid w:val="7EDD3535"/>
    <w:rsid w:val="7F317729"/>
    <w:rsid w:val="7F5570B2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13" w:lineRule="atLeast"/>
      <w:outlineLvl w:val="0"/>
    </w:pPr>
    <w:rPr>
      <w:rFonts w:hint="eastAsia" w:cs="Times New Roman"/>
      <w:b/>
      <w:kern w:val="44"/>
      <w:sz w:val="43"/>
      <w:szCs w:val="43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cs="Times New Roman"/>
      <w:b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12"/>
      <w:ind w:left="111" w:right="207" w:firstLine="50"/>
      <w:jc w:val="both"/>
    </w:pPr>
    <w:rPr>
      <w:rFonts w:ascii="Arial Unicode MS" w:hAnsi="Arial Unicode MS" w:eastAsia="Arial Unicode MS" w:cs="Arial Unicode MS"/>
      <w:sz w:val="72"/>
      <w:szCs w:val="72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spacing w:before="116"/>
      <w:ind w:left="126" w:right="118"/>
      <w:jc w:val="center"/>
    </w:pPr>
  </w:style>
  <w:style w:type="character" w:customStyle="1" w:styleId="15">
    <w:name w:val="NormalCharacter"/>
    <w:semiHidden/>
    <w:qFormat/>
    <w:uiPriority w:val="0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16">
    <w:name w:val="页眉 Char"/>
    <w:basedOn w:val="10"/>
    <w:link w:val="6"/>
    <w:qFormat/>
    <w:uiPriority w:val="0"/>
    <w:rPr>
      <w:rFonts w:ascii="宋体" w:hAnsi="宋体" w:cs="宋体"/>
      <w:sz w:val="18"/>
      <w:szCs w:val="18"/>
    </w:rPr>
  </w:style>
  <w:style w:type="character" w:customStyle="1" w:styleId="17">
    <w:name w:val="页脚 Char"/>
    <w:basedOn w:val="10"/>
    <w:link w:val="5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3D832-7CCA-46B9-A7E4-284399423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182</Words>
  <Characters>1043</Characters>
  <Lines>8</Lines>
  <Paragraphs>2</Paragraphs>
  <TotalTime>80</TotalTime>
  <ScaleCrop>false</ScaleCrop>
  <LinksUpToDate>false</LinksUpToDate>
  <CharactersWithSpaces>1223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2022-05-04T08:21:00Z</dcterms:created>
  <dc:creator>微软用户</dc:creator>
  <cp:lastModifiedBy>Administrator</cp:lastModifiedBy>
  <dcterms:modified xsi:type="dcterms:W3CDTF">2022-05-17T03:58:41Z</dcterms:modified>
  <dc:title>山东省教育厅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2022-02-19T00:00:00Z</vt:filetime>
  </property>
  <property fmtid="{D5CDD505-2E9C-101B-9397-08002B2CF9AE}" pid="5" name="KSOProductBuildVer">
    <vt:lpwstr>2052-11.8.2.10393</vt:lpwstr>
  </property>
  <property fmtid="{D5CDD505-2E9C-101B-9397-08002B2CF9AE}" pid="6" name="ICV">
    <vt:lpwstr>5BB30A62E3034EA09481CA413AF8C7BB</vt:lpwstr>
  </property>
  <property fmtid="{D5CDD505-2E9C-101B-9397-08002B2CF9AE}" pid="7" name="commondata">
    <vt:lpwstr>eyJoZGlkIjoiOTc1MTA2MjU3ODgzMDhkMzE0ZTU0MjU4NGU4NDljNDMifQ==</vt:lpwstr>
  </property>
</Properties>
</file>