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sz w:val="24"/>
          <w:szCs w:val="24"/>
        </w:rPr>
      </w:pPr>
      <w:bookmarkStart w:id="0" w:name="page1"/>
      <w:bookmarkEnd w:id="0"/>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880" w:firstLineChars="200"/>
        <w:rPr>
          <w:sz w:val="44"/>
          <w:szCs w:val="44"/>
        </w:rPr>
      </w:pPr>
    </w:p>
    <w:p>
      <w:pPr>
        <w:pStyle w:val="3"/>
        <w:spacing w:before="0" w:after="0" w:line="360" w:lineRule="auto"/>
        <w:ind w:firstLine="883" w:firstLineChars="200"/>
        <w:jc w:val="center"/>
        <w:rPr>
          <w:szCs w:val="44"/>
        </w:rPr>
      </w:pPr>
      <w:r>
        <w:rPr>
          <w:rFonts w:hint="eastAsia"/>
          <w:szCs w:val="44"/>
        </w:rPr>
        <w:t>2022 年山东传媒职业学院技能大赛</w:t>
      </w:r>
    </w:p>
    <w:p>
      <w:pPr>
        <w:pStyle w:val="3"/>
        <w:spacing w:before="0" w:after="0" w:line="360" w:lineRule="auto"/>
        <w:ind w:firstLine="883" w:firstLineChars="200"/>
        <w:jc w:val="center"/>
        <w:rPr>
          <w:szCs w:val="44"/>
        </w:rPr>
      </w:pPr>
      <w:r>
        <w:rPr>
          <w:rFonts w:hint="eastAsia"/>
          <w:szCs w:val="44"/>
        </w:rPr>
        <w:t>“移动应用开发”赛项规程</w:t>
      </w: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left="360" w:firstLine="482" w:firstLineChars="200"/>
        <w:outlineLvl w:val="0"/>
        <w:rPr>
          <w:sz w:val="24"/>
          <w:szCs w:val="24"/>
        </w:rPr>
      </w:pPr>
      <w:r>
        <w:rPr>
          <w:b/>
          <w:bCs/>
          <w:color w:val="0C0C0C"/>
          <w:sz w:val="24"/>
          <w:szCs w:val="24"/>
        </w:rPr>
        <w:t>一、赛项名称</w:t>
      </w:r>
    </w:p>
    <w:p>
      <w:pPr>
        <w:ind w:firstLine="708" w:firstLineChars="295"/>
        <w:rPr>
          <w:sz w:val="24"/>
          <w:szCs w:val="24"/>
        </w:rPr>
      </w:pPr>
      <w:r>
        <w:rPr>
          <w:color w:val="0C0C0C"/>
          <w:sz w:val="24"/>
          <w:szCs w:val="24"/>
        </w:rPr>
        <w:t>赛项名称：移动应用开发</w:t>
      </w:r>
    </w:p>
    <w:p>
      <w:pPr>
        <w:ind w:left="360" w:firstLine="482" w:firstLineChars="200"/>
        <w:outlineLvl w:val="0"/>
        <w:rPr>
          <w:sz w:val="24"/>
          <w:szCs w:val="24"/>
        </w:rPr>
      </w:pPr>
      <w:r>
        <w:rPr>
          <w:b/>
          <w:bCs/>
          <w:color w:val="0C0C0C"/>
          <w:sz w:val="24"/>
          <w:szCs w:val="24"/>
        </w:rPr>
        <w:t>二、竞赛目的</w:t>
      </w:r>
    </w:p>
    <w:p>
      <w:pPr>
        <w:ind w:firstLine="480" w:firstLineChars="200"/>
        <w:rPr>
          <w:sz w:val="24"/>
          <w:szCs w:val="24"/>
        </w:rPr>
      </w:pPr>
      <w:r>
        <w:rPr>
          <w:rFonts w:hint="eastAsia"/>
          <w:sz w:val="24"/>
          <w:szCs w:val="24"/>
        </w:rPr>
        <w:t>本赛项面向产业主流技术，对接国际标准，旨在通过融合世界技能大赛的技术标准和规则要求，引领和促进教学改革，提升职业教育的国际化水平；通过完成一个完整的工作过程，使参赛选手、裁判、教师等相关人员，熟悉并掌握世界技能大赛的技术规范和技术标准，检验教学质量，达到“以赛促教、以赛促学、以赛促改、以赛促建”的目的。</w:t>
      </w:r>
    </w:p>
    <w:p>
      <w:pPr>
        <w:ind w:firstLine="480" w:firstLineChars="200"/>
        <w:rPr>
          <w:sz w:val="24"/>
          <w:szCs w:val="24"/>
        </w:rPr>
      </w:pPr>
      <w:r>
        <w:rPr>
          <w:rFonts w:hint="eastAsia"/>
          <w:sz w:val="24"/>
          <w:szCs w:val="24"/>
        </w:rPr>
        <w:t>通过竞赛培养和锻炼一批“实践能力强、教学水平高、敬业精神佳”的双师型“种子教师”师资队伍；通过竞赛转化，建设一批高质量专业、立体化的项目教学资源等，在实训条件、课程内容、专业建设、人才培养等方面为职业院校提供指导。</w:t>
      </w:r>
    </w:p>
    <w:p>
      <w:pPr>
        <w:ind w:left="360" w:firstLine="482" w:firstLineChars="200"/>
        <w:outlineLvl w:val="0"/>
        <w:rPr>
          <w:sz w:val="24"/>
          <w:szCs w:val="24"/>
        </w:rPr>
      </w:pPr>
      <w:r>
        <w:rPr>
          <w:b/>
          <w:bCs/>
          <w:color w:val="0C0C0C"/>
          <w:sz w:val="24"/>
          <w:szCs w:val="24"/>
        </w:rPr>
        <w:t>三、竞赛内容</w:t>
      </w:r>
    </w:p>
    <w:p>
      <w:pPr>
        <w:ind w:left="360" w:firstLine="482" w:firstLineChars="200"/>
        <w:rPr>
          <w:sz w:val="24"/>
          <w:szCs w:val="24"/>
        </w:rPr>
      </w:pPr>
      <w:r>
        <w:rPr>
          <w:b/>
          <w:bCs/>
          <w:color w:val="0C0C0C"/>
          <w:sz w:val="24"/>
          <w:szCs w:val="24"/>
        </w:rPr>
        <w:t>（</w:t>
      </w:r>
      <w:r>
        <w:rPr>
          <w:rFonts w:hint="eastAsia"/>
          <w:b/>
          <w:bCs/>
          <w:color w:val="0C0C0C"/>
          <w:sz w:val="24"/>
          <w:szCs w:val="24"/>
        </w:rPr>
        <w:t>一</w:t>
      </w:r>
      <w:r>
        <w:rPr>
          <w:b/>
          <w:bCs/>
          <w:color w:val="0C0C0C"/>
          <w:sz w:val="24"/>
          <w:szCs w:val="24"/>
        </w:rPr>
        <w:t>）选手需具备的能力</w:t>
      </w:r>
    </w:p>
    <w:p>
      <w:pPr>
        <w:ind w:firstLine="480" w:firstLineChars="200"/>
        <w:rPr>
          <w:sz w:val="24"/>
          <w:szCs w:val="24"/>
        </w:rPr>
      </w:pPr>
      <w:r>
        <w:rPr>
          <w:sz w:val="24"/>
          <w:szCs w:val="24"/>
        </w:rPr>
        <w:t>移动应用开发赛项基于企业真实项目、工作任务，结合高职移动应用开发专业教学标准，结合企业岗位技能需求，在规定的时间内完成指定任务的移动应用软件项目开发</w:t>
      </w:r>
      <w:r>
        <w:rPr>
          <w:rFonts w:hint="eastAsia"/>
          <w:sz w:val="24"/>
          <w:szCs w:val="24"/>
        </w:rPr>
        <w:t>。</w:t>
      </w:r>
    </w:p>
    <w:p>
      <w:pPr>
        <w:ind w:firstLine="480" w:firstLineChars="200"/>
        <w:rPr>
          <w:sz w:val="24"/>
          <w:szCs w:val="24"/>
        </w:rPr>
      </w:pPr>
      <w:r>
        <w:rPr>
          <w:sz w:val="24"/>
          <w:szCs w:val="24"/>
        </w:rPr>
        <w:t>参加本项目竞赛的选手应具备的知识和技能如表 1 所示，大赛允许 5%偏差。以下知识和技能描述分为不同部分，每部分使用百分比来表示重要性。</w:t>
      </w:r>
    </w:p>
    <w:tbl>
      <w:tblPr>
        <w:tblStyle w:val="8"/>
        <w:tblW w:w="9380" w:type="dxa"/>
        <w:tblInd w:w="98" w:type="dxa"/>
        <w:tblLayout w:type="autofit"/>
        <w:tblCellMar>
          <w:top w:w="0" w:type="dxa"/>
          <w:left w:w="108" w:type="dxa"/>
          <w:bottom w:w="0" w:type="dxa"/>
          <w:right w:w="108" w:type="dxa"/>
        </w:tblCellMar>
      </w:tblPr>
      <w:tblGrid>
        <w:gridCol w:w="1422"/>
        <w:gridCol w:w="7958"/>
      </w:tblGrid>
      <w:tr>
        <w:tblPrEx>
          <w:tblCellMar>
            <w:top w:w="0" w:type="dxa"/>
            <w:left w:w="108" w:type="dxa"/>
            <w:bottom w:w="0" w:type="dxa"/>
            <w:right w:w="108" w:type="dxa"/>
          </w:tblCellMar>
        </w:tblPrEx>
        <w:trPr>
          <w:trHeight w:val="634" w:hRule="atLeast"/>
        </w:trPr>
        <w:tc>
          <w:tcPr>
            <w:tcW w:w="9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2" w:firstLineChars="200"/>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表 1  参赛选手应具备的知识和技能</w:t>
            </w:r>
          </w:p>
        </w:tc>
      </w:tr>
      <w:tr>
        <w:tblPrEx>
          <w:tblCellMar>
            <w:top w:w="0" w:type="dxa"/>
            <w:left w:w="108" w:type="dxa"/>
            <w:bottom w:w="0" w:type="dxa"/>
            <w:right w:w="108" w:type="dxa"/>
          </w:tblCellMar>
        </w:tblPrEx>
        <w:trPr>
          <w:trHeight w:val="588" w:hRule="atLeast"/>
        </w:trPr>
        <w:tc>
          <w:tcPr>
            <w:tcW w:w="1422" w:type="dxa"/>
            <w:tcBorders>
              <w:top w:val="single" w:color="000000" w:sz="4" w:space="0"/>
              <w:left w:val="single" w:color="000000" w:sz="4" w:space="0"/>
              <w:bottom w:val="single" w:color="000000" w:sz="4" w:space="0"/>
              <w:right w:val="single" w:color="000000" w:sz="4" w:space="0"/>
            </w:tcBorders>
            <w:shd w:val="clear" w:color="auto" w:fill="C5D9F0"/>
            <w:vAlign w:val="bottom"/>
          </w:tcPr>
          <w:p>
            <w:pPr>
              <w:widowControl/>
              <w:ind w:firstLine="482" w:firstLineChars="200"/>
              <w:jc w:val="right"/>
              <w:textAlignment w:val="bottom"/>
              <w:rPr>
                <w:rFonts w:eastAsia="宋体"/>
                <w:b/>
                <w:bCs/>
                <w:color w:val="0C0C0C"/>
                <w:sz w:val="24"/>
                <w:szCs w:val="24"/>
              </w:rPr>
            </w:pPr>
            <w:r>
              <w:rPr>
                <w:rFonts w:hint="eastAsia" w:eastAsia="宋体"/>
                <w:b/>
                <w:bCs/>
                <w:color w:val="0C0C0C"/>
                <w:sz w:val="24"/>
                <w:szCs w:val="24"/>
                <w:lang w:bidi="ar"/>
              </w:rPr>
              <w:t>序号</w:t>
            </w:r>
          </w:p>
        </w:tc>
        <w:tc>
          <w:tcPr>
            <w:tcW w:w="7958" w:type="dxa"/>
            <w:tcBorders>
              <w:top w:val="single" w:color="000000" w:sz="4" w:space="0"/>
              <w:left w:val="single" w:color="000000" w:sz="4" w:space="0"/>
              <w:bottom w:val="single" w:color="000000" w:sz="4" w:space="0"/>
              <w:right w:val="single" w:color="000000" w:sz="4" w:space="0"/>
            </w:tcBorders>
            <w:shd w:val="clear" w:color="auto" w:fill="C5D9F0"/>
            <w:vAlign w:val="bottom"/>
          </w:tcPr>
          <w:p>
            <w:pPr>
              <w:widowControl/>
              <w:ind w:firstLine="482" w:firstLineChars="200"/>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技能点</w:t>
            </w:r>
          </w:p>
        </w:tc>
      </w:tr>
      <w:tr>
        <w:tblPrEx>
          <w:tblCellMar>
            <w:top w:w="0" w:type="dxa"/>
            <w:left w:w="108" w:type="dxa"/>
            <w:bottom w:w="0" w:type="dxa"/>
            <w:right w:w="108" w:type="dxa"/>
          </w:tblCellMar>
        </w:tblPrEx>
        <w:trPr>
          <w:trHeight w:val="884"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1</w:t>
            </w:r>
          </w:p>
        </w:tc>
        <w:tc>
          <w:tcPr>
            <w:tcW w:w="7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使用 Android开发语言 、iOS开发语言、MUI框架或UniAPP框架以通用设计模式实施应用程序开发</w:t>
            </w:r>
          </w:p>
        </w:tc>
      </w:tr>
      <w:tr>
        <w:tblPrEx>
          <w:tblCellMar>
            <w:top w:w="0" w:type="dxa"/>
            <w:left w:w="108" w:type="dxa"/>
            <w:bottom w:w="0" w:type="dxa"/>
            <w:right w:w="108" w:type="dxa"/>
          </w:tblCellMar>
        </w:tblPrEx>
        <w:trPr>
          <w:trHeight w:val="509"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2</w:t>
            </w:r>
          </w:p>
        </w:tc>
        <w:tc>
          <w:tcPr>
            <w:tcW w:w="7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开发、测试、优化以及相关工具的使用</w:t>
            </w:r>
          </w:p>
        </w:tc>
      </w:tr>
      <w:tr>
        <w:tblPrEx>
          <w:tblCellMar>
            <w:top w:w="0" w:type="dxa"/>
            <w:left w:w="108" w:type="dxa"/>
            <w:bottom w:w="0" w:type="dxa"/>
            <w:right w:w="108" w:type="dxa"/>
          </w:tblCellMar>
        </w:tblPrEx>
        <w:trPr>
          <w:trHeight w:val="509"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3</w:t>
            </w:r>
          </w:p>
        </w:tc>
        <w:tc>
          <w:tcPr>
            <w:tcW w:w="7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进行频繁的测试以确保有效的开发方法</w:t>
            </w:r>
          </w:p>
        </w:tc>
      </w:tr>
      <w:tr>
        <w:tblPrEx>
          <w:tblCellMar>
            <w:top w:w="0" w:type="dxa"/>
            <w:left w:w="108" w:type="dxa"/>
            <w:bottom w:w="0" w:type="dxa"/>
            <w:right w:w="108" w:type="dxa"/>
          </w:tblCellMar>
        </w:tblPrEx>
        <w:trPr>
          <w:trHeight w:val="509"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4</w:t>
            </w:r>
          </w:p>
        </w:tc>
        <w:tc>
          <w:tcPr>
            <w:tcW w:w="7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移动应用程序的故障查找方法</w:t>
            </w:r>
          </w:p>
        </w:tc>
      </w:tr>
      <w:tr>
        <w:tblPrEx>
          <w:tblCellMar>
            <w:top w:w="0" w:type="dxa"/>
            <w:left w:w="108" w:type="dxa"/>
            <w:bottom w:w="0" w:type="dxa"/>
            <w:right w:w="108" w:type="dxa"/>
          </w:tblCellMar>
        </w:tblPrEx>
        <w:trPr>
          <w:trHeight w:val="519" w:hRule="atLeast"/>
        </w:trPr>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5</w:t>
            </w:r>
          </w:p>
        </w:tc>
        <w:tc>
          <w:tcPr>
            <w:tcW w:w="79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通过编程实现用户交互效果、动画和数据交互</w:t>
            </w:r>
          </w:p>
        </w:tc>
      </w:tr>
    </w:tbl>
    <w:p>
      <w:pPr>
        <w:ind w:firstLine="480" w:firstLineChars="200"/>
        <w:rPr>
          <w:sz w:val="24"/>
          <w:szCs w:val="24"/>
        </w:rPr>
      </w:pPr>
    </w:p>
    <w:p>
      <w:pPr>
        <w:ind w:left="360" w:firstLine="482" w:firstLineChars="200"/>
        <w:rPr>
          <w:sz w:val="24"/>
          <w:szCs w:val="24"/>
        </w:rPr>
      </w:pPr>
      <w:r>
        <w:rPr>
          <w:b/>
          <w:bCs/>
          <w:color w:val="0C0C0C"/>
          <w:sz w:val="24"/>
          <w:szCs w:val="24"/>
        </w:rPr>
        <w:t>（三）竞赛模块</w:t>
      </w:r>
    </w:p>
    <w:p>
      <w:pPr>
        <w:ind w:firstLine="480" w:firstLineChars="200"/>
        <w:rPr>
          <w:sz w:val="24"/>
          <w:szCs w:val="24"/>
        </w:rPr>
      </w:pPr>
      <w:r>
        <w:rPr>
          <w:sz w:val="24"/>
          <w:szCs w:val="24"/>
        </w:rPr>
        <w:t>移动应用开发赛项基于企业真实项目和高职移动应用开发专业教学标准，融合了世界技能大赛移动应用开发项目的技术要求，结合</w:t>
      </w:r>
      <w:bookmarkStart w:id="1" w:name="page8"/>
      <w:bookmarkEnd w:id="1"/>
      <w:r>
        <w:rPr>
          <w:sz w:val="24"/>
          <w:szCs w:val="24"/>
        </w:rPr>
        <w:t xml:space="preserve">企业岗位技能需求，在 </w:t>
      </w:r>
      <w:r>
        <w:rPr>
          <w:rFonts w:hint="eastAsia"/>
          <w:sz w:val="24"/>
          <w:szCs w:val="24"/>
        </w:rPr>
        <w:t>3个小时的时间内</w:t>
      </w:r>
      <w:r>
        <w:rPr>
          <w:sz w:val="24"/>
          <w:szCs w:val="24"/>
        </w:rPr>
        <w:t>，完成指定任务的移动应用开发工程项目，包括：项目实施和产品开发；最终产品测试、故障排除和优化等。</w:t>
      </w:r>
    </w:p>
    <w:p>
      <w:pPr>
        <w:ind w:firstLine="480" w:firstLineChars="200"/>
        <w:rPr>
          <w:sz w:val="24"/>
          <w:szCs w:val="24"/>
        </w:rPr>
      </w:pPr>
      <w:r>
        <w:rPr>
          <w:sz w:val="24"/>
          <w:szCs w:val="24"/>
        </w:rPr>
        <w:t>本赛项主要考核参赛选手在编码能力、创意创新能力、产品测试与交付能力等方面技能。</w:t>
      </w:r>
    </w:p>
    <w:p>
      <w:pPr>
        <w:ind w:firstLine="480" w:firstLineChars="200"/>
        <w:rPr>
          <w:sz w:val="24"/>
          <w:szCs w:val="24"/>
        </w:rPr>
      </w:pPr>
      <w:r>
        <w:rPr>
          <w:sz w:val="24"/>
          <w:szCs w:val="24"/>
        </w:rPr>
        <w:t>竞赛内容、时间及各模块权重分配如表 2 所示。</w:t>
      </w:r>
    </w:p>
    <w:p>
      <w:pPr>
        <w:ind w:firstLine="480" w:firstLineChars="200"/>
        <w:rPr>
          <w:sz w:val="24"/>
          <w:szCs w:val="24"/>
        </w:rPr>
      </w:pPr>
    </w:p>
    <w:tbl>
      <w:tblPr>
        <w:tblStyle w:val="8"/>
        <w:tblW w:w="9820" w:type="dxa"/>
        <w:tblInd w:w="98" w:type="dxa"/>
        <w:tblLayout w:type="autofit"/>
        <w:tblCellMar>
          <w:top w:w="0" w:type="dxa"/>
          <w:left w:w="108" w:type="dxa"/>
          <w:bottom w:w="0" w:type="dxa"/>
          <w:right w:w="108" w:type="dxa"/>
        </w:tblCellMar>
      </w:tblPr>
      <w:tblGrid>
        <w:gridCol w:w="1380"/>
        <w:gridCol w:w="2430"/>
        <w:gridCol w:w="2471"/>
        <w:gridCol w:w="1307"/>
        <w:gridCol w:w="1056"/>
        <w:gridCol w:w="1176"/>
      </w:tblGrid>
      <w:tr>
        <w:tblPrEx>
          <w:tblCellMar>
            <w:top w:w="0" w:type="dxa"/>
            <w:left w:w="108" w:type="dxa"/>
            <w:bottom w:w="0" w:type="dxa"/>
            <w:right w:w="108" w:type="dxa"/>
          </w:tblCellMar>
        </w:tblPrEx>
        <w:trPr>
          <w:trHeight w:val="408" w:hRule="atLeast"/>
        </w:trPr>
        <w:tc>
          <w:tcPr>
            <w:tcW w:w="9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2" w:firstLineChars="200"/>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表 2 竞赛内容、时间及各模块权重分配表</w:t>
            </w:r>
          </w:p>
        </w:tc>
      </w:tr>
      <w:tr>
        <w:tblPrEx>
          <w:tblCellMar>
            <w:top w:w="0" w:type="dxa"/>
            <w:left w:w="108" w:type="dxa"/>
            <w:bottom w:w="0" w:type="dxa"/>
            <w:right w:w="108" w:type="dxa"/>
          </w:tblCellMar>
        </w:tblPrEx>
        <w:trPr>
          <w:trHeight w:val="474" w:hRule="atLeast"/>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模块编号</w:t>
            </w:r>
          </w:p>
        </w:tc>
        <w:tc>
          <w:tcPr>
            <w:tcW w:w="2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模块名称</w:t>
            </w:r>
          </w:p>
        </w:tc>
        <w:tc>
          <w:tcPr>
            <w:tcW w:w="2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竞赛时间</w:t>
            </w:r>
          </w:p>
        </w:tc>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分数</w:t>
            </w:r>
          </w:p>
        </w:tc>
      </w:tr>
      <w:tr>
        <w:tblPrEx>
          <w:tblCellMar>
            <w:top w:w="0" w:type="dxa"/>
            <w:left w:w="108" w:type="dxa"/>
            <w:bottom w:w="0" w:type="dxa"/>
            <w:right w:w="108" w:type="dxa"/>
          </w:tblCellMar>
        </w:tblPrEx>
        <w:trPr>
          <w:trHeight w:val="572" w:hRule="atLeast"/>
        </w:trPr>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cs="仿宋"/>
                <w:b/>
                <w:bCs/>
                <w:color w:val="0C0C0C"/>
                <w:sz w:val="24"/>
                <w:szCs w:val="24"/>
              </w:rPr>
            </w:pPr>
          </w:p>
        </w:tc>
        <w:tc>
          <w:tcPr>
            <w:tcW w:w="2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cs="仿宋"/>
                <w:b/>
                <w:bCs/>
                <w:color w:val="0C0C0C"/>
                <w:sz w:val="24"/>
                <w:szCs w:val="24"/>
              </w:rPr>
            </w:pPr>
          </w:p>
        </w:tc>
        <w:tc>
          <w:tcPr>
            <w:tcW w:w="2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cs="仿宋"/>
                <w:b/>
                <w:bCs/>
                <w:color w:val="0C0C0C"/>
                <w:sz w:val="24"/>
                <w:szCs w:val="24"/>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评价分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测量分</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合计</w:t>
            </w:r>
          </w:p>
        </w:tc>
      </w:tr>
      <w:tr>
        <w:tblPrEx>
          <w:tblCellMar>
            <w:top w:w="0" w:type="dxa"/>
            <w:left w:w="108" w:type="dxa"/>
            <w:bottom w:w="0" w:type="dxa"/>
            <w:right w:w="108" w:type="dxa"/>
          </w:tblCellMar>
        </w:tblPrEx>
        <w:trPr>
          <w:trHeight w:val="4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A</w:t>
            </w:r>
          </w:p>
        </w:tc>
        <w:tc>
          <w:tcPr>
            <w:tcW w:w="2483"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功能模块开发</w:t>
            </w:r>
          </w:p>
        </w:tc>
        <w:tc>
          <w:tcPr>
            <w:tcW w:w="2530"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3 小时</w:t>
            </w:r>
          </w:p>
        </w:tc>
        <w:tc>
          <w:tcPr>
            <w:tcW w:w="1317"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30</w:t>
            </w:r>
          </w:p>
        </w:tc>
        <w:tc>
          <w:tcPr>
            <w:tcW w:w="982"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70</w:t>
            </w:r>
          </w:p>
        </w:tc>
        <w:tc>
          <w:tcPr>
            <w:tcW w:w="1111" w:type="dxa"/>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jc w:val="center"/>
              <w:textAlignment w:val="top"/>
              <w:rPr>
                <w:rFonts w:ascii="仿宋" w:hAnsi="仿宋" w:cs="仿宋"/>
                <w:color w:val="0C0C0C"/>
                <w:sz w:val="24"/>
                <w:szCs w:val="24"/>
              </w:rPr>
            </w:pPr>
            <w:r>
              <w:rPr>
                <w:rFonts w:hint="eastAsia" w:ascii="仿宋" w:hAnsi="仿宋" w:cs="仿宋"/>
                <w:color w:val="0C0C0C"/>
                <w:sz w:val="24"/>
                <w:szCs w:val="24"/>
                <w:lang w:bidi="ar"/>
              </w:rPr>
              <w:t>100</w:t>
            </w:r>
          </w:p>
        </w:tc>
      </w:tr>
    </w:tbl>
    <w:p>
      <w:pPr>
        <w:ind w:firstLine="482" w:firstLineChars="200"/>
        <w:rPr>
          <w:b/>
          <w:bCs/>
          <w:color w:val="0C0C0C"/>
          <w:sz w:val="24"/>
          <w:szCs w:val="24"/>
        </w:rPr>
      </w:pPr>
      <w:bookmarkStart w:id="2" w:name="page9"/>
      <w:bookmarkEnd w:id="2"/>
    </w:p>
    <w:p>
      <w:pPr>
        <w:ind w:firstLine="482" w:firstLineChars="200"/>
        <w:rPr>
          <w:sz w:val="24"/>
          <w:szCs w:val="24"/>
        </w:rPr>
      </w:pPr>
      <w:r>
        <w:rPr>
          <w:b/>
          <w:bCs/>
          <w:color w:val="0C0C0C"/>
          <w:sz w:val="24"/>
          <w:szCs w:val="24"/>
        </w:rPr>
        <w:t>模块</w:t>
      </w:r>
      <w:r>
        <w:rPr>
          <w:rFonts w:ascii="Times New Roman" w:hAnsi="Times New Roman" w:eastAsia="Times New Roman" w:cs="Times New Roman"/>
          <w:b/>
          <w:bCs/>
          <w:color w:val="0C0C0C"/>
          <w:sz w:val="24"/>
          <w:szCs w:val="24"/>
        </w:rPr>
        <w:t xml:space="preserve"> </w:t>
      </w:r>
      <w:r>
        <w:rPr>
          <w:rFonts w:hint="eastAsia" w:ascii="Times New Roman" w:hAnsi="Times New Roman" w:cs="Times New Roman"/>
          <w:b/>
          <w:bCs/>
          <w:color w:val="0C0C0C"/>
          <w:sz w:val="24"/>
          <w:szCs w:val="24"/>
        </w:rPr>
        <w:t>A</w:t>
      </w:r>
      <w:r>
        <w:rPr>
          <w:b/>
          <w:bCs/>
          <w:color w:val="0C0C0C"/>
          <w:sz w:val="24"/>
          <w:szCs w:val="24"/>
        </w:rPr>
        <w:t>：功能模块开发（</w:t>
      </w:r>
      <w:r>
        <w:rPr>
          <w:rFonts w:hint="eastAsia" w:ascii="Times New Roman" w:hAnsi="Times New Roman" w:cs="Times New Roman"/>
          <w:b/>
          <w:bCs/>
          <w:color w:val="0C0C0C"/>
          <w:sz w:val="24"/>
          <w:szCs w:val="24"/>
        </w:rPr>
        <w:t>3</w:t>
      </w:r>
      <w:r>
        <w:rPr>
          <w:rFonts w:ascii="Times New Roman" w:hAnsi="Times New Roman" w:eastAsia="Times New Roman" w:cs="Times New Roman"/>
          <w:b/>
          <w:bCs/>
          <w:color w:val="0C0C0C"/>
          <w:sz w:val="24"/>
          <w:szCs w:val="24"/>
        </w:rPr>
        <w:t xml:space="preserve"> </w:t>
      </w:r>
      <w:r>
        <w:rPr>
          <w:b/>
          <w:bCs/>
          <w:color w:val="0C0C0C"/>
          <w:sz w:val="24"/>
          <w:szCs w:val="24"/>
        </w:rPr>
        <w:t>小时）</w:t>
      </w:r>
    </w:p>
    <w:p>
      <w:pPr>
        <w:ind w:firstLine="480" w:firstLineChars="200"/>
        <w:rPr>
          <w:sz w:val="24"/>
          <w:szCs w:val="24"/>
        </w:rPr>
      </w:pPr>
      <w:r>
        <w:rPr>
          <w:sz w:val="24"/>
          <w:szCs w:val="24"/>
        </w:rPr>
        <w:t>此模块重点考查参赛选手的代码编写能力，参赛选手根据要求进行项目创建，构建通信等基本应用架构。此模块包括两部分：</w:t>
      </w:r>
    </w:p>
    <w:p>
      <w:pPr>
        <w:numPr>
          <w:ilvl w:val="0"/>
          <w:numId w:val="1"/>
        </w:numPr>
        <w:ind w:firstLine="480" w:firstLineChars="200"/>
        <w:rPr>
          <w:sz w:val="24"/>
          <w:szCs w:val="24"/>
        </w:rPr>
      </w:pPr>
      <w:r>
        <w:rPr>
          <w:sz w:val="24"/>
          <w:szCs w:val="24"/>
        </w:rPr>
        <w:t>遵循移动应用开发流程和规范，依照模块的功能具体要求进行每个模块的代码编写</w:t>
      </w:r>
      <w:r>
        <w:rPr>
          <w:rFonts w:hint="eastAsia"/>
          <w:sz w:val="24"/>
          <w:szCs w:val="24"/>
        </w:rPr>
        <w:t>。</w:t>
      </w:r>
    </w:p>
    <w:p>
      <w:pPr>
        <w:numPr>
          <w:ilvl w:val="0"/>
          <w:numId w:val="1"/>
        </w:numPr>
        <w:ind w:firstLine="480" w:firstLineChars="200"/>
        <w:rPr>
          <w:sz w:val="24"/>
          <w:szCs w:val="24"/>
        </w:rPr>
      </w:pPr>
      <w:r>
        <w:rPr>
          <w:sz w:val="24"/>
          <w:szCs w:val="24"/>
        </w:rPr>
        <w:t>基于特定主题，结合业务要求，进行模块的自主设计与开发。应用需要自适应手机界面。</w:t>
      </w:r>
    </w:p>
    <w:p>
      <w:pPr>
        <w:ind w:firstLine="480" w:firstLineChars="200"/>
        <w:rPr>
          <w:sz w:val="24"/>
          <w:szCs w:val="24"/>
        </w:rPr>
      </w:pPr>
    </w:p>
    <w:p>
      <w:pPr>
        <w:ind w:left="-142" w:firstLine="482" w:firstLineChars="200"/>
        <w:outlineLvl w:val="0"/>
        <w:rPr>
          <w:sz w:val="24"/>
          <w:szCs w:val="24"/>
        </w:rPr>
      </w:pPr>
      <w:r>
        <w:rPr>
          <w:b/>
          <w:bCs/>
          <w:color w:val="0C0C0C"/>
          <w:sz w:val="24"/>
          <w:szCs w:val="24"/>
        </w:rPr>
        <w:t>四、竞赛方式</w:t>
      </w:r>
    </w:p>
    <w:p>
      <w:pPr>
        <w:ind w:firstLine="482" w:firstLineChars="200"/>
        <w:outlineLvl w:val="1"/>
        <w:rPr>
          <w:sz w:val="24"/>
          <w:szCs w:val="24"/>
        </w:rPr>
      </w:pPr>
      <w:r>
        <w:rPr>
          <w:b/>
          <w:bCs/>
          <w:color w:val="0C0C0C"/>
          <w:sz w:val="24"/>
          <w:szCs w:val="24"/>
        </w:rPr>
        <w:t>（一）选手构成</w:t>
      </w:r>
    </w:p>
    <w:p>
      <w:pPr>
        <w:ind w:left="-142" w:right="366" w:firstLine="480" w:firstLineChars="200"/>
        <w:rPr>
          <w:sz w:val="24"/>
          <w:szCs w:val="24"/>
        </w:rPr>
      </w:pPr>
      <w:r>
        <w:rPr>
          <w:color w:val="0C0C0C"/>
          <w:sz w:val="24"/>
          <w:szCs w:val="24"/>
        </w:rPr>
        <w:t>本赛项为个人技能赛，每支参赛队由</w:t>
      </w:r>
      <w:r>
        <w:rPr>
          <w:rFonts w:ascii="Times New Roman" w:hAnsi="Times New Roman" w:eastAsia="Times New Roman" w:cs="Times New Roman"/>
          <w:color w:val="0C0C0C"/>
          <w:sz w:val="24"/>
          <w:szCs w:val="24"/>
        </w:rPr>
        <w:t xml:space="preserve"> 1 </w:t>
      </w:r>
      <w:r>
        <w:rPr>
          <w:color w:val="0C0C0C"/>
          <w:sz w:val="24"/>
          <w:szCs w:val="24"/>
        </w:rPr>
        <w:t>名选手组成，个人赛每队限报</w:t>
      </w:r>
      <w:r>
        <w:rPr>
          <w:rFonts w:ascii="Times New Roman" w:hAnsi="Times New Roman" w:eastAsia="Times New Roman" w:cs="Times New Roman"/>
          <w:color w:val="0C0C0C"/>
          <w:sz w:val="24"/>
          <w:szCs w:val="24"/>
        </w:rPr>
        <w:t xml:space="preserve"> 1 </w:t>
      </w:r>
      <w:r>
        <w:rPr>
          <w:color w:val="0C0C0C"/>
          <w:sz w:val="24"/>
          <w:szCs w:val="24"/>
        </w:rPr>
        <w:t>名指导教师，指导教师须为本校专、兼职教师。</w:t>
      </w:r>
    </w:p>
    <w:p>
      <w:pPr>
        <w:ind w:firstLine="482" w:firstLineChars="200"/>
        <w:outlineLvl w:val="1"/>
        <w:rPr>
          <w:sz w:val="24"/>
          <w:szCs w:val="24"/>
        </w:rPr>
      </w:pPr>
      <w:r>
        <w:rPr>
          <w:b/>
          <w:bCs/>
          <w:color w:val="0C0C0C"/>
          <w:sz w:val="24"/>
          <w:szCs w:val="24"/>
        </w:rPr>
        <w:t>（二）竞赛时间安排</w:t>
      </w:r>
    </w:p>
    <w:p>
      <w:pPr>
        <w:ind w:right="366" w:firstLine="480" w:firstLineChars="200"/>
        <w:rPr>
          <w:sz w:val="24"/>
          <w:szCs w:val="24"/>
        </w:rPr>
      </w:pPr>
      <w:r>
        <w:rPr>
          <w:rFonts w:hint="eastAsia"/>
          <w:color w:val="0C0C0C"/>
          <w:sz w:val="24"/>
          <w:szCs w:val="24"/>
        </w:rPr>
        <w:t>参赛选手在现场根据给定的项目任务，在指定设备上完成“功能模块开发”竞赛模块。所有参赛队按照指定时间完成比赛任务。累计竞赛时间为3小时。</w:t>
      </w:r>
    </w:p>
    <w:p>
      <w:pPr>
        <w:ind w:left="-142" w:firstLine="482" w:firstLineChars="200"/>
        <w:outlineLvl w:val="1"/>
        <w:rPr>
          <w:sz w:val="24"/>
          <w:szCs w:val="24"/>
        </w:rPr>
      </w:pPr>
      <w:bookmarkStart w:id="3" w:name="page11"/>
      <w:bookmarkEnd w:id="3"/>
      <w:r>
        <w:rPr>
          <w:b/>
          <w:bCs/>
          <w:color w:val="0C0C0C"/>
          <w:sz w:val="24"/>
          <w:szCs w:val="24"/>
        </w:rPr>
        <w:t>（三）竞赛评分</w:t>
      </w:r>
    </w:p>
    <w:p>
      <w:pPr>
        <w:ind w:firstLine="480" w:firstLineChars="200"/>
        <w:rPr>
          <w:sz w:val="24"/>
          <w:szCs w:val="24"/>
        </w:rPr>
      </w:pPr>
      <w:r>
        <w:rPr>
          <w:color w:val="0C0C0C"/>
          <w:sz w:val="24"/>
          <w:szCs w:val="24"/>
        </w:rPr>
        <w:t>本赛项由评分裁判对各参赛队伍提交的作品采取测量性结果</w:t>
      </w:r>
    </w:p>
    <w:p>
      <w:pPr>
        <w:ind w:firstLine="566" w:firstLineChars="236"/>
        <w:rPr>
          <w:color w:val="0C0C0C"/>
          <w:sz w:val="24"/>
          <w:szCs w:val="24"/>
        </w:rPr>
      </w:pPr>
      <w:r>
        <w:rPr>
          <w:color w:val="0C0C0C"/>
          <w:sz w:val="24"/>
          <w:szCs w:val="24"/>
        </w:rPr>
        <w:t>评分和评价性结果评分相结合的方式进行评分。各参赛队总成绩</w:t>
      </w:r>
      <w:r>
        <w:rPr>
          <w:rFonts w:ascii="Times New Roman" w:hAnsi="Times New Roman" w:eastAsia="Times New Roman" w:cs="Times New Roman"/>
          <w:color w:val="0C0C0C"/>
          <w:sz w:val="24"/>
          <w:szCs w:val="24"/>
        </w:rPr>
        <w:t>=</w:t>
      </w:r>
      <w:r>
        <w:rPr>
          <w:color w:val="0C0C0C"/>
          <w:sz w:val="24"/>
          <w:szCs w:val="24"/>
        </w:rPr>
        <w:t>需求分功能模块开发模块得分。</w:t>
      </w:r>
    </w:p>
    <w:p>
      <w:pPr>
        <w:ind w:firstLine="480" w:firstLineChars="200"/>
        <w:rPr>
          <w:sz w:val="24"/>
          <w:szCs w:val="24"/>
        </w:rPr>
      </w:pPr>
    </w:p>
    <w:p>
      <w:pPr>
        <w:ind w:firstLine="480" w:firstLineChars="200"/>
        <w:rPr>
          <w:sz w:val="24"/>
          <w:szCs w:val="24"/>
        </w:rPr>
      </w:pPr>
    </w:p>
    <w:p>
      <w:pPr>
        <w:ind w:left="360" w:firstLine="482" w:firstLineChars="200"/>
        <w:outlineLvl w:val="0"/>
        <w:rPr>
          <w:sz w:val="24"/>
          <w:szCs w:val="24"/>
        </w:rPr>
      </w:pPr>
      <w:r>
        <w:rPr>
          <w:b/>
          <w:bCs/>
          <w:color w:val="0C0C0C"/>
          <w:sz w:val="24"/>
          <w:szCs w:val="24"/>
        </w:rPr>
        <w:t>五、竞赛</w:t>
      </w:r>
      <w:r>
        <w:rPr>
          <w:rFonts w:hint="eastAsia"/>
          <w:b/>
          <w:bCs/>
          <w:color w:val="0C0C0C"/>
          <w:sz w:val="24"/>
          <w:szCs w:val="24"/>
        </w:rPr>
        <w:t>时间</w:t>
      </w:r>
    </w:p>
    <w:tbl>
      <w:tblPr>
        <w:tblStyle w:val="8"/>
        <w:tblW w:w="890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1900"/>
        <w:gridCol w:w="5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trPr>
        <w:tc>
          <w:tcPr>
            <w:tcW w:w="8900" w:type="dxa"/>
            <w:gridSpan w:val="3"/>
            <w:vAlign w:val="center"/>
          </w:tcPr>
          <w:p>
            <w:pPr>
              <w:spacing w:line="240" w:lineRule="auto"/>
              <w:jc w:val="center"/>
              <w:rPr>
                <w:sz w:val="24"/>
                <w:szCs w:val="24"/>
              </w:rPr>
            </w:pPr>
            <w:bookmarkStart w:id="4" w:name="page12"/>
            <w:bookmarkEnd w:id="4"/>
            <w:r>
              <w:rPr>
                <w:b/>
                <w:bCs/>
                <w:color w:val="0C0C0C"/>
                <w:sz w:val="24"/>
                <w:szCs w:val="24"/>
              </w:rPr>
              <w:t>表</w:t>
            </w:r>
            <w:r>
              <w:rPr>
                <w:rFonts w:ascii="Times New Roman" w:hAnsi="Times New Roman" w:eastAsia="Times New Roman" w:cs="Times New Roman"/>
                <w:b/>
                <w:bCs/>
                <w:color w:val="0C0C0C"/>
                <w:sz w:val="24"/>
                <w:szCs w:val="24"/>
              </w:rPr>
              <w:t xml:space="preserve"> 3   </w:t>
            </w:r>
            <w:r>
              <w:rPr>
                <w:b/>
                <w:bCs/>
                <w:color w:val="0C0C0C"/>
                <w:sz w:val="24"/>
                <w:szCs w:val="24"/>
              </w:rPr>
              <w:t>竞赛时间表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1500" w:type="dxa"/>
            <w:vAlign w:val="bottom"/>
          </w:tcPr>
          <w:p>
            <w:pPr>
              <w:spacing w:line="240" w:lineRule="auto"/>
              <w:jc w:val="center"/>
              <w:rPr>
                <w:sz w:val="24"/>
                <w:szCs w:val="24"/>
              </w:rPr>
            </w:pPr>
            <w:r>
              <w:rPr>
                <w:b/>
                <w:bCs/>
                <w:color w:val="0C0C0C"/>
                <w:w w:val="99"/>
                <w:sz w:val="24"/>
                <w:szCs w:val="24"/>
              </w:rPr>
              <w:t>日期</w:t>
            </w:r>
          </w:p>
        </w:tc>
        <w:tc>
          <w:tcPr>
            <w:tcW w:w="1900" w:type="dxa"/>
            <w:vAlign w:val="bottom"/>
          </w:tcPr>
          <w:p>
            <w:pPr>
              <w:spacing w:line="240" w:lineRule="auto"/>
              <w:ind w:left="700"/>
              <w:rPr>
                <w:sz w:val="24"/>
                <w:szCs w:val="24"/>
              </w:rPr>
            </w:pPr>
            <w:r>
              <w:rPr>
                <w:b/>
                <w:bCs/>
                <w:color w:val="0C0C0C"/>
                <w:sz w:val="24"/>
                <w:szCs w:val="24"/>
              </w:rPr>
              <w:t>时间</w:t>
            </w:r>
          </w:p>
        </w:tc>
        <w:tc>
          <w:tcPr>
            <w:tcW w:w="5500" w:type="dxa"/>
            <w:vAlign w:val="bottom"/>
          </w:tcPr>
          <w:p>
            <w:pPr>
              <w:spacing w:line="240" w:lineRule="auto"/>
              <w:ind w:left="2320"/>
              <w:rPr>
                <w:sz w:val="24"/>
                <w:szCs w:val="24"/>
              </w:rPr>
            </w:pPr>
            <w:r>
              <w:rPr>
                <w:b/>
                <w:bCs/>
                <w:color w:val="0C0C0C"/>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trPr>
        <w:tc>
          <w:tcPr>
            <w:tcW w:w="1500" w:type="dxa"/>
            <w:vMerge w:val="restart"/>
            <w:vAlign w:val="bottom"/>
          </w:tcPr>
          <w:p>
            <w:pPr>
              <w:spacing w:line="240" w:lineRule="auto"/>
              <w:jc w:val="center"/>
              <w:rPr>
                <w:sz w:val="24"/>
                <w:szCs w:val="24"/>
              </w:rPr>
            </w:pPr>
            <w:r>
              <w:rPr>
                <w:rFonts w:ascii="Times New Roman" w:hAnsi="Times New Roman" w:eastAsia="Times New Roman" w:cs="Times New Roman"/>
                <w:color w:val="0C0C0C"/>
                <w:w w:val="99"/>
                <w:sz w:val="24"/>
                <w:szCs w:val="24"/>
              </w:rPr>
              <w:t>6</w:t>
            </w:r>
            <w:r>
              <w:rPr>
                <w:rFonts w:hint="eastAsia" w:cs="Times New Roman" w:asciiTheme="minorEastAsia" w:hAnsiTheme="minorEastAsia" w:eastAsiaTheme="minorEastAsia"/>
                <w:color w:val="0C0C0C"/>
                <w:w w:val="99"/>
                <w:sz w:val="24"/>
                <w:szCs w:val="24"/>
              </w:rPr>
              <w:t>月</w:t>
            </w:r>
            <w:r>
              <w:rPr>
                <w:rFonts w:ascii="Times New Roman" w:hAnsi="Times New Roman" w:eastAsia="Times New Roman" w:cs="Times New Roman"/>
                <w:color w:val="0C0C0C"/>
                <w:w w:val="99"/>
                <w:sz w:val="24"/>
                <w:szCs w:val="24"/>
              </w:rPr>
              <w:t>8</w:t>
            </w:r>
            <w:r>
              <w:rPr>
                <w:rFonts w:hint="eastAsia" w:cs="Times New Roman" w:asciiTheme="minorEastAsia" w:hAnsiTheme="minorEastAsia" w:eastAsiaTheme="minorEastAsia"/>
                <w:color w:val="0C0C0C"/>
                <w:w w:val="99"/>
                <w:sz w:val="24"/>
                <w:szCs w:val="24"/>
              </w:rPr>
              <w:t>日</w:t>
            </w:r>
          </w:p>
        </w:tc>
        <w:tc>
          <w:tcPr>
            <w:tcW w:w="1900" w:type="dxa"/>
            <w:vAlign w:val="bottom"/>
          </w:tcPr>
          <w:p>
            <w:pPr>
              <w:spacing w:line="240" w:lineRule="auto"/>
              <w:ind w:left="100"/>
              <w:rPr>
                <w:sz w:val="24"/>
                <w:szCs w:val="24"/>
              </w:rPr>
            </w:pPr>
            <w:r>
              <w:rPr>
                <w:rFonts w:ascii="Times New Roman" w:hAnsi="Times New Roman" w:eastAsia="Times New Roman" w:cs="Times New Roman"/>
                <w:color w:val="0C0C0C"/>
                <w:sz w:val="24"/>
                <w:szCs w:val="24"/>
              </w:rPr>
              <w:t>16:00</w:t>
            </w:r>
            <w:r>
              <w:rPr>
                <w:rFonts w:ascii="Arial" w:hAnsi="Arial" w:eastAsia="Arial" w:cs="Arial"/>
                <w:color w:val="0C0C0C"/>
                <w:sz w:val="24"/>
                <w:szCs w:val="24"/>
              </w:rPr>
              <w:t>—</w:t>
            </w:r>
            <w:r>
              <w:rPr>
                <w:rFonts w:ascii="Times New Roman" w:hAnsi="Times New Roman" w:eastAsia="Times New Roman" w:cs="Times New Roman"/>
                <w:color w:val="0C0C0C"/>
                <w:sz w:val="24"/>
                <w:szCs w:val="24"/>
              </w:rPr>
              <w:t>16:30</w:t>
            </w:r>
          </w:p>
        </w:tc>
        <w:tc>
          <w:tcPr>
            <w:tcW w:w="5500" w:type="dxa"/>
            <w:vAlign w:val="bottom"/>
          </w:tcPr>
          <w:p>
            <w:pPr>
              <w:spacing w:line="240" w:lineRule="auto"/>
              <w:ind w:left="80"/>
              <w:rPr>
                <w:sz w:val="24"/>
                <w:szCs w:val="24"/>
              </w:rPr>
            </w:pPr>
            <w:r>
              <w:rPr>
                <w:color w:val="0C0C0C"/>
                <w:sz w:val="24"/>
                <w:szCs w:val="24"/>
              </w:rPr>
              <w:t>参赛队熟悉比赛场地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1500" w:type="dxa"/>
            <w:vMerge w:val="continue"/>
            <w:vAlign w:val="bottom"/>
          </w:tcPr>
          <w:p>
            <w:pPr>
              <w:spacing w:line="240" w:lineRule="auto"/>
              <w:rPr>
                <w:sz w:val="24"/>
                <w:szCs w:val="24"/>
              </w:rPr>
            </w:pPr>
          </w:p>
        </w:tc>
        <w:tc>
          <w:tcPr>
            <w:tcW w:w="1900" w:type="dxa"/>
            <w:vAlign w:val="bottom"/>
          </w:tcPr>
          <w:p>
            <w:pPr>
              <w:spacing w:line="240" w:lineRule="auto"/>
              <w:ind w:left="100"/>
              <w:rPr>
                <w:sz w:val="24"/>
                <w:szCs w:val="24"/>
              </w:rPr>
            </w:pPr>
            <w:r>
              <w:rPr>
                <w:rFonts w:ascii="Times New Roman" w:hAnsi="Times New Roman" w:eastAsia="Times New Roman" w:cs="Times New Roman"/>
                <w:color w:val="0C0C0C"/>
                <w:sz w:val="24"/>
                <w:szCs w:val="24"/>
              </w:rPr>
              <w:t>17:00</w:t>
            </w:r>
            <w:r>
              <w:rPr>
                <w:rFonts w:ascii="Arial" w:hAnsi="Arial" w:eastAsia="Arial" w:cs="Arial"/>
                <w:color w:val="0C0C0C"/>
                <w:sz w:val="24"/>
                <w:szCs w:val="24"/>
              </w:rPr>
              <w:t>—</w:t>
            </w:r>
            <w:r>
              <w:rPr>
                <w:rFonts w:ascii="Times New Roman" w:hAnsi="Times New Roman" w:eastAsia="Times New Roman" w:cs="Times New Roman"/>
                <w:color w:val="0C0C0C"/>
                <w:sz w:val="24"/>
                <w:szCs w:val="24"/>
              </w:rPr>
              <w:t>18:00</w:t>
            </w:r>
          </w:p>
        </w:tc>
        <w:tc>
          <w:tcPr>
            <w:tcW w:w="5500" w:type="dxa"/>
            <w:vAlign w:val="bottom"/>
          </w:tcPr>
          <w:p>
            <w:pPr>
              <w:spacing w:line="240" w:lineRule="auto"/>
              <w:ind w:left="80"/>
              <w:rPr>
                <w:sz w:val="24"/>
                <w:szCs w:val="24"/>
              </w:rPr>
            </w:pPr>
            <w:r>
              <w:rPr>
                <w:color w:val="0C0C0C"/>
                <w:sz w:val="24"/>
                <w:szCs w:val="24"/>
              </w:rPr>
              <w:t>现场裁判赛前检查，封闭赛场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1500" w:type="dxa"/>
            <w:vMerge w:val="restart"/>
            <w:vAlign w:val="center"/>
          </w:tcPr>
          <w:p>
            <w:pPr>
              <w:spacing w:line="240" w:lineRule="auto"/>
              <w:jc w:val="center"/>
              <w:rPr>
                <w:sz w:val="24"/>
                <w:szCs w:val="24"/>
              </w:rPr>
            </w:pPr>
            <w:r>
              <w:rPr>
                <w:rFonts w:ascii="Times New Roman" w:hAnsi="Times New Roman" w:eastAsia="Times New Roman" w:cs="Times New Roman"/>
                <w:color w:val="0C0C0C"/>
                <w:w w:val="99"/>
                <w:sz w:val="24"/>
                <w:szCs w:val="24"/>
              </w:rPr>
              <w:t>6</w:t>
            </w:r>
            <w:r>
              <w:rPr>
                <w:rFonts w:hint="eastAsia" w:cs="Times New Roman" w:asciiTheme="minorEastAsia" w:hAnsiTheme="minorEastAsia" w:eastAsiaTheme="minorEastAsia"/>
                <w:color w:val="0C0C0C"/>
                <w:w w:val="99"/>
                <w:sz w:val="24"/>
                <w:szCs w:val="24"/>
              </w:rPr>
              <w:t>月</w:t>
            </w:r>
            <w:r>
              <w:rPr>
                <w:rFonts w:ascii="Times New Roman" w:hAnsi="Times New Roman" w:eastAsia="Times New Roman" w:cs="Times New Roman"/>
                <w:color w:val="0C0C0C"/>
                <w:w w:val="99"/>
                <w:sz w:val="24"/>
                <w:szCs w:val="24"/>
              </w:rPr>
              <w:t>9</w:t>
            </w:r>
            <w:r>
              <w:rPr>
                <w:rFonts w:hint="eastAsia" w:cs="Times New Roman" w:asciiTheme="minorEastAsia" w:hAnsiTheme="minorEastAsia" w:eastAsiaTheme="minorEastAsia"/>
                <w:color w:val="0C0C0C"/>
                <w:w w:val="99"/>
                <w:sz w:val="24"/>
                <w:szCs w:val="24"/>
              </w:rPr>
              <w:t>日</w:t>
            </w:r>
          </w:p>
        </w:tc>
        <w:tc>
          <w:tcPr>
            <w:tcW w:w="1900" w:type="dxa"/>
            <w:vAlign w:val="bottom"/>
          </w:tcPr>
          <w:p>
            <w:pPr>
              <w:spacing w:line="240" w:lineRule="auto"/>
              <w:ind w:left="100"/>
              <w:rPr>
                <w:sz w:val="24"/>
                <w:szCs w:val="24"/>
              </w:rPr>
            </w:pPr>
            <w:r>
              <w:rPr>
                <w:rFonts w:hint="eastAsia" w:ascii="Times New Roman" w:hAnsi="Times New Roman" w:cs="Times New Roman"/>
                <w:color w:val="0C0C0C"/>
                <w:sz w:val="24"/>
                <w:szCs w:val="24"/>
              </w:rPr>
              <w:t>13</w:t>
            </w:r>
            <w:r>
              <w:rPr>
                <w:rFonts w:ascii="Times New Roman" w:hAnsi="Times New Roman" w:eastAsia="Times New Roman" w:cs="Times New Roman"/>
                <w:color w:val="0C0C0C"/>
                <w:sz w:val="24"/>
                <w:szCs w:val="24"/>
              </w:rPr>
              <w:t>:</w:t>
            </w:r>
            <w:r>
              <w:rPr>
                <w:rFonts w:ascii="Times New Roman" w:hAnsi="Times New Roman" w:cs="Times New Roman" w:eastAsiaTheme="minorEastAsia"/>
                <w:color w:val="0C0C0C"/>
                <w:sz w:val="24"/>
                <w:szCs w:val="24"/>
              </w:rPr>
              <w:t>1</w:t>
            </w:r>
            <w:r>
              <w:rPr>
                <w:rFonts w:ascii="Times New Roman" w:hAnsi="Times New Roman" w:eastAsia="Times New Roman" w:cs="Times New Roman"/>
                <w:color w:val="0C0C0C"/>
                <w:sz w:val="24"/>
                <w:szCs w:val="24"/>
              </w:rPr>
              <w:t>0</w:t>
            </w:r>
            <w:r>
              <w:rPr>
                <w:rFonts w:ascii="Arial" w:hAnsi="Arial" w:eastAsia="Arial" w:cs="Arial"/>
                <w:color w:val="0C0C0C"/>
                <w:sz w:val="24"/>
                <w:szCs w:val="24"/>
              </w:rPr>
              <w:t>—</w:t>
            </w:r>
            <w:r>
              <w:rPr>
                <w:rFonts w:hint="eastAsia" w:ascii="Times New Roman" w:hAnsi="Times New Roman" w:cs="Times New Roman"/>
                <w:color w:val="0C0C0C"/>
                <w:sz w:val="24"/>
                <w:szCs w:val="24"/>
              </w:rPr>
              <w:t>13</w:t>
            </w:r>
            <w:r>
              <w:rPr>
                <w:rFonts w:ascii="Times New Roman" w:hAnsi="Times New Roman" w:eastAsia="Times New Roman" w:cs="Times New Roman"/>
                <w:color w:val="0C0C0C"/>
                <w:sz w:val="24"/>
                <w:szCs w:val="24"/>
              </w:rPr>
              <w:t>:</w:t>
            </w:r>
            <w:r>
              <w:rPr>
                <w:rFonts w:ascii="Times New Roman" w:hAnsi="Times New Roman" w:cs="Times New Roman"/>
                <w:color w:val="0C0C0C"/>
                <w:sz w:val="24"/>
                <w:szCs w:val="24"/>
              </w:rPr>
              <w:t>2</w:t>
            </w:r>
            <w:r>
              <w:rPr>
                <w:rFonts w:ascii="Times New Roman" w:hAnsi="Times New Roman" w:eastAsia="Times New Roman" w:cs="Times New Roman"/>
                <w:color w:val="0C0C0C"/>
                <w:sz w:val="24"/>
                <w:szCs w:val="24"/>
              </w:rPr>
              <w:t>0</w:t>
            </w:r>
          </w:p>
        </w:tc>
        <w:tc>
          <w:tcPr>
            <w:tcW w:w="5500" w:type="dxa"/>
            <w:vAlign w:val="bottom"/>
          </w:tcPr>
          <w:p>
            <w:pPr>
              <w:spacing w:line="240" w:lineRule="auto"/>
              <w:ind w:left="80"/>
              <w:rPr>
                <w:sz w:val="24"/>
                <w:szCs w:val="24"/>
              </w:rPr>
            </w:pPr>
            <w:r>
              <w:rPr>
                <w:color w:val="0C0C0C"/>
                <w:sz w:val="24"/>
                <w:szCs w:val="24"/>
              </w:rPr>
              <w:t>赛场检录</w:t>
            </w:r>
            <w:r>
              <w:rPr>
                <w:rFonts w:hint="eastAsia"/>
                <w:color w:val="0C0C0C"/>
                <w:sz w:val="24"/>
                <w:szCs w:val="24"/>
              </w:rPr>
              <w:t>，</w:t>
            </w:r>
            <w:r>
              <w:rPr>
                <w:color w:val="0C0C0C"/>
                <w:sz w:val="24"/>
                <w:szCs w:val="24"/>
              </w:rPr>
              <w:t>参赛队抽取赛位号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500" w:type="dxa"/>
            <w:vMerge w:val="continue"/>
            <w:vAlign w:val="bottom"/>
          </w:tcPr>
          <w:p>
            <w:pPr>
              <w:spacing w:line="240" w:lineRule="auto"/>
              <w:rPr>
                <w:sz w:val="24"/>
                <w:szCs w:val="24"/>
              </w:rPr>
            </w:pPr>
          </w:p>
        </w:tc>
        <w:tc>
          <w:tcPr>
            <w:tcW w:w="1900" w:type="dxa"/>
            <w:vAlign w:val="bottom"/>
          </w:tcPr>
          <w:p>
            <w:pPr>
              <w:spacing w:line="240" w:lineRule="auto"/>
              <w:ind w:left="100"/>
              <w:rPr>
                <w:sz w:val="24"/>
                <w:szCs w:val="24"/>
              </w:rPr>
            </w:pPr>
            <w:r>
              <w:rPr>
                <w:rFonts w:hint="eastAsia" w:ascii="Times New Roman" w:hAnsi="Times New Roman" w:cs="Times New Roman"/>
                <w:color w:val="0C0C0C"/>
                <w:sz w:val="24"/>
                <w:szCs w:val="24"/>
              </w:rPr>
              <w:t>13:</w:t>
            </w:r>
            <w:r>
              <w:rPr>
                <w:rFonts w:ascii="Times New Roman" w:hAnsi="Times New Roman" w:cs="Times New Roman"/>
                <w:color w:val="0C0C0C"/>
                <w:sz w:val="24"/>
                <w:szCs w:val="24"/>
              </w:rPr>
              <w:t>2</w:t>
            </w:r>
            <w:r>
              <w:rPr>
                <w:rFonts w:hint="eastAsia" w:ascii="Times New Roman" w:hAnsi="Times New Roman" w:cs="Times New Roman"/>
                <w:color w:val="0C0C0C"/>
                <w:sz w:val="24"/>
                <w:szCs w:val="24"/>
              </w:rPr>
              <w:t>0</w:t>
            </w:r>
            <w:r>
              <w:rPr>
                <w:rFonts w:ascii="Arial" w:hAnsi="Arial" w:eastAsia="Arial" w:cs="Arial"/>
                <w:color w:val="0C0C0C"/>
                <w:sz w:val="24"/>
                <w:szCs w:val="24"/>
              </w:rPr>
              <w:t>—</w:t>
            </w:r>
            <w:r>
              <w:rPr>
                <w:rFonts w:hint="eastAsia" w:ascii="Times New Roman" w:hAnsi="Times New Roman" w:cs="Times New Roman"/>
                <w:color w:val="0C0C0C"/>
                <w:sz w:val="24"/>
                <w:szCs w:val="24"/>
              </w:rPr>
              <w:t>13:</w:t>
            </w:r>
            <w:r>
              <w:rPr>
                <w:rFonts w:ascii="Times New Roman" w:hAnsi="Times New Roman" w:cs="Times New Roman"/>
                <w:color w:val="0C0C0C"/>
                <w:sz w:val="24"/>
                <w:szCs w:val="24"/>
              </w:rPr>
              <w:t>3</w:t>
            </w:r>
            <w:r>
              <w:rPr>
                <w:rFonts w:hint="eastAsia" w:ascii="Times New Roman" w:hAnsi="Times New Roman" w:cs="Times New Roman"/>
                <w:color w:val="0C0C0C"/>
                <w:sz w:val="24"/>
                <w:szCs w:val="24"/>
              </w:rPr>
              <w:t>0</w:t>
            </w:r>
          </w:p>
        </w:tc>
        <w:tc>
          <w:tcPr>
            <w:tcW w:w="5500" w:type="dxa"/>
            <w:vAlign w:val="bottom"/>
          </w:tcPr>
          <w:p>
            <w:pPr>
              <w:spacing w:line="240" w:lineRule="auto"/>
              <w:ind w:left="80"/>
              <w:rPr>
                <w:sz w:val="24"/>
                <w:szCs w:val="24"/>
              </w:rPr>
            </w:pPr>
            <w:r>
              <w:rPr>
                <w:color w:val="0C0C0C"/>
                <w:w w:val="99"/>
                <w:sz w:val="24"/>
                <w:szCs w:val="24"/>
              </w:rPr>
              <w:t>参赛队进入比赛赛位，进行赛前设备、材料检查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00" w:type="dxa"/>
            <w:vMerge w:val="continue"/>
            <w:vAlign w:val="bottom"/>
          </w:tcPr>
          <w:p>
            <w:pPr>
              <w:spacing w:line="240" w:lineRule="auto"/>
              <w:jc w:val="center"/>
              <w:rPr>
                <w:sz w:val="24"/>
                <w:szCs w:val="24"/>
              </w:rPr>
            </w:pPr>
          </w:p>
        </w:tc>
        <w:tc>
          <w:tcPr>
            <w:tcW w:w="1900" w:type="dxa"/>
            <w:vAlign w:val="bottom"/>
          </w:tcPr>
          <w:p>
            <w:pPr>
              <w:spacing w:line="240" w:lineRule="auto"/>
              <w:ind w:left="100"/>
              <w:rPr>
                <w:rFonts w:ascii="Arial" w:hAnsi="Arial" w:eastAsia="Arial" w:cs="Arial"/>
                <w:color w:val="0C0C0C"/>
                <w:sz w:val="24"/>
                <w:szCs w:val="24"/>
              </w:rPr>
            </w:pPr>
            <w:r>
              <w:rPr>
                <w:rFonts w:hint="eastAsia" w:ascii="Arial" w:hAnsi="Arial" w:eastAsia="Arial" w:cs="Arial"/>
                <w:color w:val="0C0C0C"/>
                <w:sz w:val="24"/>
                <w:szCs w:val="24"/>
              </w:rPr>
              <w:t>13:</w:t>
            </w:r>
            <w:r>
              <w:rPr>
                <w:rFonts w:ascii="Arial" w:hAnsi="Arial" w:eastAsia="Arial" w:cs="Arial"/>
                <w:color w:val="0C0C0C"/>
                <w:sz w:val="24"/>
                <w:szCs w:val="24"/>
              </w:rPr>
              <w:t>3</w:t>
            </w:r>
            <w:r>
              <w:rPr>
                <w:rFonts w:hint="eastAsia" w:ascii="Arial" w:hAnsi="Arial" w:eastAsia="Arial" w:cs="Arial"/>
                <w:color w:val="0C0C0C"/>
                <w:sz w:val="24"/>
                <w:szCs w:val="24"/>
              </w:rPr>
              <w:t>0</w:t>
            </w:r>
            <w:r>
              <w:rPr>
                <w:rFonts w:ascii="Arial" w:hAnsi="Arial" w:eastAsia="Arial" w:cs="Arial"/>
                <w:color w:val="0C0C0C"/>
                <w:sz w:val="24"/>
                <w:szCs w:val="24"/>
              </w:rPr>
              <w:t>—</w:t>
            </w:r>
            <w:r>
              <w:rPr>
                <w:rFonts w:hint="eastAsia" w:ascii="Arial" w:hAnsi="Arial" w:eastAsia="Arial" w:cs="Arial"/>
                <w:color w:val="0C0C0C"/>
                <w:sz w:val="24"/>
                <w:szCs w:val="24"/>
              </w:rPr>
              <w:t>1</w:t>
            </w:r>
            <w:r>
              <w:rPr>
                <w:rFonts w:ascii="Arial" w:hAnsi="Arial" w:eastAsia="Arial" w:cs="Arial"/>
                <w:color w:val="0C0C0C"/>
                <w:sz w:val="24"/>
                <w:szCs w:val="24"/>
              </w:rPr>
              <w:t>6</w:t>
            </w:r>
            <w:r>
              <w:rPr>
                <w:rFonts w:hint="eastAsia" w:ascii="Arial" w:hAnsi="Arial" w:eastAsia="Arial" w:cs="Arial"/>
                <w:color w:val="0C0C0C"/>
                <w:sz w:val="24"/>
                <w:szCs w:val="24"/>
              </w:rPr>
              <w:t>:</w:t>
            </w:r>
            <w:r>
              <w:rPr>
                <w:rFonts w:ascii="Arial" w:hAnsi="Arial" w:eastAsia="Arial" w:cs="Arial"/>
                <w:color w:val="0C0C0C"/>
                <w:sz w:val="24"/>
                <w:szCs w:val="24"/>
              </w:rPr>
              <w:t>3</w:t>
            </w:r>
            <w:r>
              <w:rPr>
                <w:rFonts w:hint="eastAsia" w:ascii="Arial" w:hAnsi="Arial" w:eastAsia="Arial" w:cs="Arial"/>
                <w:color w:val="0C0C0C"/>
                <w:sz w:val="24"/>
                <w:szCs w:val="24"/>
              </w:rPr>
              <w:t>0</w:t>
            </w:r>
          </w:p>
        </w:tc>
        <w:tc>
          <w:tcPr>
            <w:tcW w:w="5500" w:type="dxa"/>
            <w:vAlign w:val="bottom"/>
          </w:tcPr>
          <w:p>
            <w:pPr>
              <w:spacing w:line="240" w:lineRule="auto"/>
              <w:ind w:left="100"/>
              <w:rPr>
                <w:rFonts w:ascii="Arial" w:hAnsi="Arial" w:eastAsia="Arial" w:cs="Arial"/>
                <w:color w:val="0C0C0C"/>
                <w:sz w:val="24"/>
                <w:szCs w:val="24"/>
              </w:rPr>
            </w:pPr>
            <w:r>
              <w:rPr>
                <w:rFonts w:ascii="Arial" w:hAnsi="Arial" w:eastAsia="Arial" w:cs="Arial"/>
                <w:color w:val="0C0C0C"/>
                <w:sz w:val="24"/>
                <w:szCs w:val="24"/>
              </w:rPr>
              <w:t xml:space="preserve">选手比赛（模块 </w:t>
            </w:r>
            <w:r>
              <w:rPr>
                <w:rFonts w:hint="eastAsia" w:ascii="Arial" w:hAnsi="Arial" w:eastAsia="Arial" w:cs="Arial"/>
                <w:color w:val="0C0C0C"/>
                <w:sz w:val="24"/>
                <w:szCs w:val="24"/>
              </w:rPr>
              <w:t>A</w:t>
            </w:r>
            <w:r>
              <w:rPr>
                <w:rFonts w:ascii="Arial" w:hAnsi="Arial" w:eastAsia="Arial" w:cs="Arial"/>
                <w:color w:val="0C0C0C"/>
                <w:sz w:val="24"/>
                <w:szCs w:val="24"/>
              </w:rPr>
              <w:t>：功能模块开发）</w:t>
            </w:r>
          </w:p>
        </w:tc>
      </w:tr>
    </w:tbl>
    <w:p>
      <w:pPr>
        <w:spacing w:line="240" w:lineRule="auto"/>
        <w:rPr>
          <w:sz w:val="24"/>
          <w:szCs w:val="24"/>
        </w:rPr>
      </w:pPr>
    </w:p>
    <w:p>
      <w:pPr>
        <w:ind w:left="360" w:firstLine="482" w:firstLineChars="200"/>
        <w:outlineLvl w:val="0"/>
        <w:rPr>
          <w:sz w:val="24"/>
          <w:szCs w:val="24"/>
        </w:rPr>
      </w:pPr>
      <w:bookmarkStart w:id="5" w:name="page13"/>
      <w:bookmarkEnd w:id="5"/>
      <w:r>
        <w:rPr>
          <w:b/>
          <w:bCs/>
          <w:color w:val="0C0C0C"/>
          <w:sz w:val="24"/>
          <w:szCs w:val="24"/>
        </w:rPr>
        <w:t>六、竞赛赛卷</w:t>
      </w:r>
      <w:bookmarkStart w:id="15" w:name="_GoBack"/>
      <w:bookmarkEnd w:id="15"/>
    </w:p>
    <w:p>
      <w:pPr>
        <w:ind w:left="360" w:firstLine="482" w:firstLineChars="200"/>
        <w:outlineLvl w:val="1"/>
        <w:rPr>
          <w:sz w:val="24"/>
          <w:szCs w:val="24"/>
        </w:rPr>
      </w:pPr>
      <w:r>
        <w:rPr>
          <w:b/>
          <w:bCs/>
          <w:color w:val="0C0C0C"/>
          <w:sz w:val="24"/>
          <w:szCs w:val="24"/>
        </w:rPr>
        <w:t>（一）竞赛命题方案</w:t>
      </w:r>
    </w:p>
    <w:p>
      <w:pPr>
        <w:ind w:left="920" w:firstLine="480" w:firstLineChars="200"/>
        <w:rPr>
          <w:sz w:val="24"/>
          <w:szCs w:val="24"/>
        </w:rPr>
      </w:pPr>
      <w:r>
        <w:rPr>
          <w:color w:val="0C0C0C"/>
          <w:sz w:val="24"/>
          <w:szCs w:val="24"/>
        </w:rPr>
        <w:t>竞赛试题设计要求如下：</w:t>
      </w:r>
    </w:p>
    <w:p>
      <w:pPr>
        <w:ind w:left="920" w:firstLine="480" w:firstLineChars="200"/>
        <w:outlineLvl w:val="2"/>
        <w:rPr>
          <w:sz w:val="24"/>
          <w:szCs w:val="24"/>
        </w:rPr>
      </w:pPr>
      <w:r>
        <w:rPr>
          <w:rFonts w:ascii="Times New Roman" w:hAnsi="Times New Roman" w:eastAsia="Times New Roman" w:cs="Times New Roman"/>
          <w:color w:val="0C0C0C"/>
          <w:sz w:val="24"/>
          <w:szCs w:val="24"/>
        </w:rPr>
        <w:t>1.</w:t>
      </w:r>
      <w:r>
        <w:rPr>
          <w:color w:val="0C0C0C"/>
          <w:sz w:val="24"/>
          <w:szCs w:val="24"/>
        </w:rPr>
        <w:t>每一份赛卷都是一个完整的移动应用开发工程项目。</w:t>
      </w:r>
    </w:p>
    <w:p>
      <w:pPr>
        <w:ind w:left="920" w:firstLine="480" w:firstLineChars="200"/>
        <w:outlineLvl w:val="2"/>
        <w:rPr>
          <w:sz w:val="24"/>
          <w:szCs w:val="24"/>
        </w:rPr>
      </w:pPr>
      <w:bookmarkStart w:id="6" w:name="page14"/>
      <w:bookmarkEnd w:id="6"/>
      <w:r>
        <w:rPr>
          <w:rFonts w:ascii="Times New Roman" w:hAnsi="Times New Roman" w:eastAsia="Times New Roman" w:cs="Times New Roman"/>
          <w:color w:val="0C0C0C"/>
          <w:sz w:val="24"/>
          <w:szCs w:val="24"/>
        </w:rPr>
        <w:t>2.</w:t>
      </w:r>
      <w:r>
        <w:rPr>
          <w:color w:val="0C0C0C"/>
          <w:sz w:val="24"/>
          <w:szCs w:val="24"/>
        </w:rPr>
        <w:t>赛卷包含：</w:t>
      </w:r>
      <w:r>
        <w:rPr>
          <w:rFonts w:ascii="Times New Roman" w:hAnsi="Times New Roman" w:eastAsia="Times New Roman" w:cs="Times New Roman"/>
          <w:color w:val="0C0C0C"/>
          <w:sz w:val="24"/>
          <w:szCs w:val="24"/>
        </w:rPr>
        <w:t>“</w:t>
      </w:r>
      <w:r>
        <w:rPr>
          <w:color w:val="0C0C0C"/>
          <w:sz w:val="24"/>
          <w:szCs w:val="24"/>
        </w:rPr>
        <w:t>功能模块开发</w:t>
      </w:r>
      <w:r>
        <w:rPr>
          <w:rFonts w:ascii="Times New Roman" w:hAnsi="Times New Roman" w:eastAsia="Times New Roman" w:cs="Times New Roman"/>
          <w:color w:val="0C0C0C"/>
          <w:sz w:val="24"/>
          <w:szCs w:val="24"/>
        </w:rPr>
        <w:t>”</w:t>
      </w:r>
      <w:r>
        <w:rPr>
          <w:rFonts w:hint="eastAsia" w:ascii="Times New Roman" w:hAnsi="Times New Roman" w:cs="Times New Roman"/>
          <w:color w:val="0C0C0C"/>
          <w:sz w:val="24"/>
          <w:szCs w:val="24"/>
        </w:rPr>
        <w:t>一</w:t>
      </w:r>
      <w:r>
        <w:rPr>
          <w:color w:val="0C0C0C"/>
          <w:sz w:val="24"/>
          <w:szCs w:val="24"/>
        </w:rPr>
        <w:t>个模块。</w:t>
      </w:r>
    </w:p>
    <w:p>
      <w:pPr>
        <w:ind w:left="920" w:firstLine="480" w:firstLineChars="200"/>
        <w:outlineLvl w:val="2"/>
        <w:rPr>
          <w:sz w:val="24"/>
          <w:szCs w:val="24"/>
        </w:rPr>
      </w:pPr>
      <w:r>
        <w:rPr>
          <w:rFonts w:hint="eastAsia" w:ascii="Times New Roman" w:hAnsi="Times New Roman" w:cs="Times New Roman"/>
          <w:color w:val="0C0C0C"/>
          <w:sz w:val="24"/>
          <w:szCs w:val="24"/>
        </w:rPr>
        <w:t>3</w:t>
      </w:r>
      <w:r>
        <w:rPr>
          <w:rFonts w:ascii="Times New Roman" w:hAnsi="Times New Roman" w:eastAsia="Times New Roman" w:cs="Times New Roman"/>
          <w:color w:val="0C0C0C"/>
          <w:sz w:val="24"/>
          <w:szCs w:val="24"/>
        </w:rPr>
        <w:t>.</w:t>
      </w:r>
      <w:r>
        <w:rPr>
          <w:color w:val="0C0C0C"/>
          <w:sz w:val="24"/>
          <w:szCs w:val="24"/>
        </w:rPr>
        <w:t>大赛使用的所有操作系统及软件版本，均为通用版本。</w:t>
      </w:r>
    </w:p>
    <w:p>
      <w:pPr>
        <w:ind w:left="780" w:firstLine="482" w:firstLineChars="200"/>
        <w:outlineLvl w:val="1"/>
        <w:rPr>
          <w:sz w:val="24"/>
          <w:szCs w:val="24"/>
        </w:rPr>
      </w:pPr>
      <w:r>
        <w:rPr>
          <w:b/>
          <w:bCs/>
          <w:color w:val="0C0C0C"/>
          <w:sz w:val="24"/>
          <w:szCs w:val="24"/>
        </w:rPr>
        <w:t>（</w:t>
      </w:r>
      <w:r>
        <w:rPr>
          <w:rFonts w:hint="eastAsia"/>
          <w:b/>
          <w:bCs/>
          <w:color w:val="0C0C0C"/>
          <w:sz w:val="24"/>
          <w:szCs w:val="24"/>
        </w:rPr>
        <w:t>二</w:t>
      </w:r>
      <w:r>
        <w:rPr>
          <w:b/>
          <w:bCs/>
          <w:color w:val="0C0C0C"/>
          <w:sz w:val="24"/>
          <w:szCs w:val="24"/>
        </w:rPr>
        <w:t>）裁判长确定赛题</w:t>
      </w:r>
    </w:p>
    <w:p>
      <w:pPr>
        <w:ind w:firstLine="480" w:firstLineChars="200"/>
        <w:rPr>
          <w:sz w:val="24"/>
          <w:szCs w:val="24"/>
        </w:rPr>
      </w:pPr>
      <w:r>
        <w:rPr>
          <w:sz w:val="24"/>
          <w:szCs w:val="24"/>
        </w:rPr>
        <w:t>专家工作组负责本赛项赛题的编制工作。本赛项比赛前三天内，</w:t>
      </w:r>
      <w:bookmarkStart w:id="7" w:name="page15"/>
      <w:bookmarkEnd w:id="7"/>
      <w:r>
        <w:rPr>
          <w:sz w:val="24"/>
          <w:szCs w:val="24"/>
        </w:rPr>
        <w:t>将修改后的赛卷随机排序，在监督组的监督下，由裁判长指定相关人员抽取正式赛卷与备用赛卷。比赛完成后，参赛选手不得将赛题带离赛场，由现场裁判对赛题进行回收。</w:t>
      </w:r>
    </w:p>
    <w:p>
      <w:pPr>
        <w:ind w:left="360" w:firstLine="482" w:firstLineChars="200"/>
        <w:outlineLvl w:val="0"/>
        <w:rPr>
          <w:sz w:val="24"/>
          <w:szCs w:val="24"/>
        </w:rPr>
      </w:pPr>
      <w:r>
        <w:rPr>
          <w:b/>
          <w:bCs/>
          <w:color w:val="0C0C0C"/>
          <w:sz w:val="24"/>
          <w:szCs w:val="24"/>
        </w:rPr>
        <w:t>七、竞赛规则</w:t>
      </w:r>
    </w:p>
    <w:p>
      <w:pPr>
        <w:numPr>
          <w:ilvl w:val="0"/>
          <w:numId w:val="2"/>
        </w:numPr>
        <w:tabs>
          <w:tab w:val="left" w:pos="1274"/>
        </w:tabs>
        <w:ind w:left="360" w:right="266" w:firstLine="480" w:firstLineChars="200"/>
        <w:rPr>
          <w:rFonts w:ascii="Times New Roman" w:hAnsi="Times New Roman" w:eastAsia="Times New Roman" w:cs="Times New Roman"/>
          <w:color w:val="0C0C0C"/>
          <w:sz w:val="24"/>
          <w:szCs w:val="24"/>
        </w:rPr>
      </w:pPr>
      <w:r>
        <w:rPr>
          <w:color w:val="0C0C0C"/>
          <w:sz w:val="24"/>
          <w:szCs w:val="24"/>
        </w:rPr>
        <w:t>参赛队及参赛选手资格。参赛选手须为</w:t>
      </w:r>
      <w:r>
        <w:rPr>
          <w:rFonts w:hint="eastAsia"/>
          <w:color w:val="0C0C0C"/>
          <w:sz w:val="24"/>
          <w:szCs w:val="24"/>
        </w:rPr>
        <w:t>山东传媒职业学院</w:t>
      </w:r>
      <w:r>
        <w:rPr>
          <w:color w:val="0C0C0C"/>
          <w:sz w:val="24"/>
          <w:szCs w:val="24"/>
        </w:rPr>
        <w:t>全日制在籍注册学生。</w:t>
      </w:r>
    </w:p>
    <w:p>
      <w:pPr>
        <w:numPr>
          <w:ilvl w:val="0"/>
          <w:numId w:val="2"/>
        </w:numPr>
        <w:tabs>
          <w:tab w:val="left" w:pos="1270"/>
        </w:tabs>
        <w:ind w:left="360" w:right="366" w:firstLine="480" w:firstLineChars="200"/>
        <w:rPr>
          <w:rFonts w:ascii="Times New Roman" w:hAnsi="Times New Roman" w:eastAsia="Times New Roman" w:cs="Times New Roman"/>
          <w:color w:val="0C0C0C"/>
          <w:sz w:val="24"/>
          <w:szCs w:val="24"/>
        </w:rPr>
      </w:pPr>
      <w:r>
        <w:rPr>
          <w:color w:val="0C0C0C"/>
          <w:sz w:val="24"/>
          <w:szCs w:val="24"/>
        </w:rPr>
        <w:t>竞赛所需的硬件、软件和辅助工具统一提供，参赛队不得使用自带的任何具有存储和通信功能的设备，如硬盘、光盘、</w:t>
      </w:r>
      <w:r>
        <w:rPr>
          <w:rFonts w:ascii="Times New Roman" w:hAnsi="Times New Roman" w:eastAsia="Times New Roman" w:cs="Times New Roman"/>
          <w:color w:val="0C0C0C"/>
          <w:sz w:val="24"/>
          <w:szCs w:val="24"/>
        </w:rPr>
        <w:t xml:space="preserve">U </w:t>
      </w:r>
      <w:r>
        <w:rPr>
          <w:color w:val="0C0C0C"/>
          <w:sz w:val="24"/>
          <w:szCs w:val="24"/>
        </w:rPr>
        <w:t>盘、手机、随身听、智能手表、</w:t>
      </w:r>
      <w:r>
        <w:rPr>
          <w:rFonts w:ascii="Times New Roman" w:hAnsi="Times New Roman" w:eastAsia="Times New Roman" w:cs="Times New Roman"/>
          <w:color w:val="0C0C0C"/>
          <w:sz w:val="24"/>
          <w:szCs w:val="24"/>
        </w:rPr>
        <w:t xml:space="preserve">PDA </w:t>
      </w:r>
      <w:r>
        <w:rPr>
          <w:color w:val="0C0C0C"/>
          <w:sz w:val="24"/>
          <w:szCs w:val="24"/>
        </w:rPr>
        <w:t>等。</w:t>
      </w:r>
    </w:p>
    <w:p>
      <w:pPr>
        <w:numPr>
          <w:ilvl w:val="0"/>
          <w:numId w:val="2"/>
        </w:numPr>
        <w:tabs>
          <w:tab w:val="left" w:pos="1270"/>
        </w:tabs>
        <w:ind w:left="360" w:right="366" w:firstLine="480" w:firstLineChars="200"/>
        <w:rPr>
          <w:rFonts w:ascii="Times New Roman" w:hAnsi="Times New Roman" w:eastAsia="Times New Roman" w:cs="Times New Roman"/>
          <w:color w:val="0C0C0C"/>
          <w:sz w:val="24"/>
          <w:szCs w:val="24"/>
        </w:rPr>
      </w:pPr>
      <w:r>
        <w:rPr>
          <w:color w:val="0C0C0C"/>
          <w:sz w:val="24"/>
          <w:szCs w:val="24"/>
        </w:rPr>
        <w:t>参赛选手在赛前</w:t>
      </w:r>
      <w:r>
        <w:rPr>
          <w:rFonts w:ascii="Times New Roman" w:hAnsi="Times New Roman" w:eastAsia="Times New Roman" w:cs="Times New Roman"/>
          <w:color w:val="0C0C0C"/>
          <w:sz w:val="24"/>
          <w:szCs w:val="24"/>
        </w:rPr>
        <w:t xml:space="preserve"> 10 </w:t>
      </w:r>
      <w:r>
        <w:rPr>
          <w:color w:val="0C0C0C"/>
          <w:sz w:val="24"/>
          <w:szCs w:val="24"/>
        </w:rPr>
        <w:t>分钟领取比赛任务，并进入比赛赛位。比赛正式开始后方可进行相关操作。</w:t>
      </w:r>
      <w:bookmarkStart w:id="8" w:name="page16"/>
      <w:bookmarkEnd w:id="8"/>
    </w:p>
    <w:p>
      <w:pPr>
        <w:numPr>
          <w:ilvl w:val="0"/>
          <w:numId w:val="2"/>
        </w:numPr>
        <w:tabs>
          <w:tab w:val="left" w:pos="1270"/>
        </w:tabs>
        <w:ind w:left="360" w:right="366" w:firstLine="480" w:firstLineChars="200"/>
        <w:rPr>
          <w:rFonts w:ascii="Times New Roman" w:hAnsi="Times New Roman" w:eastAsia="Times New Roman" w:cs="Times New Roman"/>
          <w:color w:val="0C0C0C"/>
          <w:sz w:val="24"/>
          <w:szCs w:val="24"/>
        </w:rPr>
      </w:pPr>
      <w:r>
        <w:rPr>
          <w:color w:val="0C0C0C"/>
          <w:sz w:val="24"/>
          <w:szCs w:val="24"/>
        </w:rPr>
        <w:t>在比赛过程中，参赛选手如有疑问，应举手示意，现场裁判应按要求及时予以答疑。如遇设备或软件等故障，参赛选手应举手示意，现场裁判、技术人员等应及时予以解决。确因计算机软件或硬件故障，致使操作无法继续，经赛场裁判长确认，予以启用备用设备。</w:t>
      </w:r>
    </w:p>
    <w:p>
      <w:pPr>
        <w:numPr>
          <w:ilvl w:val="0"/>
          <w:numId w:val="3"/>
        </w:numPr>
        <w:tabs>
          <w:tab w:val="left" w:pos="1274"/>
        </w:tabs>
        <w:ind w:left="360" w:right="366" w:firstLine="480" w:firstLineChars="200"/>
        <w:rPr>
          <w:rFonts w:ascii="Times New Roman" w:hAnsi="Times New Roman" w:eastAsia="Times New Roman" w:cs="Times New Roman"/>
          <w:color w:val="0C0C0C"/>
          <w:sz w:val="24"/>
          <w:szCs w:val="24"/>
        </w:rPr>
      </w:pPr>
      <w:r>
        <w:rPr>
          <w:color w:val="0C0C0C"/>
          <w:sz w:val="24"/>
          <w:szCs w:val="24"/>
        </w:rPr>
        <w:t>比赛时间结束，选手应全体起立，结束操作。经工作人员查收清点所有文档后方可离开赛场，离开赛场时不得带走任何资料。</w:t>
      </w:r>
    </w:p>
    <w:p>
      <w:pPr>
        <w:numPr>
          <w:ilvl w:val="0"/>
          <w:numId w:val="3"/>
        </w:numPr>
        <w:tabs>
          <w:tab w:val="left" w:pos="1274"/>
        </w:tabs>
        <w:ind w:left="360" w:right="366" w:firstLine="480" w:firstLineChars="200"/>
        <w:rPr>
          <w:rFonts w:ascii="Times New Roman" w:hAnsi="Times New Roman" w:eastAsia="Times New Roman" w:cs="Times New Roman"/>
          <w:color w:val="0C0C0C"/>
          <w:sz w:val="24"/>
          <w:szCs w:val="24"/>
        </w:rPr>
      </w:pPr>
      <w:r>
        <w:rPr>
          <w:color w:val="0C0C0C"/>
          <w:sz w:val="24"/>
          <w:szCs w:val="24"/>
        </w:rPr>
        <w:t>比赛结束，经加密裁判对各参赛选手提交的竞赛结果进行第三次加密后，评分裁判方可入场进行成绩评判。</w:t>
      </w:r>
    </w:p>
    <w:p>
      <w:pPr>
        <w:numPr>
          <w:ilvl w:val="0"/>
          <w:numId w:val="3"/>
        </w:numPr>
        <w:tabs>
          <w:tab w:val="left" w:pos="1274"/>
        </w:tabs>
        <w:ind w:left="360" w:right="366" w:firstLine="480" w:firstLineChars="200"/>
        <w:jc w:val="both"/>
        <w:rPr>
          <w:rFonts w:ascii="Times New Roman" w:hAnsi="Times New Roman" w:eastAsia="Times New Roman" w:cs="Times New Roman"/>
          <w:color w:val="0C0C0C"/>
          <w:sz w:val="24"/>
          <w:szCs w:val="24"/>
        </w:rPr>
      </w:pPr>
      <w:r>
        <w:rPr>
          <w:color w:val="0C0C0C"/>
          <w:sz w:val="24"/>
          <w:szCs w:val="24"/>
        </w:rPr>
        <w:t>本赛项各参赛队最终成绩，由承办单位信息员录入赛务管理系统。承办单位信息员对成绩数据审核后，将赛务系统中录入的成绩导出打印，经赛项裁判长审核无误后签字。</w:t>
      </w:r>
    </w:p>
    <w:p>
      <w:pPr>
        <w:numPr>
          <w:ilvl w:val="0"/>
          <w:numId w:val="3"/>
        </w:numPr>
        <w:tabs>
          <w:tab w:val="left" w:pos="1274"/>
        </w:tabs>
        <w:ind w:left="360" w:right="366" w:firstLine="480" w:firstLineChars="200"/>
        <w:jc w:val="both"/>
        <w:rPr>
          <w:rFonts w:ascii="Times New Roman" w:hAnsi="Times New Roman" w:eastAsia="Times New Roman" w:cs="Times New Roman"/>
          <w:color w:val="0C0C0C"/>
          <w:sz w:val="24"/>
          <w:szCs w:val="24"/>
        </w:rPr>
      </w:pPr>
      <w:r>
        <w:rPr>
          <w:color w:val="0C0C0C"/>
          <w:sz w:val="24"/>
          <w:szCs w:val="24"/>
        </w:rPr>
        <w:t>赛项中每个比赛环节裁判评分的原始材料和最终成绩等结果性材料，经监督组人员和裁判长签字后，装袋密封留档；并由赛项承办院校封存，委派专人妥善保管。</w:t>
      </w:r>
    </w:p>
    <w:p>
      <w:pPr>
        <w:ind w:left="360" w:firstLine="482" w:firstLineChars="200"/>
        <w:outlineLvl w:val="0"/>
        <w:rPr>
          <w:sz w:val="24"/>
          <w:szCs w:val="24"/>
        </w:rPr>
      </w:pPr>
      <w:r>
        <w:rPr>
          <w:rFonts w:hint="eastAsia"/>
          <w:b/>
          <w:bCs/>
          <w:color w:val="0C0C0C"/>
          <w:sz w:val="24"/>
          <w:szCs w:val="24"/>
        </w:rPr>
        <w:t>八</w:t>
      </w:r>
      <w:r>
        <w:rPr>
          <w:b/>
          <w:bCs/>
          <w:color w:val="0C0C0C"/>
          <w:sz w:val="24"/>
          <w:szCs w:val="24"/>
        </w:rPr>
        <w:t>、技术平台</w:t>
      </w:r>
    </w:p>
    <w:p>
      <w:pPr>
        <w:ind w:left="360" w:firstLine="482" w:firstLineChars="200"/>
        <w:outlineLvl w:val="1"/>
        <w:rPr>
          <w:sz w:val="24"/>
          <w:szCs w:val="24"/>
        </w:rPr>
      </w:pPr>
      <w:r>
        <w:rPr>
          <w:b/>
          <w:bCs/>
          <w:color w:val="0C0C0C"/>
          <w:sz w:val="24"/>
          <w:szCs w:val="24"/>
        </w:rPr>
        <w:t>（一）硬件平台</w:t>
      </w:r>
    </w:p>
    <w:tbl>
      <w:tblPr>
        <w:tblStyle w:val="8"/>
        <w:tblW w:w="8920" w:type="dxa"/>
        <w:tblInd w:w="98" w:type="dxa"/>
        <w:tblLayout w:type="autofit"/>
        <w:tblCellMar>
          <w:top w:w="0" w:type="dxa"/>
          <w:left w:w="108" w:type="dxa"/>
          <w:bottom w:w="0" w:type="dxa"/>
          <w:right w:w="108" w:type="dxa"/>
        </w:tblCellMar>
      </w:tblPr>
      <w:tblGrid>
        <w:gridCol w:w="960"/>
        <w:gridCol w:w="1740"/>
        <w:gridCol w:w="4300"/>
        <w:gridCol w:w="960"/>
        <w:gridCol w:w="960"/>
      </w:tblGrid>
      <w:tr>
        <w:tblPrEx>
          <w:tblCellMar>
            <w:top w:w="0" w:type="dxa"/>
            <w:left w:w="108" w:type="dxa"/>
            <w:bottom w:w="0" w:type="dxa"/>
            <w:right w:w="108" w:type="dxa"/>
          </w:tblCellMar>
        </w:tblPrEx>
        <w:trPr>
          <w:trHeight w:val="380" w:hRule="atLeast"/>
        </w:trPr>
        <w:tc>
          <w:tcPr>
            <w:tcW w:w="8920" w:type="dxa"/>
            <w:gridSpan w:val="5"/>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仿宋" w:hAnsi="仿宋" w:cs="仿宋"/>
                <w:b/>
                <w:bCs/>
                <w:color w:val="0C0C0C"/>
                <w:sz w:val="24"/>
                <w:szCs w:val="24"/>
              </w:rPr>
            </w:pPr>
            <w:r>
              <w:rPr>
                <w:rFonts w:hint="eastAsia" w:ascii="仿宋" w:hAnsi="仿宋" w:cs="仿宋"/>
                <w:b/>
                <w:bCs/>
                <w:color w:val="0C0C0C"/>
                <w:sz w:val="24"/>
                <w:szCs w:val="24"/>
                <w:lang w:bidi="ar"/>
              </w:rPr>
              <w:t>表</w:t>
            </w:r>
            <w:r>
              <w:rPr>
                <w:rFonts w:ascii="Times New Roman" w:hAnsi="Times New Roman" w:cs="Times New Roman"/>
                <w:b/>
                <w:bCs/>
                <w:color w:val="0C0C0C"/>
                <w:sz w:val="24"/>
                <w:szCs w:val="24"/>
                <w:lang w:bidi="ar"/>
              </w:rPr>
              <w:t xml:space="preserve"> 5 </w:t>
            </w:r>
            <w:r>
              <w:rPr>
                <w:rFonts w:hint="eastAsia" w:ascii="仿宋" w:hAnsi="仿宋" w:cs="仿宋"/>
                <w:b/>
                <w:bCs/>
                <w:color w:val="0C0C0C"/>
                <w:sz w:val="24"/>
                <w:szCs w:val="24"/>
                <w:lang w:bidi="ar"/>
              </w:rPr>
              <w:t>移动应用开发赛项硬件平台</w:t>
            </w:r>
          </w:p>
        </w:tc>
      </w:tr>
      <w:tr>
        <w:tblPrEx>
          <w:tblCellMar>
            <w:top w:w="0" w:type="dxa"/>
            <w:left w:w="108" w:type="dxa"/>
            <w:bottom w:w="0" w:type="dxa"/>
            <w:right w:w="108"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b/>
                <w:bCs/>
                <w:color w:val="0C0C0C"/>
                <w:sz w:val="24"/>
                <w:szCs w:val="24"/>
              </w:rPr>
            </w:pPr>
            <w:r>
              <w:rPr>
                <w:rFonts w:hint="eastAsia" w:ascii="仿宋" w:hAnsi="仿宋" w:cs="仿宋"/>
                <w:b/>
                <w:bCs/>
                <w:color w:val="0C0C0C"/>
                <w:sz w:val="24"/>
                <w:szCs w:val="24"/>
                <w:lang w:bidi="ar"/>
              </w:rPr>
              <w:t>序号</w:t>
            </w:r>
          </w:p>
        </w:tc>
        <w:tc>
          <w:tcPr>
            <w:tcW w:w="174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b/>
                <w:bCs/>
                <w:color w:val="0C0C0C"/>
                <w:sz w:val="24"/>
                <w:szCs w:val="24"/>
              </w:rPr>
            </w:pPr>
            <w:r>
              <w:rPr>
                <w:rFonts w:hint="eastAsia" w:ascii="仿宋" w:hAnsi="仿宋" w:cs="仿宋"/>
                <w:b/>
                <w:bCs/>
                <w:color w:val="0C0C0C"/>
                <w:sz w:val="24"/>
                <w:szCs w:val="24"/>
                <w:lang w:bidi="ar"/>
              </w:rPr>
              <w:t>设备名称</w:t>
            </w:r>
          </w:p>
        </w:tc>
        <w:tc>
          <w:tcPr>
            <w:tcW w:w="430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b/>
                <w:bCs/>
                <w:color w:val="0C0C0C"/>
                <w:sz w:val="24"/>
                <w:szCs w:val="24"/>
              </w:rPr>
            </w:pPr>
            <w:r>
              <w:rPr>
                <w:rFonts w:hint="eastAsia" w:ascii="仿宋" w:hAnsi="仿宋" w:cs="仿宋"/>
                <w:b/>
                <w:bCs/>
                <w:color w:val="0C0C0C"/>
                <w:sz w:val="24"/>
                <w:szCs w:val="24"/>
                <w:lang w:bidi="ar"/>
              </w:rPr>
              <w:t>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b/>
                <w:bCs/>
                <w:color w:val="0C0C0C"/>
                <w:sz w:val="24"/>
                <w:szCs w:val="24"/>
              </w:rPr>
            </w:pPr>
            <w:r>
              <w:rPr>
                <w:rFonts w:hint="eastAsia" w:ascii="仿宋" w:hAnsi="仿宋" w:cs="仿宋"/>
                <w:b/>
                <w:bCs/>
                <w:color w:val="0C0C0C"/>
                <w:sz w:val="24"/>
                <w:szCs w:val="24"/>
                <w:lang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b/>
                <w:bCs/>
                <w:color w:val="0C0C0C"/>
                <w:sz w:val="24"/>
                <w:szCs w:val="24"/>
              </w:rPr>
            </w:pPr>
            <w:r>
              <w:rPr>
                <w:rFonts w:hint="eastAsia" w:ascii="仿宋" w:hAnsi="仿宋" w:cs="仿宋"/>
                <w:b/>
                <w:bCs/>
                <w:color w:val="0C0C0C"/>
                <w:sz w:val="24"/>
                <w:szCs w:val="24"/>
                <w:lang w:bidi="ar"/>
              </w:rPr>
              <w:t>数量</w:t>
            </w:r>
          </w:p>
        </w:tc>
      </w:tr>
      <w:tr>
        <w:tblPrEx>
          <w:tblCellMar>
            <w:top w:w="0" w:type="dxa"/>
            <w:left w:w="108" w:type="dxa"/>
            <w:bottom w:w="0" w:type="dxa"/>
            <w:right w:w="108" w:type="dxa"/>
          </w:tblCellMar>
        </w:tblPrEx>
        <w:trPr>
          <w:trHeight w:val="467"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color w:val="000000"/>
                <w:sz w:val="24"/>
                <w:szCs w:val="24"/>
              </w:rPr>
            </w:pPr>
            <w:r>
              <w:rPr>
                <w:rFonts w:hint="eastAsia" w:eastAsia="宋体"/>
                <w:color w:val="000000"/>
                <w:sz w:val="24"/>
                <w:szCs w:val="24"/>
                <w:lang w:bidi="ar"/>
              </w:rPr>
              <w:t>1</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普通计算机</w:t>
            </w:r>
          </w:p>
        </w:tc>
        <w:tc>
          <w:tcPr>
            <w:tcW w:w="430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普通计算机：</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操作系统：Windows 10</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CPU：Intel i5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内存：8G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硬盘：500G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网卡：百兆及以上网卡</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显示器：19 英寸及以上</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0C0C0C"/>
                <w:sz w:val="24"/>
                <w:szCs w:val="24"/>
              </w:rPr>
            </w:pPr>
            <w:r>
              <w:rPr>
                <w:rFonts w:ascii="Times New Roman" w:hAnsi="Times New Roman" w:eastAsia="宋体" w:cs="Times New Roman"/>
                <w:color w:val="0C0C0C"/>
                <w:sz w:val="24"/>
                <w:szCs w:val="24"/>
                <w:lang w:bidi="ar"/>
              </w:rPr>
              <w:t>1</w:t>
            </w:r>
          </w:p>
        </w:tc>
      </w:tr>
      <w:tr>
        <w:tblPrEx>
          <w:tblCellMar>
            <w:top w:w="0" w:type="dxa"/>
            <w:left w:w="108" w:type="dxa"/>
            <w:bottom w:w="0" w:type="dxa"/>
            <w:right w:w="108" w:type="dxa"/>
          </w:tblCellMar>
        </w:tblPrEx>
        <w:trPr>
          <w:trHeight w:val="61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61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5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467"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color w:val="000000"/>
                <w:sz w:val="24"/>
                <w:szCs w:val="24"/>
              </w:rPr>
            </w:pPr>
            <w:r>
              <w:rPr>
                <w:rFonts w:hint="eastAsia" w:eastAsia="宋体"/>
                <w:color w:val="000000"/>
                <w:sz w:val="24"/>
                <w:szCs w:val="24"/>
                <w:lang w:bidi="ar"/>
              </w:rPr>
              <w:t>2</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或者 iMAC（二选一作为开发机）</w:t>
            </w:r>
          </w:p>
        </w:tc>
        <w:tc>
          <w:tcPr>
            <w:tcW w:w="430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iMAC</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操作系统：Mac OS 11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CPU：Intel i5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内存：8G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硬盘：256G 及以上</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网卡：百兆及以上网卡</w:t>
            </w:r>
            <w:r>
              <w:rPr>
                <w:rFonts w:hint="eastAsia" w:ascii="仿宋" w:hAnsi="仿宋" w:cs="仿宋"/>
                <w:color w:val="0C0C0C"/>
                <w:sz w:val="24"/>
                <w:szCs w:val="24"/>
                <w:lang w:bidi="ar"/>
              </w:rPr>
              <w:br w:type="textWrapping"/>
            </w:r>
            <w:r>
              <w:rPr>
                <w:rFonts w:hint="eastAsia" w:ascii="仿宋" w:hAnsi="仿宋" w:cs="仿宋"/>
                <w:color w:val="0C0C0C"/>
                <w:sz w:val="24"/>
                <w:szCs w:val="24"/>
                <w:lang w:bidi="ar"/>
              </w:rPr>
              <w:t>显示器：21.5 英寸及以上</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Times New Roman" w:hAnsi="Times New Roman" w:eastAsia="宋体" w:cs="Times New Roman"/>
                <w:color w:val="0C0C0C"/>
                <w:sz w:val="24"/>
                <w:szCs w:val="24"/>
              </w:rPr>
            </w:pPr>
            <w:r>
              <w:rPr>
                <w:rFonts w:ascii="Times New Roman" w:hAnsi="Times New Roman" w:eastAsia="宋体" w:cs="Times New Roman"/>
                <w:color w:val="0C0C0C"/>
                <w:sz w:val="24"/>
                <w:szCs w:val="24"/>
                <w:lang w:bidi="ar"/>
              </w:rPr>
              <w:t>1</w:t>
            </w:r>
          </w:p>
        </w:tc>
      </w:tr>
      <w:tr>
        <w:tblPrEx>
          <w:tblCellMar>
            <w:top w:w="0" w:type="dxa"/>
            <w:left w:w="108" w:type="dxa"/>
            <w:bottom w:w="0" w:type="dxa"/>
            <w:right w:w="108" w:type="dxa"/>
          </w:tblCellMar>
        </w:tblPrEx>
        <w:trPr>
          <w:trHeight w:val="46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6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61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46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46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r>
        <w:tblPrEx>
          <w:tblCellMar>
            <w:top w:w="0" w:type="dxa"/>
            <w:left w:w="108" w:type="dxa"/>
            <w:bottom w:w="0" w:type="dxa"/>
            <w:right w:w="108" w:type="dxa"/>
          </w:tblCellMar>
        </w:tblPrEx>
        <w:trPr>
          <w:trHeight w:val="467"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olor w:val="000000"/>
                <w:sz w:val="24"/>
                <w:szCs w:val="24"/>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430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仿宋" w:hAnsi="仿宋" w:cs="仿宋"/>
                <w:color w:val="0C0C0C"/>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Times New Roman" w:hAnsi="Times New Roman" w:eastAsia="宋体" w:cs="Times New Roman"/>
                <w:color w:val="0C0C0C"/>
                <w:sz w:val="24"/>
                <w:szCs w:val="24"/>
              </w:rPr>
            </w:pPr>
          </w:p>
        </w:tc>
      </w:tr>
    </w:tbl>
    <w:p>
      <w:pPr>
        <w:ind w:firstLine="480" w:firstLineChars="200"/>
        <w:rPr>
          <w:sz w:val="24"/>
          <w:szCs w:val="24"/>
        </w:rPr>
      </w:pPr>
    </w:p>
    <w:p>
      <w:pPr>
        <w:ind w:firstLine="480" w:firstLineChars="200"/>
        <w:rPr>
          <w:sz w:val="24"/>
          <w:szCs w:val="24"/>
        </w:rPr>
        <w:sectPr>
          <w:footerReference r:id="rId5" w:type="default"/>
          <w:pgSz w:w="11900" w:h="16838"/>
          <w:pgMar w:top="1440" w:right="1440" w:bottom="445" w:left="1440" w:header="0" w:footer="0" w:gutter="0"/>
          <w:cols w:equalWidth="0" w:num="1">
            <w:col w:w="9026"/>
          </w:cols>
        </w:sectPr>
      </w:pPr>
    </w:p>
    <w:p>
      <w:pPr>
        <w:ind w:firstLine="480" w:firstLineChars="200"/>
        <w:rPr>
          <w:sz w:val="24"/>
          <w:szCs w:val="24"/>
        </w:rPr>
      </w:pPr>
    </w:p>
    <w:p>
      <w:pPr>
        <w:ind w:firstLine="480" w:firstLineChars="200"/>
        <w:rPr>
          <w:sz w:val="24"/>
          <w:szCs w:val="24"/>
        </w:rPr>
      </w:pPr>
    </w:p>
    <w:p>
      <w:pPr>
        <w:ind w:firstLine="480" w:firstLineChars="200"/>
        <w:rPr>
          <w:sz w:val="24"/>
          <w:szCs w:val="24"/>
        </w:rPr>
      </w:pPr>
    </w:p>
    <w:p>
      <w:pPr>
        <w:ind w:firstLine="480" w:firstLineChars="200"/>
        <w:rPr>
          <w:sz w:val="24"/>
          <w:szCs w:val="24"/>
        </w:rPr>
        <w:sectPr>
          <w:type w:val="continuous"/>
          <w:pgSz w:w="11900" w:h="16838"/>
          <w:pgMar w:top="1440" w:right="1440" w:bottom="445" w:left="1440" w:header="0" w:footer="0" w:gutter="0"/>
          <w:cols w:equalWidth="0" w:num="1">
            <w:col w:w="9026"/>
          </w:cols>
        </w:sectPr>
      </w:pPr>
    </w:p>
    <w:p>
      <w:pPr>
        <w:ind w:left="360" w:firstLine="482" w:firstLineChars="200"/>
        <w:outlineLvl w:val="1"/>
        <w:rPr>
          <w:sz w:val="24"/>
          <w:szCs w:val="24"/>
        </w:rPr>
      </w:pPr>
      <w:bookmarkStart w:id="9" w:name="page21"/>
      <w:bookmarkEnd w:id="9"/>
      <w:r>
        <w:rPr>
          <w:b/>
          <w:bCs/>
          <w:color w:val="0C0C0C"/>
          <w:sz w:val="24"/>
          <w:szCs w:val="24"/>
        </w:rPr>
        <w:t>（二）软件平台</w:t>
      </w:r>
    </w:p>
    <w:tbl>
      <w:tblPr>
        <w:tblStyle w:val="8"/>
        <w:tblpPr w:leftFromText="180" w:rightFromText="180" w:vertAnchor="page" w:horzAnchor="page" w:tblpX="1600" w:tblpY="2605"/>
        <w:tblOverlap w:val="never"/>
        <w:tblW w:w="8450" w:type="dxa"/>
        <w:tblInd w:w="0" w:type="dxa"/>
        <w:tblLayout w:type="autofit"/>
        <w:tblCellMar>
          <w:top w:w="0" w:type="dxa"/>
          <w:left w:w="108" w:type="dxa"/>
          <w:bottom w:w="0" w:type="dxa"/>
          <w:right w:w="108" w:type="dxa"/>
        </w:tblCellMar>
      </w:tblPr>
      <w:tblGrid>
        <w:gridCol w:w="897"/>
        <w:gridCol w:w="2046"/>
        <w:gridCol w:w="2636"/>
        <w:gridCol w:w="1974"/>
        <w:gridCol w:w="897"/>
      </w:tblGrid>
      <w:tr>
        <w:tblPrEx>
          <w:tblCellMar>
            <w:top w:w="0" w:type="dxa"/>
            <w:left w:w="108" w:type="dxa"/>
            <w:bottom w:w="0" w:type="dxa"/>
            <w:right w:w="108" w:type="dxa"/>
          </w:tblCellMar>
        </w:tblPrEx>
        <w:trPr>
          <w:trHeight w:val="370" w:hRule="atLeast"/>
        </w:trPr>
        <w:tc>
          <w:tcPr>
            <w:tcW w:w="84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82" w:firstLineChars="200"/>
              <w:jc w:val="center"/>
              <w:textAlignment w:val="center"/>
              <w:rPr>
                <w:rFonts w:ascii="仿宋" w:hAnsi="仿宋" w:cs="仿宋"/>
                <w:b/>
                <w:bCs/>
                <w:color w:val="0C0C0C"/>
                <w:sz w:val="24"/>
                <w:szCs w:val="24"/>
              </w:rPr>
            </w:pPr>
            <w:r>
              <w:rPr>
                <w:rFonts w:hint="eastAsia" w:ascii="仿宋" w:hAnsi="仿宋" w:cs="仿宋"/>
                <w:b/>
                <w:bCs/>
                <w:color w:val="0C0C0C"/>
                <w:sz w:val="24"/>
                <w:szCs w:val="24"/>
                <w:lang w:bidi="ar"/>
              </w:rPr>
              <w:t>表</w:t>
            </w:r>
            <w:r>
              <w:rPr>
                <w:rStyle w:val="13"/>
                <w:sz w:val="24"/>
                <w:szCs w:val="24"/>
                <w:lang w:bidi="ar"/>
              </w:rPr>
              <w:t xml:space="preserve"> 6 </w:t>
            </w:r>
            <w:r>
              <w:rPr>
                <w:rStyle w:val="14"/>
                <w:rFonts w:hint="default"/>
                <w:sz w:val="24"/>
                <w:szCs w:val="24"/>
                <w:lang w:bidi="ar"/>
              </w:rPr>
              <w:t>移动应用开发赛项软件平台</w:t>
            </w:r>
          </w:p>
        </w:tc>
      </w:tr>
      <w:tr>
        <w:tblPrEx>
          <w:tblCellMar>
            <w:top w:w="0" w:type="dxa"/>
            <w:left w:w="108" w:type="dxa"/>
            <w:bottom w:w="0" w:type="dxa"/>
            <w:right w:w="108" w:type="dxa"/>
          </w:tblCellMar>
        </w:tblPrEx>
        <w:trPr>
          <w:trHeight w:val="315"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序号</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软件名称</w:t>
            </w:r>
          </w:p>
        </w:tc>
        <w:tc>
          <w:tcPr>
            <w:tcW w:w="263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版本</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单位</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数量</w:t>
            </w:r>
          </w:p>
        </w:tc>
      </w:tr>
      <w:tr>
        <w:tblPrEx>
          <w:tblCellMar>
            <w:top w:w="0" w:type="dxa"/>
            <w:left w:w="108" w:type="dxa"/>
            <w:bottom w:w="0" w:type="dxa"/>
            <w:right w:w="108" w:type="dxa"/>
          </w:tblCellMar>
        </w:tblPrEx>
        <w:trPr>
          <w:trHeight w:val="60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1</w:t>
            </w:r>
          </w:p>
        </w:tc>
        <w:tc>
          <w:tcPr>
            <w:tcW w:w="204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Office word</w:t>
            </w:r>
          </w:p>
        </w:tc>
        <w:tc>
          <w:tcPr>
            <w:tcW w:w="263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Version 2016</w:t>
            </w:r>
          </w:p>
        </w:tc>
        <w:tc>
          <w:tcPr>
            <w:tcW w:w="197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1</w:t>
            </w:r>
          </w:p>
        </w:tc>
      </w:tr>
      <w:tr>
        <w:tblPrEx>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2</w:t>
            </w:r>
          </w:p>
        </w:tc>
        <w:tc>
          <w:tcPr>
            <w:tcW w:w="204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Android studio</w:t>
            </w:r>
          </w:p>
        </w:tc>
        <w:tc>
          <w:tcPr>
            <w:tcW w:w="263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Version 4.0</w:t>
            </w:r>
          </w:p>
        </w:tc>
        <w:tc>
          <w:tcPr>
            <w:tcW w:w="197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1</w:t>
            </w:r>
          </w:p>
        </w:tc>
      </w:tr>
      <w:tr>
        <w:tblPrEx>
          <w:tblCellMar>
            <w:top w:w="0" w:type="dxa"/>
            <w:left w:w="108" w:type="dxa"/>
            <w:bottom w:w="0" w:type="dxa"/>
            <w:right w:w="108" w:type="dxa"/>
          </w:tblCellMar>
        </w:tblPrEx>
        <w:trPr>
          <w:trHeight w:val="62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3</w:t>
            </w:r>
          </w:p>
        </w:tc>
        <w:tc>
          <w:tcPr>
            <w:tcW w:w="204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Android 模拟器</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Version 7.1.X</w:t>
            </w:r>
          </w:p>
        </w:tc>
        <w:tc>
          <w:tcPr>
            <w:tcW w:w="197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1</w:t>
            </w:r>
          </w:p>
        </w:tc>
      </w:tr>
      <w:tr>
        <w:tblPrEx>
          <w:tblCellMar>
            <w:top w:w="0" w:type="dxa"/>
            <w:left w:w="108" w:type="dxa"/>
            <w:bottom w:w="0" w:type="dxa"/>
            <w:right w:w="108" w:type="dxa"/>
          </w:tblCellMar>
        </w:tblPrEx>
        <w:trPr>
          <w:trHeight w:val="295"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4</w:t>
            </w:r>
          </w:p>
        </w:tc>
        <w:tc>
          <w:tcPr>
            <w:tcW w:w="2046"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Hbuilder X</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Version 3.0 及以上版本</w:t>
            </w:r>
          </w:p>
        </w:tc>
        <w:tc>
          <w:tcPr>
            <w:tcW w:w="197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1</w:t>
            </w:r>
          </w:p>
        </w:tc>
      </w:tr>
      <w:tr>
        <w:tblPrEx>
          <w:tblCellMar>
            <w:top w:w="0" w:type="dxa"/>
            <w:left w:w="108" w:type="dxa"/>
            <w:bottom w:w="0" w:type="dxa"/>
            <w:right w:w="108" w:type="dxa"/>
          </w:tblCellMar>
        </w:tblPrEx>
        <w:trPr>
          <w:trHeight w:val="61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5</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谷歌浏览器</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textAlignment w:val="top"/>
              <w:rPr>
                <w:rFonts w:ascii="仿宋" w:hAnsi="仿宋" w:cs="仿宋"/>
                <w:color w:val="000000"/>
                <w:sz w:val="24"/>
                <w:szCs w:val="24"/>
              </w:rPr>
            </w:pPr>
            <w:r>
              <w:rPr>
                <w:rFonts w:hint="eastAsia" w:ascii="仿宋" w:hAnsi="仿宋" w:cs="仿宋"/>
                <w:color w:val="000000"/>
                <w:sz w:val="24"/>
                <w:szCs w:val="24"/>
                <w:lang w:bidi="ar"/>
              </w:rPr>
              <w:t>Version 55以上</w:t>
            </w:r>
          </w:p>
        </w:tc>
        <w:tc>
          <w:tcPr>
            <w:tcW w:w="1974"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套</w:t>
            </w:r>
          </w:p>
        </w:tc>
        <w:tc>
          <w:tcPr>
            <w:tcW w:w="897"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rFonts w:ascii="仿宋" w:hAnsi="仿宋" w:cs="仿宋"/>
                <w:color w:val="0C0C0C"/>
                <w:sz w:val="24"/>
                <w:szCs w:val="24"/>
              </w:rPr>
            </w:pPr>
            <w:r>
              <w:rPr>
                <w:rFonts w:hint="eastAsia" w:ascii="仿宋" w:hAnsi="仿宋" w:cs="仿宋"/>
                <w:color w:val="0C0C0C"/>
                <w:sz w:val="24"/>
                <w:szCs w:val="24"/>
                <w:lang w:bidi="ar"/>
              </w:rPr>
              <w:t>1</w:t>
            </w:r>
          </w:p>
        </w:tc>
      </w:tr>
    </w:tbl>
    <w:p>
      <w:pPr>
        <w:ind w:left="360" w:firstLine="482" w:firstLineChars="200"/>
        <w:outlineLvl w:val="1"/>
        <w:rPr>
          <w:b/>
          <w:bCs/>
          <w:color w:val="0C0C0C"/>
          <w:sz w:val="24"/>
          <w:szCs w:val="24"/>
        </w:rPr>
      </w:pPr>
    </w:p>
    <w:p>
      <w:pPr>
        <w:ind w:firstLine="566" w:firstLineChars="235"/>
        <w:outlineLvl w:val="1"/>
        <w:rPr>
          <w:sz w:val="24"/>
          <w:szCs w:val="24"/>
        </w:rPr>
      </w:pPr>
      <w:r>
        <w:rPr>
          <w:b/>
          <w:bCs/>
          <w:color w:val="0C0C0C"/>
          <w:sz w:val="24"/>
          <w:szCs w:val="24"/>
        </w:rPr>
        <w:t>（三）场地禁止自带使用的设备和材料</w:t>
      </w:r>
    </w:p>
    <w:p>
      <w:pPr>
        <w:ind w:firstLine="480" w:firstLineChars="200"/>
        <w:rPr>
          <w:sz w:val="24"/>
          <w:szCs w:val="24"/>
        </w:rPr>
      </w:pPr>
      <w:r>
        <w:rPr>
          <w:color w:val="0C0C0C"/>
          <w:sz w:val="24"/>
          <w:szCs w:val="24"/>
        </w:rPr>
        <w:t>包括：电子设备，如平板、手机、多媒体播放器、录音器，照相机，摄影机等。</w:t>
      </w:r>
      <w:bookmarkStart w:id="10" w:name="page22"/>
      <w:bookmarkEnd w:id="10"/>
    </w:p>
    <w:p>
      <w:pPr>
        <w:ind w:firstLine="482" w:firstLineChars="200"/>
        <w:outlineLvl w:val="0"/>
        <w:rPr>
          <w:sz w:val="24"/>
          <w:szCs w:val="24"/>
        </w:rPr>
      </w:pPr>
      <w:r>
        <w:rPr>
          <w:rFonts w:hint="eastAsia"/>
          <w:b/>
          <w:bCs/>
          <w:color w:val="0C0C0C"/>
          <w:sz w:val="24"/>
          <w:szCs w:val="24"/>
        </w:rPr>
        <w:t>九</w:t>
      </w:r>
      <w:r>
        <w:rPr>
          <w:b/>
          <w:bCs/>
          <w:color w:val="0C0C0C"/>
          <w:sz w:val="24"/>
          <w:szCs w:val="24"/>
        </w:rPr>
        <w:t>、成绩评定</w:t>
      </w:r>
    </w:p>
    <w:p>
      <w:pPr>
        <w:ind w:firstLine="482" w:firstLineChars="200"/>
        <w:outlineLvl w:val="1"/>
        <w:rPr>
          <w:sz w:val="24"/>
          <w:szCs w:val="24"/>
        </w:rPr>
      </w:pPr>
      <w:r>
        <w:rPr>
          <w:b/>
          <w:bCs/>
          <w:color w:val="0C0C0C"/>
          <w:sz w:val="24"/>
          <w:szCs w:val="24"/>
        </w:rPr>
        <w:t>（一）评分原则</w:t>
      </w:r>
    </w:p>
    <w:p>
      <w:pPr>
        <w:ind w:firstLine="480" w:firstLineChars="200"/>
        <w:outlineLvl w:val="2"/>
        <w:rPr>
          <w:sz w:val="24"/>
          <w:szCs w:val="24"/>
        </w:rPr>
      </w:pPr>
      <w:r>
        <w:rPr>
          <w:rFonts w:ascii="Times New Roman" w:hAnsi="Times New Roman" w:eastAsia="Times New Roman" w:cs="Times New Roman"/>
          <w:b/>
          <w:bCs/>
          <w:color w:val="0C0C0C"/>
          <w:sz w:val="24"/>
          <w:szCs w:val="24"/>
        </w:rPr>
        <w:t>1.</w:t>
      </w:r>
      <w:r>
        <w:rPr>
          <w:b/>
          <w:bCs/>
          <w:color w:val="0C0C0C"/>
          <w:sz w:val="24"/>
          <w:szCs w:val="24"/>
        </w:rPr>
        <w:t>独立评分原则</w:t>
      </w:r>
    </w:p>
    <w:p>
      <w:pPr>
        <w:ind w:firstLine="480" w:firstLineChars="200"/>
        <w:rPr>
          <w:sz w:val="24"/>
          <w:szCs w:val="24"/>
        </w:rPr>
      </w:pPr>
      <w:r>
        <w:rPr>
          <w:color w:val="0C0C0C"/>
          <w:sz w:val="24"/>
          <w:szCs w:val="24"/>
        </w:rPr>
        <w:t>根据裁判分工，负责相同模块评分工作的不同裁判，采取随机抽签方式对参赛选手提交的竞赛作品，依据赛项评价标准独立评分，确保成绩评定严谨、客观、准确。</w:t>
      </w:r>
    </w:p>
    <w:p>
      <w:pPr>
        <w:ind w:firstLine="480" w:firstLineChars="200"/>
        <w:rPr>
          <w:sz w:val="24"/>
          <w:szCs w:val="24"/>
        </w:rPr>
      </w:pPr>
      <w:r>
        <w:rPr>
          <w:color w:val="0C0C0C"/>
          <w:sz w:val="24"/>
          <w:szCs w:val="24"/>
        </w:rPr>
        <w:t>（</w:t>
      </w:r>
      <w:r>
        <w:rPr>
          <w:rFonts w:ascii="Times New Roman" w:hAnsi="Times New Roman" w:eastAsia="Times New Roman" w:cs="Times New Roman"/>
          <w:color w:val="0C0C0C"/>
          <w:sz w:val="24"/>
          <w:szCs w:val="24"/>
        </w:rPr>
        <w:t>1</w:t>
      </w:r>
      <w:r>
        <w:rPr>
          <w:color w:val="0C0C0C"/>
          <w:sz w:val="24"/>
          <w:szCs w:val="24"/>
        </w:rPr>
        <w:t>） 裁判每次评分前须进行随机抽签分组，杜绝主观意愿组队，各自完全独立评分，裁判员间互不干涉。</w:t>
      </w:r>
    </w:p>
    <w:p>
      <w:pPr>
        <w:ind w:firstLine="480" w:firstLineChars="200"/>
        <w:rPr>
          <w:sz w:val="24"/>
          <w:szCs w:val="24"/>
        </w:rPr>
      </w:pPr>
      <w:r>
        <w:rPr>
          <w:color w:val="0C0C0C"/>
          <w:sz w:val="24"/>
          <w:szCs w:val="24"/>
        </w:rPr>
        <w:t>（</w:t>
      </w:r>
      <w:r>
        <w:rPr>
          <w:rFonts w:ascii="Times New Roman" w:hAnsi="Times New Roman" w:eastAsia="Times New Roman" w:cs="Times New Roman"/>
          <w:color w:val="0C0C0C"/>
          <w:sz w:val="24"/>
          <w:szCs w:val="24"/>
        </w:rPr>
        <w:t>2</w:t>
      </w:r>
      <w:r>
        <w:rPr>
          <w:color w:val="0C0C0C"/>
          <w:sz w:val="24"/>
          <w:szCs w:val="24"/>
        </w:rPr>
        <w:t>） 加密裁判加密当前评判模块赛位号后，由评分裁判统一在工作区内评分，比赛监督人员可随机监督。</w:t>
      </w:r>
    </w:p>
    <w:p>
      <w:pPr>
        <w:ind w:firstLine="480" w:firstLineChars="200"/>
        <w:rPr>
          <w:sz w:val="24"/>
          <w:szCs w:val="24"/>
        </w:rPr>
      </w:pPr>
      <w:r>
        <w:rPr>
          <w:color w:val="0C0C0C"/>
          <w:sz w:val="24"/>
          <w:szCs w:val="24"/>
        </w:rPr>
        <w:t>（</w:t>
      </w:r>
      <w:r>
        <w:rPr>
          <w:rFonts w:ascii="Times New Roman" w:hAnsi="Times New Roman" w:eastAsia="Times New Roman" w:cs="Times New Roman"/>
          <w:color w:val="0C0C0C"/>
          <w:sz w:val="24"/>
          <w:szCs w:val="24"/>
        </w:rPr>
        <w:t>3</w:t>
      </w:r>
      <w:r>
        <w:rPr>
          <w:color w:val="0C0C0C"/>
          <w:sz w:val="24"/>
          <w:szCs w:val="24"/>
        </w:rPr>
        <w:t>） 评分裁判核定当前模块成绩后将成绩录入系统。</w:t>
      </w:r>
    </w:p>
    <w:p>
      <w:pPr>
        <w:ind w:firstLine="480" w:firstLineChars="200"/>
        <w:outlineLvl w:val="2"/>
        <w:rPr>
          <w:sz w:val="24"/>
          <w:szCs w:val="24"/>
        </w:rPr>
      </w:pPr>
      <w:r>
        <w:rPr>
          <w:rFonts w:ascii="Times New Roman" w:hAnsi="Times New Roman" w:eastAsia="Times New Roman" w:cs="Times New Roman"/>
          <w:b/>
          <w:bCs/>
          <w:color w:val="0C0C0C"/>
          <w:sz w:val="24"/>
          <w:szCs w:val="24"/>
        </w:rPr>
        <w:t>2.</w:t>
      </w:r>
      <w:r>
        <w:rPr>
          <w:b/>
          <w:bCs/>
          <w:color w:val="0C0C0C"/>
          <w:sz w:val="24"/>
          <w:szCs w:val="24"/>
        </w:rPr>
        <w:t>错误不传递原则</w:t>
      </w:r>
    </w:p>
    <w:p>
      <w:pPr>
        <w:ind w:firstLine="474" w:firstLineChars="200"/>
        <w:rPr>
          <w:sz w:val="24"/>
          <w:szCs w:val="24"/>
        </w:rPr>
      </w:pPr>
      <w:r>
        <w:rPr>
          <w:color w:val="0C0C0C"/>
          <w:w w:val="99"/>
          <w:sz w:val="24"/>
          <w:szCs w:val="24"/>
        </w:rPr>
        <w:t>各环节分别计算得分，错误不传递，按规定比例计入团队总分。</w:t>
      </w:r>
    </w:p>
    <w:p>
      <w:pPr>
        <w:ind w:firstLine="480" w:firstLineChars="200"/>
        <w:outlineLvl w:val="2"/>
        <w:rPr>
          <w:sz w:val="24"/>
          <w:szCs w:val="24"/>
        </w:rPr>
      </w:pPr>
      <w:r>
        <w:rPr>
          <w:rFonts w:ascii="Times New Roman" w:hAnsi="Times New Roman" w:eastAsia="Times New Roman" w:cs="Times New Roman"/>
          <w:b/>
          <w:bCs/>
          <w:color w:val="0C0C0C"/>
          <w:sz w:val="24"/>
          <w:szCs w:val="24"/>
        </w:rPr>
        <w:t>3.</w:t>
      </w:r>
      <w:r>
        <w:rPr>
          <w:b/>
          <w:bCs/>
          <w:color w:val="0C0C0C"/>
          <w:sz w:val="24"/>
          <w:szCs w:val="24"/>
        </w:rPr>
        <w:t>结果评分原则</w:t>
      </w:r>
    </w:p>
    <w:p>
      <w:pPr>
        <w:ind w:firstLine="474" w:firstLineChars="200"/>
        <w:rPr>
          <w:sz w:val="24"/>
          <w:szCs w:val="24"/>
        </w:rPr>
      </w:pPr>
      <w:r>
        <w:rPr>
          <w:color w:val="0C0C0C"/>
          <w:w w:val="99"/>
          <w:sz w:val="24"/>
          <w:szCs w:val="24"/>
        </w:rPr>
        <w:t>竞赛名次按照成绩总分从高到低排序。相同成绩的</w:t>
      </w:r>
      <w:r>
        <w:rPr>
          <w:rFonts w:hint="eastAsia"/>
          <w:color w:val="0C0C0C"/>
          <w:w w:val="99"/>
          <w:sz w:val="24"/>
          <w:szCs w:val="24"/>
        </w:rPr>
        <w:t>按对赛题的还原度的高低进行排序</w:t>
      </w:r>
      <w:r>
        <w:rPr>
          <w:color w:val="0C0C0C"/>
          <w:w w:val="99"/>
          <w:sz w:val="24"/>
          <w:szCs w:val="24"/>
        </w:rPr>
        <w:t>。</w:t>
      </w:r>
    </w:p>
    <w:p>
      <w:pPr>
        <w:ind w:firstLine="482" w:firstLineChars="200"/>
        <w:outlineLvl w:val="2"/>
        <w:rPr>
          <w:sz w:val="24"/>
          <w:szCs w:val="24"/>
        </w:rPr>
      </w:pPr>
      <w:r>
        <w:rPr>
          <w:rFonts w:hint="eastAsia" w:ascii="Times New Roman" w:hAnsi="Times New Roman" w:eastAsia="宋体" w:cs="Times New Roman"/>
          <w:b/>
          <w:bCs/>
          <w:color w:val="0C0C0C"/>
          <w:sz w:val="24"/>
          <w:szCs w:val="24"/>
        </w:rPr>
        <w:t>4.</w:t>
      </w:r>
      <w:r>
        <w:rPr>
          <w:b/>
          <w:bCs/>
          <w:color w:val="0C0C0C"/>
          <w:sz w:val="24"/>
          <w:szCs w:val="24"/>
        </w:rPr>
        <w:t>抽查复核原则</w:t>
      </w:r>
    </w:p>
    <w:p>
      <w:pPr>
        <w:ind w:firstLine="708" w:firstLineChars="295"/>
        <w:rPr>
          <w:sz w:val="24"/>
          <w:szCs w:val="24"/>
        </w:rPr>
      </w:pPr>
      <w:r>
        <w:rPr>
          <w:color w:val="0C0C0C"/>
          <w:sz w:val="24"/>
          <w:szCs w:val="24"/>
        </w:rPr>
        <w:t>（</w:t>
      </w:r>
      <w:r>
        <w:rPr>
          <w:rFonts w:ascii="Times New Roman" w:hAnsi="Times New Roman" w:eastAsia="Times New Roman" w:cs="Times New Roman"/>
          <w:color w:val="0C0C0C"/>
          <w:sz w:val="24"/>
          <w:szCs w:val="24"/>
        </w:rPr>
        <w:t>1</w:t>
      </w:r>
      <w:r>
        <w:rPr>
          <w:color w:val="0C0C0C"/>
          <w:sz w:val="24"/>
          <w:szCs w:val="24"/>
        </w:rPr>
        <w:t>） 为保障成绩评判的准确性，监督组对赛项总成绩排名前</w:t>
      </w:r>
      <w:r>
        <w:rPr>
          <w:rFonts w:ascii="Times New Roman" w:hAnsi="Times New Roman" w:eastAsia="Times New Roman" w:cs="Times New Roman"/>
          <w:color w:val="0C0C0C"/>
          <w:sz w:val="24"/>
          <w:szCs w:val="24"/>
        </w:rPr>
        <w:t>30%</w:t>
      </w:r>
      <w:r>
        <w:rPr>
          <w:color w:val="0C0C0C"/>
          <w:sz w:val="24"/>
          <w:szCs w:val="24"/>
        </w:rPr>
        <w:t>的所有参赛队伍（选手）的成绩进行复核；对其余成绩进行抽检复核，抽检覆盖率不得低于</w:t>
      </w:r>
      <w:r>
        <w:rPr>
          <w:rFonts w:ascii="Times New Roman" w:hAnsi="Times New Roman" w:eastAsia="Times New Roman" w:cs="Times New Roman"/>
          <w:color w:val="0C0C0C"/>
          <w:sz w:val="24"/>
          <w:szCs w:val="24"/>
        </w:rPr>
        <w:t xml:space="preserve"> 15%</w:t>
      </w:r>
      <w:r>
        <w:rPr>
          <w:color w:val="0C0C0C"/>
          <w:sz w:val="24"/>
          <w:szCs w:val="24"/>
        </w:rPr>
        <w:t>。</w:t>
      </w:r>
    </w:p>
    <w:p>
      <w:pPr>
        <w:ind w:firstLine="480" w:firstLineChars="200"/>
        <w:rPr>
          <w:sz w:val="24"/>
          <w:szCs w:val="24"/>
        </w:rPr>
      </w:pPr>
    </w:p>
    <w:p>
      <w:pPr>
        <w:ind w:firstLine="711" w:firstLineChars="300"/>
        <w:rPr>
          <w:sz w:val="24"/>
          <w:szCs w:val="24"/>
        </w:rPr>
      </w:pPr>
      <w:r>
        <w:rPr>
          <w:color w:val="0C0C0C"/>
          <w:w w:val="99"/>
          <w:sz w:val="24"/>
          <w:szCs w:val="24"/>
        </w:rPr>
        <w:t>（</w:t>
      </w:r>
      <w:r>
        <w:rPr>
          <w:rFonts w:ascii="Times New Roman" w:hAnsi="Times New Roman" w:eastAsia="Times New Roman" w:cs="Times New Roman"/>
          <w:color w:val="0C0C0C"/>
          <w:w w:val="99"/>
          <w:sz w:val="24"/>
          <w:szCs w:val="24"/>
        </w:rPr>
        <w:t>2</w:t>
      </w:r>
      <w:r>
        <w:rPr>
          <w:color w:val="0C0C0C"/>
          <w:w w:val="99"/>
          <w:sz w:val="24"/>
          <w:szCs w:val="24"/>
        </w:rPr>
        <w:t>） 监督组需将复核中发现的错误以书面方式及时告知裁判长，</w:t>
      </w:r>
      <w:r>
        <w:rPr>
          <w:color w:val="0C0C0C"/>
          <w:sz w:val="24"/>
          <w:szCs w:val="24"/>
        </w:rPr>
        <w:t>由裁判长更正成绩并签字确认。</w:t>
      </w:r>
    </w:p>
    <w:p>
      <w:pPr>
        <w:ind w:firstLine="566" w:firstLineChars="236"/>
        <w:rPr>
          <w:sz w:val="24"/>
          <w:szCs w:val="24"/>
        </w:rPr>
      </w:pPr>
      <w:r>
        <w:rPr>
          <w:color w:val="0C0C0C"/>
          <w:sz w:val="24"/>
          <w:szCs w:val="24"/>
        </w:rPr>
        <w:t>（</w:t>
      </w:r>
      <w:r>
        <w:rPr>
          <w:rFonts w:ascii="Times New Roman" w:hAnsi="Times New Roman" w:eastAsia="Times New Roman" w:cs="Times New Roman"/>
          <w:color w:val="0C0C0C"/>
          <w:sz w:val="24"/>
          <w:szCs w:val="24"/>
        </w:rPr>
        <w:t>3</w:t>
      </w:r>
      <w:r>
        <w:rPr>
          <w:color w:val="0C0C0C"/>
          <w:sz w:val="24"/>
          <w:szCs w:val="24"/>
        </w:rPr>
        <w:t>） 复核、抽检错误率超过</w:t>
      </w:r>
      <w:r>
        <w:rPr>
          <w:rFonts w:ascii="Times New Roman" w:hAnsi="Times New Roman" w:eastAsia="Times New Roman" w:cs="Times New Roman"/>
          <w:color w:val="0C0C0C"/>
          <w:sz w:val="24"/>
          <w:szCs w:val="24"/>
        </w:rPr>
        <w:t xml:space="preserve"> 5%</w:t>
      </w:r>
      <w:r>
        <w:rPr>
          <w:color w:val="0C0C0C"/>
          <w:sz w:val="24"/>
          <w:szCs w:val="24"/>
        </w:rPr>
        <w:t>的，则认定为非小概率事件，裁判组需对所有成绩进行复核。</w:t>
      </w:r>
    </w:p>
    <w:p>
      <w:pPr>
        <w:ind w:left="360" w:firstLine="482" w:firstLineChars="200"/>
        <w:outlineLvl w:val="1"/>
        <w:rPr>
          <w:sz w:val="24"/>
          <w:szCs w:val="24"/>
        </w:rPr>
      </w:pPr>
      <w:r>
        <w:rPr>
          <w:b/>
          <w:bCs/>
          <w:color w:val="0C0C0C"/>
          <w:sz w:val="24"/>
          <w:szCs w:val="24"/>
        </w:rPr>
        <w:t>（二）评分细则</w:t>
      </w:r>
    </w:p>
    <w:p>
      <w:pPr>
        <w:ind w:firstLine="566" w:firstLineChars="236"/>
        <w:rPr>
          <w:sz w:val="24"/>
          <w:szCs w:val="24"/>
        </w:rPr>
      </w:pPr>
      <w:r>
        <w:rPr>
          <w:color w:val="0C0C0C"/>
          <w:sz w:val="24"/>
          <w:szCs w:val="24"/>
        </w:rPr>
        <w:t>本次评分规则融合世界技能大赛评分规则执行。本项目评分标准分为评价和测量两类。</w:t>
      </w:r>
    </w:p>
    <w:p>
      <w:pPr>
        <w:ind w:left="360" w:firstLine="480" w:firstLineChars="200"/>
        <w:outlineLvl w:val="2"/>
        <w:rPr>
          <w:sz w:val="24"/>
          <w:szCs w:val="24"/>
        </w:rPr>
      </w:pPr>
      <w:r>
        <w:rPr>
          <w:rFonts w:ascii="Arial" w:hAnsi="Arial" w:eastAsia="Arial" w:cs="Arial"/>
          <w:b/>
          <w:bCs/>
          <w:color w:val="0C0C0C"/>
          <w:sz w:val="24"/>
          <w:szCs w:val="24"/>
        </w:rPr>
        <w:t>1.</w:t>
      </w:r>
      <w:r>
        <w:rPr>
          <w:b/>
          <w:bCs/>
          <w:color w:val="0C0C0C"/>
          <w:sz w:val="24"/>
          <w:szCs w:val="24"/>
        </w:rPr>
        <w:t>评价分</w:t>
      </w:r>
    </w:p>
    <w:p>
      <w:pPr>
        <w:ind w:firstLine="480" w:firstLineChars="200"/>
        <w:rPr>
          <w:sz w:val="24"/>
          <w:szCs w:val="24"/>
        </w:rPr>
      </w:pPr>
      <w:r>
        <w:rPr>
          <w:color w:val="0C0C0C"/>
          <w:sz w:val="24"/>
          <w:szCs w:val="24"/>
        </w:rPr>
        <w:t>评价分（</w:t>
      </w:r>
      <w:r>
        <w:rPr>
          <w:rFonts w:ascii="Arial Narrow" w:hAnsi="Arial Narrow" w:eastAsia="Arial Narrow" w:cs="Arial Narrow"/>
          <w:color w:val="0C0C0C"/>
          <w:sz w:val="24"/>
          <w:szCs w:val="24"/>
        </w:rPr>
        <w:t>Judgement</w:t>
      </w:r>
      <w:r>
        <w:rPr>
          <w:color w:val="0C0C0C"/>
          <w:sz w:val="24"/>
          <w:szCs w:val="24"/>
        </w:rPr>
        <w:t>）打分方式：</w:t>
      </w:r>
      <w:r>
        <w:rPr>
          <w:rFonts w:hint="eastAsia" w:ascii="Arial Narrow" w:hAnsi="Arial Narrow" w:eastAsia="宋体" w:cs="Arial Narrow"/>
          <w:color w:val="0C0C0C"/>
          <w:sz w:val="24"/>
          <w:szCs w:val="24"/>
        </w:rPr>
        <w:t>2</w:t>
      </w:r>
      <w:r>
        <w:rPr>
          <w:rFonts w:ascii="Arial Narrow" w:hAnsi="Arial Narrow" w:eastAsia="Arial Narrow" w:cs="Arial Narrow"/>
          <w:color w:val="0C0C0C"/>
          <w:sz w:val="24"/>
          <w:szCs w:val="24"/>
        </w:rPr>
        <w:t xml:space="preserve"> </w:t>
      </w:r>
      <w:r>
        <w:rPr>
          <w:color w:val="0C0C0C"/>
          <w:sz w:val="24"/>
          <w:szCs w:val="24"/>
        </w:rPr>
        <w:t>名裁判为一组，各自单独评分，填写权重分，去掉最高和最低分，计算出平均权重分，除以</w:t>
      </w:r>
      <w:r>
        <w:rPr>
          <w:rFonts w:hint="eastAsia" w:ascii="Arial Narrow" w:hAnsi="Arial Narrow" w:eastAsia="宋体" w:cs="Arial Narrow"/>
          <w:color w:val="0C0C0C"/>
          <w:sz w:val="24"/>
          <w:szCs w:val="24"/>
        </w:rPr>
        <w:t xml:space="preserve">2 </w:t>
      </w:r>
      <w:r>
        <w:rPr>
          <w:color w:val="0C0C0C"/>
          <w:sz w:val="24"/>
          <w:szCs w:val="24"/>
        </w:rPr>
        <w:t>后再乘以该子项的分值计算出实际得分。裁判相互间分差必须小于等于</w:t>
      </w:r>
      <w:r>
        <w:rPr>
          <w:rFonts w:ascii="Arial Narrow" w:hAnsi="Arial Narrow" w:eastAsia="Arial Narrow" w:cs="Arial Narrow"/>
          <w:color w:val="0C0C0C"/>
          <w:sz w:val="24"/>
          <w:szCs w:val="24"/>
        </w:rPr>
        <w:t xml:space="preserve"> 1 </w:t>
      </w:r>
      <w:r>
        <w:rPr>
          <w:color w:val="0C0C0C"/>
          <w:sz w:val="24"/>
          <w:szCs w:val="24"/>
        </w:rPr>
        <w:t>分，否则需要给出确切理由并在裁判长的监督下进行调分。权重如表</w:t>
      </w:r>
      <w:r>
        <w:rPr>
          <w:rFonts w:ascii="Arial Narrow" w:hAnsi="Arial Narrow" w:eastAsia="Arial Narrow" w:cs="Arial Narrow"/>
          <w:color w:val="0C0C0C"/>
          <w:sz w:val="24"/>
          <w:szCs w:val="24"/>
        </w:rPr>
        <w:t xml:space="preserve"> 7 </w:t>
      </w:r>
      <w:r>
        <w:rPr>
          <w:color w:val="0C0C0C"/>
          <w:sz w:val="24"/>
          <w:szCs w:val="24"/>
        </w:rPr>
        <w:t>所示。</w:t>
      </w:r>
    </w:p>
    <w:tbl>
      <w:tblPr>
        <w:tblStyle w:val="8"/>
        <w:tblW w:w="0" w:type="auto"/>
        <w:tblInd w:w="250" w:type="dxa"/>
        <w:tblLayout w:type="fixed"/>
        <w:tblCellMar>
          <w:top w:w="0" w:type="dxa"/>
          <w:left w:w="0" w:type="dxa"/>
          <w:bottom w:w="0" w:type="dxa"/>
          <w:right w:w="0" w:type="dxa"/>
        </w:tblCellMar>
      </w:tblPr>
      <w:tblGrid>
        <w:gridCol w:w="1540"/>
        <w:gridCol w:w="7000"/>
      </w:tblGrid>
      <w:tr>
        <w:tblPrEx>
          <w:tblCellMar>
            <w:top w:w="0" w:type="dxa"/>
            <w:left w:w="0" w:type="dxa"/>
            <w:bottom w:w="0" w:type="dxa"/>
            <w:right w:w="0" w:type="dxa"/>
          </w:tblCellMar>
        </w:tblPrEx>
        <w:trPr>
          <w:trHeight w:val="311" w:hRule="atLeast"/>
        </w:trPr>
        <w:tc>
          <w:tcPr>
            <w:tcW w:w="1540" w:type="dxa"/>
            <w:vAlign w:val="bottom"/>
          </w:tcPr>
          <w:p>
            <w:pPr>
              <w:ind w:firstLine="480" w:firstLineChars="200"/>
              <w:rPr>
                <w:sz w:val="24"/>
                <w:szCs w:val="24"/>
              </w:rPr>
            </w:pPr>
          </w:p>
        </w:tc>
        <w:tc>
          <w:tcPr>
            <w:tcW w:w="7000" w:type="dxa"/>
            <w:vAlign w:val="bottom"/>
          </w:tcPr>
          <w:p>
            <w:pPr>
              <w:ind w:left="2100" w:firstLine="482" w:firstLineChars="200"/>
              <w:rPr>
                <w:sz w:val="24"/>
                <w:szCs w:val="24"/>
              </w:rPr>
            </w:pPr>
            <w:r>
              <w:rPr>
                <w:b/>
                <w:bCs/>
                <w:color w:val="0C0C0C"/>
                <w:sz w:val="24"/>
                <w:szCs w:val="24"/>
              </w:rPr>
              <w:t>表</w:t>
            </w:r>
            <w:r>
              <w:rPr>
                <w:rFonts w:ascii="Arial Narrow" w:hAnsi="Arial Narrow" w:eastAsia="Arial Narrow" w:cs="Arial Narrow"/>
                <w:b/>
                <w:bCs/>
                <w:color w:val="0C0C0C"/>
                <w:sz w:val="24"/>
                <w:szCs w:val="24"/>
              </w:rPr>
              <w:t xml:space="preserve">7  </w:t>
            </w:r>
            <w:r>
              <w:rPr>
                <w:b/>
                <w:bCs/>
                <w:color w:val="0C0C0C"/>
                <w:sz w:val="24"/>
                <w:szCs w:val="24"/>
              </w:rPr>
              <w:t>权重表</w:t>
            </w:r>
          </w:p>
        </w:tc>
      </w:tr>
      <w:tr>
        <w:tblPrEx>
          <w:tblCellMar>
            <w:top w:w="0" w:type="dxa"/>
            <w:left w:w="0" w:type="dxa"/>
            <w:bottom w:w="0" w:type="dxa"/>
            <w:right w:w="0" w:type="dxa"/>
          </w:tblCellMar>
        </w:tblPrEx>
        <w:trPr>
          <w:trHeight w:val="131" w:hRule="atLeast"/>
        </w:trPr>
        <w:tc>
          <w:tcPr>
            <w:tcW w:w="1540" w:type="dxa"/>
            <w:tcBorders>
              <w:bottom w:val="single" w:color="auto" w:sz="8" w:space="0"/>
            </w:tcBorders>
            <w:vAlign w:val="bottom"/>
          </w:tcPr>
          <w:p>
            <w:pPr>
              <w:ind w:firstLine="480" w:firstLineChars="200"/>
              <w:rPr>
                <w:sz w:val="24"/>
                <w:szCs w:val="24"/>
              </w:rPr>
            </w:pPr>
          </w:p>
        </w:tc>
        <w:tc>
          <w:tcPr>
            <w:tcW w:w="7000" w:type="dxa"/>
            <w:tcBorders>
              <w:bottom w:val="single" w:color="auto" w:sz="8" w:space="0"/>
            </w:tcBorders>
            <w:vAlign w:val="bottom"/>
          </w:tcPr>
          <w:p>
            <w:pPr>
              <w:ind w:firstLine="480" w:firstLineChars="200"/>
              <w:rPr>
                <w:sz w:val="24"/>
                <w:szCs w:val="24"/>
              </w:rPr>
            </w:pPr>
          </w:p>
        </w:tc>
      </w:tr>
      <w:tr>
        <w:tblPrEx>
          <w:tblCellMar>
            <w:top w:w="0" w:type="dxa"/>
            <w:left w:w="0" w:type="dxa"/>
            <w:bottom w:w="0" w:type="dxa"/>
            <w:right w:w="0" w:type="dxa"/>
          </w:tblCellMar>
        </w:tblPrEx>
        <w:trPr>
          <w:trHeight w:val="307" w:hRule="atLeast"/>
        </w:trPr>
        <w:tc>
          <w:tcPr>
            <w:tcW w:w="1540" w:type="dxa"/>
            <w:tcBorders>
              <w:left w:val="single" w:color="auto" w:sz="8" w:space="0"/>
              <w:right w:val="single" w:color="auto" w:sz="8" w:space="0"/>
            </w:tcBorders>
            <w:vAlign w:val="bottom"/>
          </w:tcPr>
          <w:p>
            <w:pPr>
              <w:spacing w:line="240" w:lineRule="auto"/>
              <w:jc w:val="center"/>
              <w:rPr>
                <w:sz w:val="24"/>
                <w:szCs w:val="24"/>
              </w:rPr>
            </w:pPr>
            <w:r>
              <w:rPr>
                <w:b/>
                <w:bCs/>
                <w:color w:val="0C0C0C"/>
                <w:sz w:val="24"/>
                <w:szCs w:val="24"/>
              </w:rPr>
              <w:t>权重分值</w:t>
            </w:r>
          </w:p>
        </w:tc>
        <w:tc>
          <w:tcPr>
            <w:tcW w:w="7000" w:type="dxa"/>
            <w:tcBorders>
              <w:right w:val="single" w:color="auto" w:sz="8" w:space="0"/>
            </w:tcBorders>
            <w:vAlign w:val="bottom"/>
          </w:tcPr>
          <w:p>
            <w:pPr>
              <w:spacing w:line="240" w:lineRule="auto"/>
              <w:jc w:val="center"/>
              <w:rPr>
                <w:sz w:val="24"/>
                <w:szCs w:val="24"/>
              </w:rPr>
            </w:pPr>
            <w:r>
              <w:rPr>
                <w:b/>
                <w:bCs/>
                <w:color w:val="0C0C0C"/>
                <w:sz w:val="24"/>
                <w:szCs w:val="24"/>
              </w:rPr>
              <w:t>要求描述</w:t>
            </w:r>
          </w:p>
        </w:tc>
      </w:tr>
      <w:tr>
        <w:tblPrEx>
          <w:tblCellMar>
            <w:top w:w="0" w:type="dxa"/>
            <w:left w:w="0" w:type="dxa"/>
            <w:bottom w:w="0" w:type="dxa"/>
            <w:right w:w="0" w:type="dxa"/>
          </w:tblCellMar>
        </w:tblPrEx>
        <w:trPr>
          <w:trHeight w:val="80" w:hRule="atLeast"/>
        </w:trPr>
        <w:tc>
          <w:tcPr>
            <w:tcW w:w="1540" w:type="dxa"/>
            <w:tcBorders>
              <w:left w:val="single" w:color="auto" w:sz="8" w:space="0"/>
              <w:bottom w:val="single" w:color="auto" w:sz="8" w:space="0"/>
              <w:right w:val="single" w:color="auto" w:sz="8" w:space="0"/>
            </w:tcBorders>
            <w:vAlign w:val="bottom"/>
          </w:tcPr>
          <w:p>
            <w:pPr>
              <w:spacing w:line="240" w:lineRule="auto"/>
              <w:rPr>
                <w:sz w:val="24"/>
                <w:szCs w:val="24"/>
              </w:rPr>
            </w:pPr>
          </w:p>
        </w:tc>
        <w:tc>
          <w:tcPr>
            <w:tcW w:w="7000" w:type="dxa"/>
            <w:tcBorders>
              <w:bottom w:val="single" w:color="auto" w:sz="8" w:space="0"/>
              <w:right w:val="single" w:color="auto" w:sz="8" w:space="0"/>
            </w:tcBorders>
            <w:vAlign w:val="bottom"/>
          </w:tcPr>
          <w:p>
            <w:pPr>
              <w:spacing w:line="240" w:lineRule="auto"/>
              <w:rPr>
                <w:sz w:val="24"/>
                <w:szCs w:val="24"/>
              </w:rPr>
            </w:pPr>
          </w:p>
        </w:tc>
      </w:tr>
      <w:tr>
        <w:tblPrEx>
          <w:tblCellMar>
            <w:top w:w="0" w:type="dxa"/>
            <w:left w:w="0" w:type="dxa"/>
            <w:bottom w:w="0" w:type="dxa"/>
            <w:right w:w="0" w:type="dxa"/>
          </w:tblCellMar>
        </w:tblPrEx>
        <w:trPr>
          <w:trHeight w:val="346" w:hRule="atLeast"/>
        </w:trPr>
        <w:tc>
          <w:tcPr>
            <w:tcW w:w="1540" w:type="dxa"/>
            <w:tcBorders>
              <w:left w:val="single" w:color="auto" w:sz="8" w:space="0"/>
              <w:right w:val="single" w:color="auto" w:sz="8" w:space="0"/>
            </w:tcBorders>
            <w:vAlign w:val="bottom"/>
          </w:tcPr>
          <w:p>
            <w:pPr>
              <w:spacing w:line="240" w:lineRule="auto"/>
              <w:jc w:val="center"/>
              <w:rPr>
                <w:sz w:val="24"/>
                <w:szCs w:val="24"/>
              </w:rPr>
            </w:pPr>
            <w:r>
              <w:rPr>
                <w:rFonts w:ascii="Times New Roman" w:hAnsi="Times New Roman" w:eastAsia="Times New Roman" w:cs="Times New Roman"/>
                <w:color w:val="0C0C0C"/>
                <w:w w:val="99"/>
                <w:sz w:val="24"/>
                <w:szCs w:val="24"/>
              </w:rPr>
              <w:t xml:space="preserve">0 </w:t>
            </w:r>
            <w:r>
              <w:rPr>
                <w:color w:val="0C0C0C"/>
                <w:w w:val="99"/>
                <w:sz w:val="24"/>
                <w:szCs w:val="24"/>
              </w:rPr>
              <w:t>分</w:t>
            </w:r>
          </w:p>
        </w:tc>
        <w:tc>
          <w:tcPr>
            <w:tcW w:w="7000" w:type="dxa"/>
            <w:tcBorders>
              <w:right w:val="single" w:color="auto" w:sz="8" w:space="0"/>
            </w:tcBorders>
            <w:vAlign w:val="bottom"/>
          </w:tcPr>
          <w:p>
            <w:pPr>
              <w:spacing w:line="240" w:lineRule="auto"/>
              <w:jc w:val="center"/>
              <w:rPr>
                <w:sz w:val="24"/>
                <w:szCs w:val="24"/>
              </w:rPr>
            </w:pPr>
            <w:r>
              <w:rPr>
                <w:color w:val="0C0C0C"/>
                <w:w w:val="99"/>
                <w:sz w:val="24"/>
                <w:szCs w:val="24"/>
              </w:rPr>
              <w:t>作品低于行业标准</w:t>
            </w:r>
          </w:p>
        </w:tc>
      </w:tr>
      <w:tr>
        <w:tblPrEx>
          <w:tblCellMar>
            <w:top w:w="0" w:type="dxa"/>
            <w:left w:w="0" w:type="dxa"/>
            <w:bottom w:w="0" w:type="dxa"/>
            <w:right w:w="0" w:type="dxa"/>
          </w:tblCellMar>
        </w:tblPrEx>
        <w:trPr>
          <w:trHeight w:val="41" w:hRule="atLeast"/>
        </w:trPr>
        <w:tc>
          <w:tcPr>
            <w:tcW w:w="1540" w:type="dxa"/>
            <w:tcBorders>
              <w:left w:val="single" w:color="auto" w:sz="8" w:space="0"/>
              <w:bottom w:val="single" w:color="auto" w:sz="8" w:space="0"/>
              <w:right w:val="single" w:color="auto" w:sz="8" w:space="0"/>
            </w:tcBorders>
            <w:vAlign w:val="bottom"/>
          </w:tcPr>
          <w:p>
            <w:pPr>
              <w:spacing w:line="240" w:lineRule="auto"/>
              <w:rPr>
                <w:sz w:val="24"/>
                <w:szCs w:val="24"/>
              </w:rPr>
            </w:pPr>
          </w:p>
        </w:tc>
        <w:tc>
          <w:tcPr>
            <w:tcW w:w="7000" w:type="dxa"/>
            <w:tcBorders>
              <w:bottom w:val="single" w:color="auto" w:sz="8" w:space="0"/>
              <w:right w:val="single" w:color="auto" w:sz="8" w:space="0"/>
            </w:tcBorders>
            <w:vAlign w:val="bottom"/>
          </w:tcPr>
          <w:p>
            <w:pPr>
              <w:spacing w:line="240" w:lineRule="auto"/>
              <w:rPr>
                <w:sz w:val="24"/>
                <w:szCs w:val="24"/>
              </w:rPr>
            </w:pPr>
          </w:p>
        </w:tc>
      </w:tr>
      <w:tr>
        <w:tblPrEx>
          <w:tblCellMar>
            <w:top w:w="0" w:type="dxa"/>
            <w:left w:w="0" w:type="dxa"/>
            <w:bottom w:w="0" w:type="dxa"/>
            <w:right w:w="0" w:type="dxa"/>
          </w:tblCellMar>
        </w:tblPrEx>
        <w:trPr>
          <w:trHeight w:val="347" w:hRule="atLeast"/>
        </w:trPr>
        <w:tc>
          <w:tcPr>
            <w:tcW w:w="1540" w:type="dxa"/>
            <w:tcBorders>
              <w:left w:val="single" w:color="auto" w:sz="8" w:space="0"/>
              <w:right w:val="single" w:color="auto" w:sz="8" w:space="0"/>
            </w:tcBorders>
            <w:vAlign w:val="bottom"/>
          </w:tcPr>
          <w:p>
            <w:pPr>
              <w:spacing w:line="240" w:lineRule="auto"/>
              <w:jc w:val="center"/>
              <w:rPr>
                <w:sz w:val="24"/>
                <w:szCs w:val="24"/>
              </w:rPr>
            </w:pPr>
            <w:r>
              <w:rPr>
                <w:rFonts w:ascii="Times New Roman" w:hAnsi="Times New Roman" w:eastAsia="Times New Roman" w:cs="Times New Roman"/>
                <w:color w:val="0C0C0C"/>
                <w:w w:val="99"/>
                <w:sz w:val="24"/>
                <w:szCs w:val="24"/>
              </w:rPr>
              <w:t xml:space="preserve">1 </w:t>
            </w:r>
            <w:r>
              <w:rPr>
                <w:color w:val="0C0C0C"/>
                <w:w w:val="99"/>
                <w:sz w:val="24"/>
                <w:szCs w:val="24"/>
              </w:rPr>
              <w:t>分</w:t>
            </w:r>
          </w:p>
        </w:tc>
        <w:tc>
          <w:tcPr>
            <w:tcW w:w="7000" w:type="dxa"/>
            <w:tcBorders>
              <w:right w:val="single" w:color="auto" w:sz="8" w:space="0"/>
            </w:tcBorders>
            <w:vAlign w:val="bottom"/>
          </w:tcPr>
          <w:p>
            <w:pPr>
              <w:spacing w:line="240" w:lineRule="auto"/>
              <w:jc w:val="center"/>
              <w:rPr>
                <w:sz w:val="24"/>
                <w:szCs w:val="24"/>
              </w:rPr>
            </w:pPr>
            <w:r>
              <w:rPr>
                <w:color w:val="0C0C0C"/>
                <w:w w:val="99"/>
                <w:sz w:val="24"/>
                <w:szCs w:val="24"/>
              </w:rPr>
              <w:t>作品基本符合行业标准</w:t>
            </w:r>
          </w:p>
        </w:tc>
      </w:tr>
      <w:tr>
        <w:tblPrEx>
          <w:tblCellMar>
            <w:top w:w="0" w:type="dxa"/>
            <w:left w:w="0" w:type="dxa"/>
            <w:bottom w:w="0" w:type="dxa"/>
            <w:right w:w="0" w:type="dxa"/>
          </w:tblCellMar>
        </w:tblPrEx>
        <w:trPr>
          <w:trHeight w:val="40" w:hRule="atLeast"/>
        </w:trPr>
        <w:tc>
          <w:tcPr>
            <w:tcW w:w="1540" w:type="dxa"/>
            <w:tcBorders>
              <w:left w:val="single" w:color="auto" w:sz="8" w:space="0"/>
              <w:bottom w:val="single" w:color="auto" w:sz="8" w:space="0"/>
              <w:right w:val="single" w:color="auto" w:sz="8" w:space="0"/>
            </w:tcBorders>
            <w:vAlign w:val="bottom"/>
          </w:tcPr>
          <w:p>
            <w:pPr>
              <w:spacing w:line="240" w:lineRule="auto"/>
              <w:rPr>
                <w:sz w:val="24"/>
                <w:szCs w:val="24"/>
              </w:rPr>
            </w:pPr>
          </w:p>
        </w:tc>
        <w:tc>
          <w:tcPr>
            <w:tcW w:w="7000" w:type="dxa"/>
            <w:tcBorders>
              <w:bottom w:val="single" w:color="auto" w:sz="8" w:space="0"/>
              <w:right w:val="single" w:color="auto" w:sz="8" w:space="0"/>
            </w:tcBorders>
            <w:vAlign w:val="bottom"/>
          </w:tcPr>
          <w:p>
            <w:pPr>
              <w:spacing w:line="240" w:lineRule="auto"/>
              <w:rPr>
                <w:sz w:val="24"/>
                <w:szCs w:val="24"/>
              </w:rPr>
            </w:pPr>
          </w:p>
        </w:tc>
      </w:tr>
      <w:tr>
        <w:tblPrEx>
          <w:tblCellMar>
            <w:top w:w="0" w:type="dxa"/>
            <w:left w:w="0" w:type="dxa"/>
            <w:bottom w:w="0" w:type="dxa"/>
            <w:right w:w="0" w:type="dxa"/>
          </w:tblCellMar>
        </w:tblPrEx>
        <w:trPr>
          <w:trHeight w:val="345" w:hRule="atLeast"/>
        </w:trPr>
        <w:tc>
          <w:tcPr>
            <w:tcW w:w="1540" w:type="dxa"/>
            <w:tcBorders>
              <w:left w:val="single" w:color="auto" w:sz="8" w:space="0"/>
              <w:right w:val="single" w:color="auto" w:sz="8" w:space="0"/>
            </w:tcBorders>
            <w:vAlign w:val="bottom"/>
          </w:tcPr>
          <w:p>
            <w:pPr>
              <w:spacing w:line="240" w:lineRule="auto"/>
              <w:jc w:val="center"/>
              <w:rPr>
                <w:sz w:val="24"/>
                <w:szCs w:val="24"/>
              </w:rPr>
            </w:pPr>
            <w:r>
              <w:rPr>
                <w:rFonts w:ascii="Times New Roman" w:hAnsi="Times New Roman" w:eastAsia="Times New Roman" w:cs="Times New Roman"/>
                <w:color w:val="0C0C0C"/>
                <w:w w:val="99"/>
                <w:sz w:val="24"/>
                <w:szCs w:val="24"/>
              </w:rPr>
              <w:t xml:space="preserve">2 </w:t>
            </w:r>
            <w:r>
              <w:rPr>
                <w:color w:val="0C0C0C"/>
                <w:w w:val="99"/>
                <w:sz w:val="24"/>
                <w:szCs w:val="24"/>
              </w:rPr>
              <w:t>分</w:t>
            </w:r>
          </w:p>
        </w:tc>
        <w:tc>
          <w:tcPr>
            <w:tcW w:w="7000" w:type="dxa"/>
            <w:tcBorders>
              <w:right w:val="single" w:color="auto" w:sz="8" w:space="0"/>
            </w:tcBorders>
            <w:vAlign w:val="bottom"/>
          </w:tcPr>
          <w:p>
            <w:pPr>
              <w:spacing w:line="240" w:lineRule="auto"/>
              <w:jc w:val="center"/>
              <w:rPr>
                <w:sz w:val="24"/>
                <w:szCs w:val="24"/>
              </w:rPr>
            </w:pPr>
            <w:r>
              <w:rPr>
                <w:color w:val="0C0C0C"/>
                <w:w w:val="99"/>
                <w:sz w:val="24"/>
                <w:szCs w:val="24"/>
              </w:rPr>
              <w:t>作品符合行业标准，且在某些方面略有不足</w:t>
            </w:r>
          </w:p>
        </w:tc>
      </w:tr>
      <w:tr>
        <w:tblPrEx>
          <w:tblCellMar>
            <w:top w:w="0" w:type="dxa"/>
            <w:left w:w="0" w:type="dxa"/>
            <w:bottom w:w="0" w:type="dxa"/>
            <w:right w:w="0" w:type="dxa"/>
          </w:tblCellMar>
        </w:tblPrEx>
        <w:trPr>
          <w:trHeight w:val="42" w:hRule="atLeast"/>
        </w:trPr>
        <w:tc>
          <w:tcPr>
            <w:tcW w:w="1540" w:type="dxa"/>
            <w:tcBorders>
              <w:left w:val="single" w:color="auto" w:sz="8" w:space="0"/>
              <w:bottom w:val="single" w:color="auto" w:sz="8" w:space="0"/>
              <w:right w:val="single" w:color="auto" w:sz="8" w:space="0"/>
            </w:tcBorders>
            <w:vAlign w:val="bottom"/>
          </w:tcPr>
          <w:p>
            <w:pPr>
              <w:spacing w:line="240" w:lineRule="auto"/>
              <w:rPr>
                <w:sz w:val="24"/>
                <w:szCs w:val="24"/>
              </w:rPr>
            </w:pPr>
          </w:p>
        </w:tc>
        <w:tc>
          <w:tcPr>
            <w:tcW w:w="7000" w:type="dxa"/>
            <w:tcBorders>
              <w:bottom w:val="single" w:color="auto" w:sz="8" w:space="0"/>
              <w:right w:val="single" w:color="auto" w:sz="8" w:space="0"/>
            </w:tcBorders>
            <w:vAlign w:val="bottom"/>
          </w:tcPr>
          <w:p>
            <w:pPr>
              <w:spacing w:line="240" w:lineRule="auto"/>
              <w:rPr>
                <w:sz w:val="24"/>
                <w:szCs w:val="24"/>
              </w:rPr>
            </w:pPr>
          </w:p>
        </w:tc>
      </w:tr>
      <w:tr>
        <w:tblPrEx>
          <w:tblCellMar>
            <w:top w:w="0" w:type="dxa"/>
            <w:left w:w="0" w:type="dxa"/>
            <w:bottom w:w="0" w:type="dxa"/>
            <w:right w:w="0" w:type="dxa"/>
          </w:tblCellMar>
        </w:tblPrEx>
        <w:trPr>
          <w:trHeight w:val="346" w:hRule="atLeast"/>
        </w:trPr>
        <w:tc>
          <w:tcPr>
            <w:tcW w:w="1540" w:type="dxa"/>
            <w:tcBorders>
              <w:left w:val="single" w:color="auto" w:sz="8" w:space="0"/>
              <w:right w:val="single" w:color="auto" w:sz="8" w:space="0"/>
            </w:tcBorders>
            <w:vAlign w:val="bottom"/>
          </w:tcPr>
          <w:p>
            <w:pPr>
              <w:spacing w:line="240" w:lineRule="auto"/>
              <w:jc w:val="center"/>
              <w:rPr>
                <w:sz w:val="24"/>
                <w:szCs w:val="24"/>
              </w:rPr>
            </w:pPr>
            <w:r>
              <w:rPr>
                <w:rFonts w:ascii="Times New Roman" w:hAnsi="Times New Roman" w:eastAsia="Times New Roman" w:cs="Times New Roman"/>
                <w:color w:val="0C0C0C"/>
                <w:w w:val="99"/>
                <w:sz w:val="24"/>
                <w:szCs w:val="24"/>
              </w:rPr>
              <w:t xml:space="preserve">3 </w:t>
            </w:r>
            <w:r>
              <w:rPr>
                <w:color w:val="0C0C0C"/>
                <w:w w:val="99"/>
                <w:sz w:val="24"/>
                <w:szCs w:val="24"/>
              </w:rPr>
              <w:t>分</w:t>
            </w:r>
          </w:p>
        </w:tc>
        <w:tc>
          <w:tcPr>
            <w:tcW w:w="7000" w:type="dxa"/>
            <w:tcBorders>
              <w:right w:val="single" w:color="auto" w:sz="8" w:space="0"/>
            </w:tcBorders>
            <w:vAlign w:val="bottom"/>
          </w:tcPr>
          <w:p>
            <w:pPr>
              <w:spacing w:line="240" w:lineRule="auto"/>
              <w:jc w:val="center"/>
              <w:rPr>
                <w:sz w:val="24"/>
                <w:szCs w:val="24"/>
              </w:rPr>
            </w:pPr>
            <w:r>
              <w:rPr>
                <w:color w:val="0C0C0C"/>
                <w:w w:val="99"/>
                <w:sz w:val="24"/>
                <w:szCs w:val="24"/>
              </w:rPr>
              <w:t>作品全方位符合行业标准，接近完美</w:t>
            </w:r>
          </w:p>
        </w:tc>
      </w:tr>
      <w:tr>
        <w:tblPrEx>
          <w:tblCellMar>
            <w:top w:w="0" w:type="dxa"/>
            <w:left w:w="0" w:type="dxa"/>
            <w:bottom w:w="0" w:type="dxa"/>
            <w:right w:w="0" w:type="dxa"/>
          </w:tblCellMar>
        </w:tblPrEx>
        <w:trPr>
          <w:trHeight w:val="41" w:hRule="atLeast"/>
        </w:trPr>
        <w:tc>
          <w:tcPr>
            <w:tcW w:w="1540" w:type="dxa"/>
            <w:tcBorders>
              <w:left w:val="single" w:color="auto" w:sz="8" w:space="0"/>
              <w:bottom w:val="single" w:color="auto" w:sz="8" w:space="0"/>
              <w:right w:val="single" w:color="auto" w:sz="8" w:space="0"/>
            </w:tcBorders>
            <w:vAlign w:val="bottom"/>
          </w:tcPr>
          <w:p>
            <w:pPr>
              <w:ind w:firstLine="480" w:firstLineChars="200"/>
              <w:rPr>
                <w:sz w:val="24"/>
                <w:szCs w:val="24"/>
              </w:rPr>
            </w:pPr>
          </w:p>
        </w:tc>
        <w:tc>
          <w:tcPr>
            <w:tcW w:w="7000" w:type="dxa"/>
            <w:tcBorders>
              <w:bottom w:val="single" w:color="auto" w:sz="8" w:space="0"/>
              <w:right w:val="single" w:color="auto" w:sz="8" w:space="0"/>
            </w:tcBorders>
            <w:vAlign w:val="bottom"/>
          </w:tcPr>
          <w:p>
            <w:pPr>
              <w:ind w:firstLine="480" w:firstLineChars="200"/>
              <w:rPr>
                <w:sz w:val="24"/>
                <w:szCs w:val="24"/>
              </w:rPr>
            </w:pPr>
          </w:p>
        </w:tc>
      </w:tr>
    </w:tbl>
    <w:p>
      <w:pPr>
        <w:ind w:firstLine="480" w:firstLineChars="200"/>
        <w:rPr>
          <w:sz w:val="24"/>
          <w:szCs w:val="24"/>
        </w:rPr>
      </w:pPr>
    </w:p>
    <w:p>
      <w:pPr>
        <w:ind w:firstLine="480" w:firstLineChars="200"/>
        <w:rPr>
          <w:sz w:val="24"/>
          <w:szCs w:val="24"/>
        </w:rPr>
        <w:sectPr>
          <w:pgSz w:w="11900" w:h="16838"/>
          <w:pgMar w:top="1440" w:right="1440" w:bottom="445" w:left="1440" w:header="0" w:footer="0" w:gutter="0"/>
          <w:cols w:equalWidth="0" w:num="1">
            <w:col w:w="9026"/>
          </w:cols>
        </w:sectPr>
      </w:pPr>
    </w:p>
    <w:p>
      <w:pPr>
        <w:ind w:firstLine="480" w:firstLineChars="200"/>
        <w:rPr>
          <w:sz w:val="24"/>
          <w:szCs w:val="24"/>
        </w:rPr>
      </w:pPr>
    </w:p>
    <w:p>
      <w:pPr>
        <w:ind w:firstLine="480" w:firstLineChars="200"/>
        <w:rPr>
          <w:sz w:val="24"/>
          <w:szCs w:val="24"/>
        </w:rPr>
        <w:sectPr>
          <w:type w:val="continuous"/>
          <w:pgSz w:w="11900" w:h="16838"/>
          <w:pgMar w:top="1440" w:right="1440" w:bottom="445" w:left="1440" w:header="0" w:footer="0" w:gutter="0"/>
          <w:cols w:equalWidth="0" w:num="1">
            <w:col w:w="9026"/>
          </w:cols>
        </w:sectPr>
      </w:pPr>
    </w:p>
    <w:p>
      <w:pPr>
        <w:ind w:firstLine="480" w:firstLineChars="200"/>
        <w:rPr>
          <w:sz w:val="24"/>
          <w:szCs w:val="24"/>
        </w:rPr>
      </w:pPr>
      <w:bookmarkStart w:id="11" w:name="page24"/>
      <w:bookmarkEnd w:id="11"/>
    </w:p>
    <w:p>
      <w:pPr>
        <w:ind w:left="920" w:firstLine="480" w:firstLineChars="200"/>
        <w:rPr>
          <w:sz w:val="24"/>
          <w:szCs w:val="24"/>
        </w:rPr>
      </w:pPr>
      <w:r>
        <w:rPr>
          <w:color w:val="0C0C0C"/>
          <w:sz w:val="24"/>
          <w:szCs w:val="24"/>
        </w:rPr>
        <w:t>样例：模块</w:t>
      </w:r>
      <w:r>
        <w:rPr>
          <w:rFonts w:ascii="Arial Narrow" w:hAnsi="Arial Narrow" w:eastAsia="Arial Narrow" w:cs="Arial Narrow"/>
          <w:color w:val="0C0C0C"/>
          <w:sz w:val="24"/>
          <w:szCs w:val="24"/>
        </w:rPr>
        <w:t xml:space="preserve"> A </w:t>
      </w:r>
      <w:r>
        <w:rPr>
          <w:color w:val="0C0C0C"/>
          <w:sz w:val="24"/>
          <w:szCs w:val="24"/>
        </w:rPr>
        <w:t>需求分析评分样例如表</w:t>
      </w:r>
      <w:r>
        <w:rPr>
          <w:rFonts w:ascii="Arial Narrow" w:hAnsi="Arial Narrow" w:eastAsia="Arial Narrow" w:cs="Arial Narrow"/>
          <w:color w:val="0C0C0C"/>
          <w:sz w:val="24"/>
          <w:szCs w:val="24"/>
        </w:rPr>
        <w:t xml:space="preserve"> 8 </w:t>
      </w:r>
      <w:r>
        <w:rPr>
          <w:color w:val="0C0C0C"/>
          <w:sz w:val="24"/>
          <w:szCs w:val="24"/>
        </w:rPr>
        <w:t>所示。</w:t>
      </w:r>
    </w:p>
    <w:p>
      <w:pPr>
        <w:ind w:firstLine="480" w:firstLineChars="200"/>
        <w:rPr>
          <w:sz w:val="24"/>
          <w:szCs w:val="24"/>
        </w:rPr>
      </w:pPr>
    </w:p>
    <w:tbl>
      <w:tblPr>
        <w:tblStyle w:val="8"/>
        <w:tblW w:w="9260" w:type="dxa"/>
        <w:tblInd w:w="98" w:type="dxa"/>
        <w:tblLayout w:type="autofit"/>
        <w:tblCellMar>
          <w:top w:w="0" w:type="dxa"/>
          <w:left w:w="108" w:type="dxa"/>
          <w:bottom w:w="0" w:type="dxa"/>
          <w:right w:w="108" w:type="dxa"/>
        </w:tblCellMar>
      </w:tblPr>
      <w:tblGrid>
        <w:gridCol w:w="1442"/>
        <w:gridCol w:w="4650"/>
        <w:gridCol w:w="3168"/>
      </w:tblGrid>
      <w:tr>
        <w:tblPrEx>
          <w:tblCellMar>
            <w:top w:w="0" w:type="dxa"/>
            <w:left w:w="108" w:type="dxa"/>
            <w:bottom w:w="0" w:type="dxa"/>
            <w:right w:w="108" w:type="dxa"/>
          </w:tblCellMar>
        </w:tblPrEx>
        <w:trPr>
          <w:trHeight w:val="428" w:hRule="atLeast"/>
        </w:trPr>
        <w:tc>
          <w:tcPr>
            <w:tcW w:w="9260"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auto"/>
              <w:jc w:val="center"/>
              <w:textAlignment w:val="top"/>
              <w:rPr>
                <w:rFonts w:eastAsia="宋体"/>
                <w:color w:val="000000"/>
                <w:sz w:val="24"/>
                <w:szCs w:val="24"/>
              </w:rPr>
            </w:pPr>
            <w:r>
              <w:rPr>
                <w:rFonts w:hint="eastAsia" w:eastAsia="宋体"/>
                <w:color w:val="000000"/>
                <w:sz w:val="24"/>
                <w:szCs w:val="24"/>
                <w:lang w:bidi="ar"/>
              </w:rPr>
              <w:t>表 8 评分表评分样例</w:t>
            </w:r>
          </w:p>
        </w:tc>
      </w:tr>
      <w:tr>
        <w:tblPrEx>
          <w:tblCellMar>
            <w:top w:w="0" w:type="dxa"/>
            <w:left w:w="108" w:type="dxa"/>
            <w:bottom w:w="0" w:type="dxa"/>
            <w:right w:w="108" w:type="dxa"/>
          </w:tblCellMar>
        </w:tblPrEx>
        <w:trPr>
          <w:trHeight w:val="466" w:hRule="atLeast"/>
        </w:trPr>
        <w:tc>
          <w:tcPr>
            <w:tcW w:w="1442"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cs="仿宋"/>
                <w:b/>
                <w:bCs/>
                <w:color w:val="0C0C0C"/>
                <w:sz w:val="24"/>
                <w:szCs w:val="24"/>
              </w:rPr>
            </w:pPr>
            <w:r>
              <w:rPr>
                <w:rFonts w:hint="eastAsia" w:ascii="仿宋" w:hAnsi="仿宋" w:cs="仿宋"/>
                <w:b/>
                <w:bCs/>
                <w:color w:val="0C0C0C"/>
                <w:sz w:val="24"/>
                <w:szCs w:val="24"/>
                <w:lang w:bidi="ar"/>
              </w:rPr>
              <w:t>评分子项</w:t>
            </w:r>
          </w:p>
        </w:tc>
        <w:tc>
          <w:tcPr>
            <w:tcW w:w="4650" w:type="dxa"/>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auto"/>
              <w:jc w:val="center"/>
              <w:textAlignment w:val="top"/>
              <w:rPr>
                <w:rFonts w:ascii="仿宋" w:hAnsi="仿宋" w:cs="仿宋"/>
                <w:b/>
                <w:bCs/>
                <w:color w:val="0C0C0C"/>
                <w:sz w:val="24"/>
                <w:szCs w:val="24"/>
              </w:rPr>
            </w:pPr>
            <w:r>
              <w:rPr>
                <w:rFonts w:hint="eastAsia" w:ascii="仿宋" w:hAnsi="仿宋" w:cs="仿宋"/>
                <w:b/>
                <w:bCs/>
                <w:color w:val="0C0C0C"/>
                <w:sz w:val="24"/>
                <w:szCs w:val="24"/>
                <w:lang w:bidi="ar"/>
              </w:rPr>
              <w:t>评分细则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auto"/>
              <w:jc w:val="center"/>
              <w:textAlignment w:val="top"/>
              <w:rPr>
                <w:rFonts w:ascii="仿宋" w:hAnsi="仿宋" w:cs="仿宋"/>
                <w:b/>
                <w:bCs/>
                <w:color w:val="0C0C0C"/>
                <w:sz w:val="24"/>
                <w:szCs w:val="24"/>
              </w:rPr>
            </w:pPr>
            <w:r>
              <w:rPr>
                <w:rFonts w:hint="eastAsia" w:ascii="仿宋" w:hAnsi="仿宋" w:cs="仿宋"/>
                <w:b/>
                <w:bCs/>
                <w:color w:val="0C0C0C"/>
                <w:sz w:val="24"/>
                <w:szCs w:val="24"/>
                <w:lang w:bidi="ar"/>
              </w:rPr>
              <w:t>权重分值</w:t>
            </w:r>
          </w:p>
        </w:tc>
      </w:tr>
      <w:tr>
        <w:tblPrEx>
          <w:tblCellMar>
            <w:top w:w="0" w:type="dxa"/>
            <w:left w:w="108" w:type="dxa"/>
            <w:bottom w:w="0" w:type="dxa"/>
            <w:right w:w="108" w:type="dxa"/>
          </w:tblCellMar>
        </w:tblPrEx>
        <w:trPr>
          <w:trHeight w:val="466" w:hRule="atLeast"/>
        </w:trPr>
        <w:tc>
          <w:tcPr>
            <w:tcW w:w="14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登陆界面</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textAlignment w:val="bottom"/>
              <w:rPr>
                <w:rFonts w:ascii="仿宋" w:hAnsi="仿宋" w:cs="仿宋"/>
                <w:color w:val="0C0C0C"/>
                <w:sz w:val="24"/>
                <w:szCs w:val="24"/>
              </w:rPr>
            </w:pPr>
            <w:r>
              <w:rPr>
                <w:rFonts w:hint="eastAsia" w:ascii="仿宋" w:hAnsi="仿宋" w:cs="仿宋"/>
                <w:color w:val="0C0C0C"/>
                <w:sz w:val="24"/>
                <w:szCs w:val="24"/>
                <w:lang w:bidi="ar"/>
              </w:rPr>
              <w:t>与实际业务不一致</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jc w:val="right"/>
              <w:textAlignment w:val="bottom"/>
              <w:rPr>
                <w:rFonts w:ascii="仿宋" w:hAnsi="仿宋" w:cs="仿宋"/>
                <w:color w:val="0C0C0C"/>
                <w:sz w:val="24"/>
                <w:szCs w:val="24"/>
              </w:rPr>
            </w:pPr>
            <w:r>
              <w:rPr>
                <w:rFonts w:hint="eastAsia" w:ascii="仿宋" w:hAnsi="仿宋" w:cs="仿宋"/>
                <w:color w:val="0C0C0C"/>
                <w:sz w:val="24"/>
                <w:szCs w:val="24"/>
                <w:lang w:bidi="ar"/>
              </w:rPr>
              <w:t>0</w:t>
            </w:r>
          </w:p>
        </w:tc>
      </w:tr>
      <w:tr>
        <w:tblPrEx>
          <w:tblCellMar>
            <w:top w:w="0" w:type="dxa"/>
            <w:left w:w="108" w:type="dxa"/>
            <w:bottom w:w="0" w:type="dxa"/>
            <w:right w:w="108" w:type="dxa"/>
          </w:tblCellMar>
        </w:tblPrEx>
        <w:trPr>
          <w:trHeight w:val="313"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eastAsia="宋体"/>
                <w:color w:val="000000"/>
                <w:sz w:val="24"/>
                <w:szCs w:val="24"/>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textAlignment w:val="bottom"/>
              <w:rPr>
                <w:rFonts w:ascii="仿宋" w:hAnsi="仿宋" w:cs="仿宋"/>
                <w:color w:val="0C0C0C"/>
                <w:sz w:val="24"/>
                <w:szCs w:val="24"/>
              </w:rPr>
            </w:pPr>
            <w:r>
              <w:rPr>
                <w:rFonts w:hint="eastAsia" w:ascii="仿宋" w:hAnsi="仿宋" w:cs="仿宋"/>
                <w:color w:val="0C0C0C"/>
                <w:sz w:val="24"/>
                <w:szCs w:val="24"/>
                <w:lang w:bidi="ar"/>
              </w:rPr>
              <w:t>符合业务，但流程不清晰</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jc w:val="right"/>
              <w:textAlignment w:val="bottom"/>
              <w:rPr>
                <w:rFonts w:ascii="仿宋" w:hAnsi="仿宋" w:cs="仿宋"/>
                <w:color w:val="0C0C0C"/>
                <w:sz w:val="24"/>
                <w:szCs w:val="24"/>
              </w:rPr>
            </w:pPr>
            <w:r>
              <w:rPr>
                <w:rFonts w:hint="eastAsia" w:ascii="仿宋" w:hAnsi="仿宋" w:cs="仿宋"/>
                <w:color w:val="0C0C0C"/>
                <w:sz w:val="24"/>
                <w:szCs w:val="24"/>
                <w:lang w:bidi="ar"/>
              </w:rPr>
              <w:t>1</w:t>
            </w:r>
          </w:p>
        </w:tc>
      </w:tr>
      <w:tr>
        <w:tblPrEx>
          <w:tblCellMar>
            <w:top w:w="0" w:type="dxa"/>
            <w:left w:w="108" w:type="dxa"/>
            <w:bottom w:w="0" w:type="dxa"/>
            <w:right w:w="108" w:type="dxa"/>
          </w:tblCellMar>
        </w:tblPrEx>
        <w:trPr>
          <w:trHeight w:val="241"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eastAsia="宋体"/>
                <w:color w:val="000000"/>
                <w:sz w:val="24"/>
                <w:szCs w:val="24"/>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textAlignment w:val="bottom"/>
              <w:rPr>
                <w:rFonts w:ascii="仿宋" w:hAnsi="仿宋" w:cs="仿宋"/>
                <w:color w:val="0C0C0C"/>
                <w:sz w:val="24"/>
                <w:szCs w:val="24"/>
              </w:rPr>
            </w:pPr>
            <w:r>
              <w:rPr>
                <w:rFonts w:hint="eastAsia" w:ascii="仿宋" w:hAnsi="仿宋" w:cs="仿宋"/>
                <w:color w:val="0C0C0C"/>
                <w:sz w:val="24"/>
                <w:szCs w:val="24"/>
                <w:lang w:bidi="ar"/>
              </w:rPr>
              <w:t>符合业务，绘制较为清晰，但流程不完善</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jc w:val="right"/>
              <w:textAlignment w:val="bottom"/>
              <w:rPr>
                <w:rFonts w:ascii="仿宋" w:hAnsi="仿宋" w:cs="仿宋"/>
                <w:color w:val="0C0C0C"/>
                <w:sz w:val="24"/>
                <w:szCs w:val="24"/>
              </w:rPr>
            </w:pPr>
            <w:r>
              <w:rPr>
                <w:rFonts w:hint="eastAsia" w:ascii="仿宋" w:hAnsi="仿宋" w:cs="仿宋"/>
                <w:color w:val="0C0C0C"/>
                <w:sz w:val="24"/>
                <w:szCs w:val="24"/>
                <w:lang w:bidi="ar"/>
              </w:rPr>
              <w:t>2</w:t>
            </w:r>
          </w:p>
        </w:tc>
      </w:tr>
      <w:tr>
        <w:tblPrEx>
          <w:tblCellMar>
            <w:top w:w="0" w:type="dxa"/>
            <w:left w:w="108" w:type="dxa"/>
            <w:bottom w:w="0" w:type="dxa"/>
            <w:right w:w="108" w:type="dxa"/>
          </w:tblCellMar>
        </w:tblPrEx>
        <w:trPr>
          <w:trHeight w:val="418" w:hRule="atLeast"/>
        </w:trPr>
        <w:tc>
          <w:tcPr>
            <w:tcW w:w="14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eastAsia="宋体"/>
                <w:color w:val="000000"/>
                <w:sz w:val="24"/>
                <w:szCs w:val="24"/>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textAlignment w:val="bottom"/>
              <w:rPr>
                <w:rFonts w:ascii="仿宋" w:hAnsi="仿宋" w:cs="仿宋"/>
                <w:color w:val="0C0C0C"/>
                <w:sz w:val="24"/>
                <w:szCs w:val="24"/>
              </w:rPr>
            </w:pPr>
            <w:r>
              <w:rPr>
                <w:rFonts w:hint="eastAsia" w:ascii="仿宋" w:hAnsi="仿宋" w:cs="仿宋"/>
                <w:color w:val="0C0C0C"/>
                <w:sz w:val="24"/>
                <w:szCs w:val="24"/>
                <w:lang w:bidi="ar"/>
              </w:rPr>
              <w:t>符合业务，并清晰完整地表示出对应流程</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jc w:val="right"/>
              <w:textAlignment w:val="bottom"/>
              <w:rPr>
                <w:rFonts w:ascii="仿宋" w:hAnsi="仿宋" w:cs="仿宋"/>
                <w:color w:val="0C0C0C"/>
                <w:sz w:val="24"/>
                <w:szCs w:val="24"/>
              </w:rPr>
            </w:pPr>
            <w:r>
              <w:rPr>
                <w:rFonts w:hint="eastAsia" w:ascii="仿宋" w:hAnsi="仿宋" w:cs="仿宋"/>
                <w:color w:val="0C0C0C"/>
                <w:sz w:val="24"/>
                <w:szCs w:val="24"/>
                <w:lang w:bidi="ar"/>
              </w:rPr>
              <w:t>3</w:t>
            </w:r>
          </w:p>
        </w:tc>
      </w:tr>
    </w:tbl>
    <w:p>
      <w:pPr>
        <w:ind w:firstLine="480" w:firstLineChars="200"/>
        <w:rPr>
          <w:sz w:val="24"/>
          <w:szCs w:val="24"/>
        </w:rPr>
      </w:pPr>
    </w:p>
    <w:p>
      <w:pPr>
        <w:ind w:left="360" w:firstLine="480" w:firstLineChars="200"/>
        <w:outlineLvl w:val="2"/>
        <w:rPr>
          <w:sz w:val="24"/>
          <w:szCs w:val="24"/>
        </w:rPr>
      </w:pPr>
      <w:r>
        <w:rPr>
          <w:rFonts w:ascii="Arial" w:hAnsi="Arial" w:eastAsia="Arial" w:cs="Arial"/>
          <w:b/>
          <w:bCs/>
          <w:color w:val="0C0C0C"/>
          <w:sz w:val="24"/>
          <w:szCs w:val="24"/>
        </w:rPr>
        <w:t>2.</w:t>
      </w:r>
      <w:r>
        <w:rPr>
          <w:b/>
          <w:bCs/>
          <w:color w:val="0C0C0C"/>
          <w:sz w:val="24"/>
          <w:szCs w:val="24"/>
        </w:rPr>
        <w:t>测量分</w:t>
      </w:r>
    </w:p>
    <w:p>
      <w:pPr>
        <w:ind w:firstLine="480" w:firstLineChars="200"/>
        <w:rPr>
          <w:sz w:val="24"/>
          <w:szCs w:val="24"/>
        </w:rPr>
      </w:pPr>
      <w:r>
        <w:rPr>
          <w:color w:val="0C0C0C"/>
          <w:sz w:val="24"/>
          <w:szCs w:val="24"/>
        </w:rPr>
        <w:t>测量分（</w:t>
      </w:r>
      <w:r>
        <w:rPr>
          <w:rFonts w:ascii="Arial Narrow" w:hAnsi="Arial Narrow" w:eastAsia="Arial Narrow" w:cs="Arial Narrow"/>
          <w:color w:val="0C0C0C"/>
          <w:sz w:val="24"/>
          <w:szCs w:val="24"/>
        </w:rPr>
        <w:t>Measurement</w:t>
      </w:r>
      <w:r>
        <w:rPr>
          <w:color w:val="0C0C0C"/>
          <w:sz w:val="24"/>
          <w:szCs w:val="24"/>
        </w:rPr>
        <w:t>）打分方式：</w:t>
      </w:r>
      <w:r>
        <w:rPr>
          <w:rFonts w:hint="eastAsia" w:ascii="Arial Narrow" w:hAnsi="Arial Narrow" w:eastAsia="宋体" w:cs="Arial Narrow"/>
          <w:color w:val="0C0C0C"/>
          <w:sz w:val="24"/>
          <w:szCs w:val="24"/>
        </w:rPr>
        <w:t>2</w:t>
      </w:r>
      <w:r>
        <w:rPr>
          <w:rFonts w:ascii="Arial Narrow" w:hAnsi="Arial Narrow" w:eastAsia="Arial Narrow" w:cs="Arial Narrow"/>
          <w:color w:val="0C0C0C"/>
          <w:sz w:val="24"/>
          <w:szCs w:val="24"/>
        </w:rPr>
        <w:t xml:space="preserve"> </w:t>
      </w:r>
      <w:r>
        <w:rPr>
          <w:color w:val="0C0C0C"/>
          <w:sz w:val="24"/>
          <w:szCs w:val="24"/>
        </w:rPr>
        <w:t>名裁判为一组，各自单独评分。裁判打分一致时有效，否则需要给出确切理由并在裁判长的监督下重新评分。</w:t>
      </w:r>
    </w:p>
    <w:p>
      <w:pPr>
        <w:ind w:firstLine="480" w:firstLineChars="200"/>
        <w:rPr>
          <w:sz w:val="24"/>
          <w:szCs w:val="24"/>
        </w:rPr>
      </w:pPr>
      <w:r>
        <w:rPr>
          <w:color w:val="0C0C0C"/>
          <w:sz w:val="24"/>
          <w:szCs w:val="24"/>
        </w:rPr>
        <w:t>样例：测量分评分准则样例如表</w:t>
      </w:r>
      <w:r>
        <w:rPr>
          <w:rFonts w:ascii="Arial Narrow" w:hAnsi="Arial Narrow" w:eastAsia="Arial Narrow" w:cs="Arial Narrow"/>
          <w:color w:val="0C0C0C"/>
          <w:sz w:val="24"/>
          <w:szCs w:val="24"/>
        </w:rPr>
        <w:t xml:space="preserve"> 9 </w:t>
      </w:r>
      <w:r>
        <w:rPr>
          <w:color w:val="0C0C0C"/>
          <w:sz w:val="24"/>
          <w:szCs w:val="24"/>
        </w:rPr>
        <w:t>所示。</w:t>
      </w:r>
    </w:p>
    <w:p>
      <w:pPr>
        <w:ind w:right="-13" w:firstLine="482" w:firstLineChars="200"/>
        <w:jc w:val="center"/>
        <w:rPr>
          <w:sz w:val="24"/>
          <w:szCs w:val="24"/>
        </w:rPr>
      </w:pPr>
      <w:r>
        <w:rPr>
          <w:b/>
          <w:bCs/>
          <w:color w:val="0C0C0C"/>
          <w:sz w:val="24"/>
          <w:szCs w:val="24"/>
        </w:rPr>
        <w:t>表</w:t>
      </w:r>
      <w:r>
        <w:rPr>
          <w:rFonts w:ascii="Times New Roman" w:hAnsi="Times New Roman" w:eastAsia="Times New Roman" w:cs="Times New Roman"/>
          <w:b/>
          <w:bCs/>
          <w:color w:val="0C0C0C"/>
          <w:sz w:val="24"/>
          <w:szCs w:val="24"/>
        </w:rPr>
        <w:t xml:space="preserve"> 9 </w:t>
      </w:r>
      <w:r>
        <w:rPr>
          <w:b/>
          <w:bCs/>
          <w:color w:val="0C0C0C"/>
          <w:sz w:val="24"/>
          <w:szCs w:val="24"/>
        </w:rPr>
        <w:t>测量分评分准则样例</w:t>
      </w:r>
    </w:p>
    <w:p>
      <w:pPr>
        <w:ind w:firstLine="480" w:firstLineChars="200"/>
        <w:rPr>
          <w:sz w:val="24"/>
          <w:szCs w:val="24"/>
        </w:rPr>
      </w:pPr>
    </w:p>
    <w:tbl>
      <w:tblPr>
        <w:tblStyle w:val="8"/>
        <w:tblW w:w="0" w:type="auto"/>
        <w:tblInd w:w="470" w:type="dxa"/>
        <w:tblLayout w:type="fixed"/>
        <w:tblCellMar>
          <w:top w:w="0" w:type="dxa"/>
          <w:left w:w="0" w:type="dxa"/>
          <w:bottom w:w="0" w:type="dxa"/>
          <w:right w:w="0" w:type="dxa"/>
        </w:tblCellMar>
      </w:tblPr>
      <w:tblGrid>
        <w:gridCol w:w="1260"/>
        <w:gridCol w:w="3960"/>
        <w:gridCol w:w="1480"/>
        <w:gridCol w:w="1420"/>
      </w:tblGrid>
      <w:tr>
        <w:tblPrEx>
          <w:tblCellMar>
            <w:top w:w="0" w:type="dxa"/>
            <w:left w:w="0" w:type="dxa"/>
            <w:bottom w:w="0" w:type="dxa"/>
            <w:right w:w="0" w:type="dxa"/>
          </w:tblCellMar>
        </w:tblPrEx>
        <w:trPr>
          <w:trHeight w:val="328" w:hRule="atLeast"/>
        </w:trPr>
        <w:tc>
          <w:tcPr>
            <w:tcW w:w="1260" w:type="dxa"/>
            <w:tcBorders>
              <w:top w:val="single" w:color="auto" w:sz="8" w:space="0"/>
              <w:left w:val="single" w:color="auto" w:sz="8" w:space="0"/>
              <w:right w:val="single" w:color="auto" w:sz="8" w:space="0"/>
            </w:tcBorders>
            <w:vAlign w:val="bottom"/>
          </w:tcPr>
          <w:p>
            <w:pPr>
              <w:ind w:left="140"/>
              <w:rPr>
                <w:sz w:val="24"/>
                <w:szCs w:val="24"/>
              </w:rPr>
            </w:pPr>
            <w:r>
              <w:rPr>
                <w:b/>
                <w:bCs/>
                <w:color w:val="0C0C0C"/>
                <w:sz w:val="24"/>
                <w:szCs w:val="24"/>
              </w:rPr>
              <w:t>评分子项</w:t>
            </w:r>
          </w:p>
        </w:tc>
        <w:tc>
          <w:tcPr>
            <w:tcW w:w="3960" w:type="dxa"/>
            <w:tcBorders>
              <w:top w:val="single" w:color="auto" w:sz="8" w:space="0"/>
              <w:right w:val="single" w:color="auto" w:sz="8" w:space="0"/>
            </w:tcBorders>
            <w:vAlign w:val="bottom"/>
          </w:tcPr>
          <w:p>
            <w:pPr>
              <w:ind w:left="1480"/>
              <w:rPr>
                <w:sz w:val="24"/>
                <w:szCs w:val="24"/>
              </w:rPr>
            </w:pPr>
            <w:r>
              <w:rPr>
                <w:b/>
                <w:bCs/>
                <w:color w:val="0C0C0C"/>
                <w:sz w:val="24"/>
                <w:szCs w:val="24"/>
              </w:rPr>
              <w:t>评分细则</w:t>
            </w:r>
          </w:p>
        </w:tc>
        <w:tc>
          <w:tcPr>
            <w:tcW w:w="1480" w:type="dxa"/>
            <w:tcBorders>
              <w:top w:val="single" w:color="auto" w:sz="8" w:space="0"/>
              <w:right w:val="single" w:color="auto" w:sz="8" w:space="0"/>
            </w:tcBorders>
            <w:vAlign w:val="bottom"/>
          </w:tcPr>
          <w:p>
            <w:pPr>
              <w:ind w:left="240"/>
              <w:rPr>
                <w:sz w:val="24"/>
                <w:szCs w:val="24"/>
              </w:rPr>
            </w:pPr>
            <w:r>
              <w:rPr>
                <w:b/>
                <w:bCs/>
                <w:color w:val="0C0C0C"/>
                <w:sz w:val="24"/>
                <w:szCs w:val="24"/>
              </w:rPr>
              <w:t>正确分值</w:t>
            </w:r>
          </w:p>
        </w:tc>
        <w:tc>
          <w:tcPr>
            <w:tcW w:w="1420" w:type="dxa"/>
            <w:tcBorders>
              <w:top w:val="single" w:color="auto" w:sz="8" w:space="0"/>
              <w:right w:val="single" w:color="auto" w:sz="8" w:space="0"/>
            </w:tcBorders>
            <w:vAlign w:val="bottom"/>
          </w:tcPr>
          <w:p>
            <w:pPr>
              <w:ind w:left="320"/>
              <w:rPr>
                <w:sz w:val="24"/>
                <w:szCs w:val="24"/>
              </w:rPr>
            </w:pPr>
            <w:r>
              <w:rPr>
                <w:b/>
                <w:bCs/>
                <w:color w:val="0C0C0C"/>
                <w:sz w:val="24"/>
                <w:szCs w:val="24"/>
              </w:rPr>
              <w:t>得分值</w:t>
            </w:r>
          </w:p>
        </w:tc>
      </w:tr>
      <w:tr>
        <w:tblPrEx>
          <w:tblCellMar>
            <w:top w:w="0" w:type="dxa"/>
            <w:left w:w="0" w:type="dxa"/>
            <w:bottom w:w="0" w:type="dxa"/>
            <w:right w:w="0" w:type="dxa"/>
          </w:tblCellMar>
        </w:tblPrEx>
        <w:trPr>
          <w:trHeight w:val="79" w:hRule="atLeast"/>
        </w:trPr>
        <w:tc>
          <w:tcPr>
            <w:tcW w:w="1260" w:type="dxa"/>
            <w:tcBorders>
              <w:left w:val="single" w:color="auto" w:sz="8" w:space="0"/>
              <w:bottom w:val="single" w:color="auto" w:sz="8" w:space="0"/>
              <w:right w:val="single" w:color="auto" w:sz="8" w:space="0"/>
            </w:tcBorders>
            <w:vAlign w:val="bottom"/>
          </w:tcPr>
          <w:p>
            <w:pPr>
              <w:rPr>
                <w:sz w:val="24"/>
                <w:szCs w:val="24"/>
              </w:rPr>
            </w:pPr>
          </w:p>
        </w:tc>
        <w:tc>
          <w:tcPr>
            <w:tcW w:w="3960" w:type="dxa"/>
            <w:tcBorders>
              <w:bottom w:val="single" w:color="auto" w:sz="8" w:space="0"/>
              <w:right w:val="single" w:color="auto" w:sz="8" w:space="0"/>
            </w:tcBorders>
            <w:vAlign w:val="bottom"/>
          </w:tcPr>
          <w:p>
            <w:pPr>
              <w:rPr>
                <w:sz w:val="24"/>
                <w:szCs w:val="24"/>
              </w:rPr>
            </w:pPr>
          </w:p>
        </w:tc>
        <w:tc>
          <w:tcPr>
            <w:tcW w:w="1480" w:type="dxa"/>
            <w:tcBorders>
              <w:bottom w:val="single" w:color="auto" w:sz="8" w:space="0"/>
              <w:right w:val="single" w:color="auto" w:sz="8" w:space="0"/>
            </w:tcBorders>
            <w:vAlign w:val="bottom"/>
          </w:tcPr>
          <w:p>
            <w:pPr>
              <w:rPr>
                <w:sz w:val="24"/>
                <w:szCs w:val="24"/>
              </w:rPr>
            </w:pPr>
          </w:p>
        </w:tc>
        <w:tc>
          <w:tcPr>
            <w:tcW w:w="1420" w:type="dxa"/>
            <w:tcBorders>
              <w:bottom w:val="single" w:color="auto" w:sz="8" w:space="0"/>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387" w:hRule="atLeast"/>
        </w:trPr>
        <w:tc>
          <w:tcPr>
            <w:tcW w:w="1260" w:type="dxa"/>
            <w:tcBorders>
              <w:left w:val="single" w:color="auto" w:sz="8" w:space="0"/>
              <w:right w:val="single" w:color="auto" w:sz="8" w:space="0"/>
            </w:tcBorders>
            <w:vAlign w:val="bottom"/>
          </w:tcPr>
          <w:p>
            <w:pPr>
              <w:rPr>
                <w:sz w:val="24"/>
                <w:szCs w:val="24"/>
              </w:rPr>
            </w:pPr>
          </w:p>
        </w:tc>
        <w:tc>
          <w:tcPr>
            <w:tcW w:w="3960" w:type="dxa"/>
            <w:tcBorders>
              <w:bottom w:val="single" w:color="auto" w:sz="8" w:space="0"/>
              <w:right w:val="single" w:color="auto" w:sz="8" w:space="0"/>
            </w:tcBorders>
            <w:vAlign w:val="bottom"/>
          </w:tcPr>
          <w:p>
            <w:pPr>
              <w:rPr>
                <w:sz w:val="24"/>
                <w:szCs w:val="24"/>
              </w:rPr>
            </w:pPr>
          </w:p>
        </w:tc>
        <w:tc>
          <w:tcPr>
            <w:tcW w:w="1480" w:type="dxa"/>
            <w:tcBorders>
              <w:bottom w:val="single" w:color="auto" w:sz="8" w:space="0"/>
              <w:right w:val="single" w:color="auto" w:sz="8" w:space="0"/>
            </w:tcBorders>
            <w:vAlign w:val="bottom"/>
          </w:tcPr>
          <w:p>
            <w:pPr>
              <w:rPr>
                <w:sz w:val="24"/>
                <w:szCs w:val="24"/>
              </w:rPr>
            </w:pPr>
          </w:p>
        </w:tc>
        <w:tc>
          <w:tcPr>
            <w:tcW w:w="1420" w:type="dxa"/>
            <w:tcBorders>
              <w:bottom w:val="single" w:color="auto" w:sz="8" w:space="0"/>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387" w:hRule="atLeast"/>
        </w:trPr>
        <w:tc>
          <w:tcPr>
            <w:tcW w:w="1260" w:type="dxa"/>
            <w:tcBorders>
              <w:left w:val="single" w:color="auto" w:sz="8" w:space="0"/>
              <w:right w:val="single" w:color="auto" w:sz="8" w:space="0"/>
            </w:tcBorders>
            <w:vAlign w:val="bottom"/>
          </w:tcPr>
          <w:p>
            <w:pPr>
              <w:rPr>
                <w:sz w:val="24"/>
                <w:szCs w:val="24"/>
              </w:rPr>
            </w:pPr>
          </w:p>
        </w:tc>
        <w:tc>
          <w:tcPr>
            <w:tcW w:w="3960" w:type="dxa"/>
            <w:tcBorders>
              <w:bottom w:val="single" w:color="auto" w:sz="8" w:space="0"/>
              <w:right w:val="single" w:color="auto" w:sz="8" w:space="0"/>
            </w:tcBorders>
            <w:vAlign w:val="bottom"/>
          </w:tcPr>
          <w:p>
            <w:pPr>
              <w:rPr>
                <w:sz w:val="24"/>
                <w:szCs w:val="24"/>
              </w:rPr>
            </w:pPr>
          </w:p>
        </w:tc>
        <w:tc>
          <w:tcPr>
            <w:tcW w:w="1480" w:type="dxa"/>
            <w:tcBorders>
              <w:bottom w:val="single" w:color="auto" w:sz="8" w:space="0"/>
              <w:right w:val="single" w:color="auto" w:sz="8" w:space="0"/>
            </w:tcBorders>
            <w:vAlign w:val="bottom"/>
          </w:tcPr>
          <w:p>
            <w:pPr>
              <w:rPr>
                <w:sz w:val="24"/>
                <w:szCs w:val="24"/>
              </w:rPr>
            </w:pPr>
          </w:p>
        </w:tc>
        <w:tc>
          <w:tcPr>
            <w:tcW w:w="1420" w:type="dxa"/>
            <w:tcBorders>
              <w:bottom w:val="single" w:color="auto" w:sz="8" w:space="0"/>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387" w:hRule="atLeast"/>
        </w:trPr>
        <w:tc>
          <w:tcPr>
            <w:tcW w:w="1260" w:type="dxa"/>
            <w:tcBorders>
              <w:left w:val="single" w:color="auto" w:sz="8" w:space="0"/>
              <w:bottom w:val="single" w:color="auto" w:sz="8" w:space="0"/>
              <w:right w:val="single" w:color="auto" w:sz="8" w:space="0"/>
            </w:tcBorders>
            <w:vAlign w:val="bottom"/>
          </w:tcPr>
          <w:p>
            <w:pPr>
              <w:rPr>
                <w:sz w:val="24"/>
                <w:szCs w:val="24"/>
              </w:rPr>
            </w:pPr>
          </w:p>
        </w:tc>
        <w:tc>
          <w:tcPr>
            <w:tcW w:w="3960" w:type="dxa"/>
            <w:tcBorders>
              <w:bottom w:val="single" w:color="auto" w:sz="8" w:space="0"/>
              <w:right w:val="single" w:color="auto" w:sz="8" w:space="0"/>
            </w:tcBorders>
            <w:vAlign w:val="bottom"/>
          </w:tcPr>
          <w:p>
            <w:pPr>
              <w:rPr>
                <w:sz w:val="24"/>
                <w:szCs w:val="24"/>
              </w:rPr>
            </w:pPr>
          </w:p>
        </w:tc>
        <w:tc>
          <w:tcPr>
            <w:tcW w:w="1480" w:type="dxa"/>
            <w:tcBorders>
              <w:bottom w:val="single" w:color="auto" w:sz="8" w:space="0"/>
              <w:right w:val="single" w:color="auto" w:sz="8" w:space="0"/>
            </w:tcBorders>
            <w:vAlign w:val="bottom"/>
          </w:tcPr>
          <w:p>
            <w:pPr>
              <w:rPr>
                <w:sz w:val="24"/>
                <w:szCs w:val="24"/>
              </w:rPr>
            </w:pPr>
          </w:p>
        </w:tc>
        <w:tc>
          <w:tcPr>
            <w:tcW w:w="1420" w:type="dxa"/>
            <w:tcBorders>
              <w:bottom w:val="single" w:color="auto" w:sz="8" w:space="0"/>
              <w:right w:val="single" w:color="auto" w:sz="8" w:space="0"/>
            </w:tcBorders>
            <w:vAlign w:val="bottom"/>
          </w:tcPr>
          <w:p>
            <w:pPr>
              <w:rPr>
                <w:sz w:val="24"/>
                <w:szCs w:val="24"/>
              </w:rPr>
            </w:pPr>
          </w:p>
        </w:tc>
      </w:tr>
    </w:tbl>
    <w:p>
      <w:pPr>
        <w:ind w:firstLine="480" w:firstLineChars="200"/>
        <w:rPr>
          <w:sz w:val="24"/>
          <w:szCs w:val="24"/>
        </w:rPr>
      </w:pPr>
    </w:p>
    <w:p>
      <w:pPr>
        <w:ind w:left="920" w:firstLine="480" w:firstLineChars="200"/>
        <w:rPr>
          <w:sz w:val="24"/>
          <w:szCs w:val="24"/>
        </w:rPr>
      </w:pPr>
      <w:r>
        <w:rPr>
          <w:color w:val="0C0C0C"/>
          <w:sz w:val="24"/>
          <w:szCs w:val="24"/>
        </w:rPr>
        <w:t>样例：模块测量分评判样例如表</w:t>
      </w:r>
      <w:r>
        <w:rPr>
          <w:rFonts w:ascii="Arial Narrow" w:hAnsi="Arial Narrow" w:eastAsia="Arial Narrow" w:cs="Arial Narrow"/>
          <w:color w:val="0C0C0C"/>
          <w:sz w:val="24"/>
          <w:szCs w:val="24"/>
        </w:rPr>
        <w:t xml:space="preserve"> 10 </w:t>
      </w:r>
      <w:r>
        <w:rPr>
          <w:color w:val="0C0C0C"/>
          <w:sz w:val="24"/>
          <w:szCs w:val="24"/>
        </w:rPr>
        <w:t>所示。</w:t>
      </w:r>
    </w:p>
    <w:p>
      <w:pPr>
        <w:ind w:firstLine="480" w:firstLineChars="200"/>
        <w:rPr>
          <w:sz w:val="24"/>
          <w:szCs w:val="24"/>
        </w:rPr>
      </w:pPr>
    </w:p>
    <w:tbl>
      <w:tblPr>
        <w:tblStyle w:val="8"/>
        <w:tblW w:w="9920" w:type="dxa"/>
        <w:tblInd w:w="98" w:type="dxa"/>
        <w:tblLayout w:type="autofit"/>
        <w:tblCellMar>
          <w:top w:w="0" w:type="dxa"/>
          <w:left w:w="108" w:type="dxa"/>
          <w:bottom w:w="0" w:type="dxa"/>
          <w:right w:w="108" w:type="dxa"/>
        </w:tblCellMar>
      </w:tblPr>
      <w:tblGrid>
        <w:gridCol w:w="1990"/>
        <w:gridCol w:w="4154"/>
        <w:gridCol w:w="2258"/>
        <w:gridCol w:w="1518"/>
      </w:tblGrid>
      <w:tr>
        <w:tblPrEx>
          <w:tblCellMar>
            <w:top w:w="0" w:type="dxa"/>
            <w:left w:w="108" w:type="dxa"/>
            <w:bottom w:w="0" w:type="dxa"/>
            <w:right w:w="108" w:type="dxa"/>
          </w:tblCellMar>
        </w:tblPrEx>
        <w:trPr>
          <w:trHeight w:val="733" w:hRule="atLeast"/>
        </w:trPr>
        <w:tc>
          <w:tcPr>
            <w:tcW w:w="9920" w:type="dxa"/>
            <w:gridSpan w:val="4"/>
            <w:tcBorders>
              <w:top w:val="single" w:color="000000" w:sz="4" w:space="0"/>
              <w:left w:val="single" w:color="000000" w:sz="4" w:space="0"/>
              <w:bottom w:val="single" w:color="000000" w:sz="4" w:space="0"/>
              <w:right w:val="single" w:color="000000" w:sz="4" w:space="0"/>
            </w:tcBorders>
            <w:shd w:val="clear" w:color="auto" w:fill="auto"/>
            <w:noWrap/>
          </w:tcPr>
          <w:p>
            <w:pPr>
              <w:widowControl/>
              <w:spacing w:line="240" w:lineRule="auto"/>
              <w:ind w:firstLine="482" w:firstLineChars="200"/>
              <w:jc w:val="center"/>
              <w:textAlignment w:val="top"/>
              <w:rPr>
                <w:rFonts w:eastAsia="宋体"/>
                <w:b/>
                <w:bCs/>
                <w:color w:val="000000"/>
                <w:sz w:val="24"/>
                <w:szCs w:val="24"/>
              </w:rPr>
            </w:pPr>
            <w:r>
              <w:rPr>
                <w:rFonts w:hint="eastAsia" w:eastAsia="宋体"/>
                <w:b/>
                <w:bCs/>
                <w:color w:val="000000"/>
                <w:sz w:val="24"/>
                <w:szCs w:val="24"/>
                <w:lang w:bidi="ar"/>
              </w:rPr>
              <w:t>表 10 测量分评判样例</w:t>
            </w:r>
          </w:p>
        </w:tc>
      </w:tr>
      <w:tr>
        <w:tblPrEx>
          <w:tblCellMar>
            <w:top w:w="0" w:type="dxa"/>
            <w:left w:w="108" w:type="dxa"/>
            <w:bottom w:w="0" w:type="dxa"/>
            <w:right w:w="108" w:type="dxa"/>
          </w:tblCellMar>
        </w:tblPrEx>
        <w:trPr>
          <w:trHeight w:val="63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ind w:firstLine="482" w:firstLineChars="200"/>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评分子项</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2" w:firstLineChars="200"/>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评分细则</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2" w:firstLineChars="200"/>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正确分值</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2" w:firstLineChars="200"/>
              <w:jc w:val="center"/>
              <w:textAlignment w:val="bottom"/>
              <w:rPr>
                <w:rFonts w:ascii="仿宋" w:hAnsi="仿宋" w:cs="仿宋"/>
                <w:b/>
                <w:bCs/>
                <w:color w:val="0C0C0C"/>
                <w:sz w:val="24"/>
                <w:szCs w:val="24"/>
              </w:rPr>
            </w:pPr>
            <w:r>
              <w:rPr>
                <w:rFonts w:hint="eastAsia" w:ascii="仿宋" w:hAnsi="仿宋" w:cs="仿宋"/>
                <w:b/>
                <w:bCs/>
                <w:color w:val="0C0C0C"/>
                <w:sz w:val="24"/>
                <w:szCs w:val="24"/>
                <w:lang w:bidi="ar"/>
              </w:rPr>
              <w:t>得分值</w:t>
            </w:r>
          </w:p>
        </w:tc>
      </w:tr>
      <w:tr>
        <w:tblPrEx>
          <w:tblCellMar>
            <w:top w:w="0" w:type="dxa"/>
            <w:left w:w="108" w:type="dxa"/>
            <w:bottom w:w="0" w:type="dxa"/>
            <w:right w:w="108" w:type="dxa"/>
          </w:tblCellMar>
        </w:tblPrEx>
        <w:trPr>
          <w:trHeight w:val="63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480" w:firstLineChars="200"/>
              <w:jc w:val="center"/>
              <w:textAlignment w:val="center"/>
              <w:rPr>
                <w:rFonts w:eastAsia="宋体"/>
                <w:color w:val="000000"/>
                <w:sz w:val="24"/>
                <w:szCs w:val="24"/>
              </w:rPr>
            </w:pPr>
            <w:r>
              <w:rPr>
                <w:rFonts w:hint="eastAsia" w:eastAsia="宋体"/>
                <w:color w:val="000000"/>
                <w:sz w:val="24"/>
                <w:szCs w:val="24"/>
                <w:lang w:bidi="ar"/>
              </w:rPr>
              <w:t>登陆界面</w:t>
            </w: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登陆按钮显示正确</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jc w:val="right"/>
              <w:textAlignment w:val="bottom"/>
              <w:rPr>
                <w:rFonts w:ascii="仿宋" w:hAnsi="仿宋" w:cs="仿宋"/>
                <w:color w:val="0C0C0C"/>
                <w:sz w:val="24"/>
                <w:szCs w:val="24"/>
              </w:rPr>
            </w:pPr>
            <w:r>
              <w:rPr>
                <w:rFonts w:hint="eastAsia" w:ascii="仿宋" w:hAnsi="仿宋" w:cs="仿宋"/>
                <w:color w:val="0C0C0C"/>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80" w:firstLineChars="200"/>
              <w:jc w:val="right"/>
              <w:textAlignment w:val="center"/>
              <w:rPr>
                <w:rFonts w:eastAsia="宋体"/>
                <w:color w:val="000000"/>
                <w:sz w:val="24"/>
                <w:szCs w:val="24"/>
              </w:rPr>
            </w:pPr>
            <w:r>
              <w:rPr>
                <w:rFonts w:hint="eastAsia" w:eastAsia="宋体"/>
                <w:color w:val="000000"/>
                <w:sz w:val="24"/>
                <w:szCs w:val="24"/>
                <w:lang w:bidi="ar"/>
              </w:rPr>
              <w:t>0</w:t>
            </w:r>
          </w:p>
        </w:tc>
      </w:tr>
      <w:tr>
        <w:tblPrEx>
          <w:tblCellMar>
            <w:top w:w="0" w:type="dxa"/>
            <w:left w:w="108" w:type="dxa"/>
            <w:bottom w:w="0" w:type="dxa"/>
            <w:right w:w="108" w:type="dxa"/>
          </w:tblCellMar>
        </w:tblPrEx>
        <w:trPr>
          <w:trHeight w:val="6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eastAsia="宋体"/>
                <w:color w:val="000000"/>
                <w:sz w:val="24"/>
                <w:szCs w:val="24"/>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用户名输入框显示正确</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jc w:val="right"/>
              <w:textAlignment w:val="bottom"/>
              <w:rPr>
                <w:rFonts w:ascii="仿宋" w:hAnsi="仿宋" w:cs="仿宋"/>
                <w:color w:val="0C0C0C"/>
                <w:sz w:val="24"/>
                <w:szCs w:val="24"/>
              </w:rPr>
            </w:pPr>
            <w:r>
              <w:rPr>
                <w:rFonts w:hint="eastAsia" w:ascii="仿宋" w:hAnsi="仿宋" w:cs="仿宋"/>
                <w:color w:val="0C0C0C"/>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80" w:firstLineChars="200"/>
              <w:jc w:val="right"/>
              <w:textAlignment w:val="center"/>
              <w:rPr>
                <w:rFonts w:eastAsia="宋体"/>
                <w:color w:val="000000"/>
                <w:sz w:val="24"/>
                <w:szCs w:val="24"/>
              </w:rPr>
            </w:pPr>
            <w:r>
              <w:rPr>
                <w:rFonts w:hint="eastAsia" w:eastAsia="宋体"/>
                <w:color w:val="000000"/>
                <w:sz w:val="24"/>
                <w:szCs w:val="24"/>
                <w:lang w:bidi="ar"/>
              </w:rPr>
              <w:t>2</w:t>
            </w:r>
          </w:p>
        </w:tc>
      </w:tr>
      <w:tr>
        <w:tblPrEx>
          <w:tblCellMar>
            <w:top w:w="0" w:type="dxa"/>
            <w:left w:w="108" w:type="dxa"/>
            <w:bottom w:w="0" w:type="dxa"/>
            <w:right w:w="108" w:type="dxa"/>
          </w:tblCellMar>
        </w:tblPrEx>
        <w:trPr>
          <w:trHeight w:val="6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480" w:firstLineChars="200"/>
              <w:jc w:val="center"/>
              <w:rPr>
                <w:rFonts w:eastAsia="宋体"/>
                <w:color w:val="000000"/>
                <w:sz w:val="24"/>
                <w:szCs w:val="24"/>
              </w:rPr>
            </w:pPr>
          </w:p>
        </w:tc>
        <w:tc>
          <w:tcPr>
            <w:tcW w:w="415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textAlignment w:val="bottom"/>
              <w:rPr>
                <w:rFonts w:ascii="仿宋" w:hAnsi="仿宋" w:cs="仿宋"/>
                <w:color w:val="0C0C0C"/>
                <w:sz w:val="24"/>
                <w:szCs w:val="24"/>
              </w:rPr>
            </w:pPr>
            <w:r>
              <w:rPr>
                <w:rFonts w:hint="eastAsia" w:ascii="仿宋" w:hAnsi="仿宋" w:cs="仿宋"/>
                <w:color w:val="0C0C0C"/>
                <w:sz w:val="24"/>
                <w:szCs w:val="24"/>
                <w:lang w:bidi="ar"/>
              </w:rPr>
              <w:t>密码输入框显示正确</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240" w:lineRule="auto"/>
              <w:ind w:firstLine="480" w:firstLineChars="200"/>
              <w:jc w:val="right"/>
              <w:textAlignment w:val="bottom"/>
              <w:rPr>
                <w:rFonts w:ascii="仿宋" w:hAnsi="仿宋" w:cs="仿宋"/>
                <w:color w:val="0C0C0C"/>
                <w:sz w:val="24"/>
                <w:szCs w:val="24"/>
              </w:rPr>
            </w:pPr>
            <w:r>
              <w:rPr>
                <w:rFonts w:hint="eastAsia" w:ascii="仿宋" w:hAnsi="仿宋" w:cs="仿宋"/>
                <w:color w:val="0C0C0C"/>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480" w:firstLineChars="200"/>
              <w:jc w:val="right"/>
              <w:textAlignment w:val="center"/>
              <w:rPr>
                <w:rFonts w:eastAsia="宋体"/>
                <w:color w:val="000000"/>
                <w:sz w:val="24"/>
                <w:szCs w:val="24"/>
              </w:rPr>
            </w:pPr>
            <w:r>
              <w:rPr>
                <w:rFonts w:hint="eastAsia" w:eastAsia="宋体"/>
                <w:color w:val="000000"/>
                <w:sz w:val="24"/>
                <w:szCs w:val="24"/>
                <w:lang w:bidi="ar"/>
              </w:rPr>
              <w:t>2</w:t>
            </w:r>
          </w:p>
        </w:tc>
      </w:tr>
    </w:tbl>
    <w:p>
      <w:pPr>
        <w:ind w:firstLine="480" w:firstLineChars="200"/>
        <w:rPr>
          <w:sz w:val="24"/>
          <w:szCs w:val="24"/>
        </w:rPr>
      </w:pPr>
    </w:p>
    <w:p>
      <w:pPr>
        <w:ind w:firstLine="480" w:firstLineChars="200"/>
        <w:rPr>
          <w:sz w:val="24"/>
          <w:szCs w:val="24"/>
        </w:rPr>
        <w:sectPr>
          <w:pgSz w:w="11900" w:h="16838"/>
          <w:pgMar w:top="1440" w:right="1386" w:bottom="445" w:left="1380" w:header="0" w:footer="0" w:gutter="0"/>
          <w:cols w:equalWidth="0" w:num="1">
            <w:col w:w="9140"/>
          </w:cols>
        </w:sectPr>
      </w:pPr>
      <w:bookmarkStart w:id="12" w:name="page26"/>
      <w:bookmarkEnd w:id="12"/>
    </w:p>
    <w:p>
      <w:pPr>
        <w:ind w:firstLine="482" w:firstLineChars="200"/>
        <w:outlineLvl w:val="1"/>
        <w:rPr>
          <w:sz w:val="24"/>
          <w:szCs w:val="24"/>
        </w:rPr>
      </w:pPr>
      <w:r>
        <w:rPr>
          <w:b/>
          <w:bCs/>
          <w:color w:val="0C0C0C"/>
          <w:sz w:val="24"/>
          <w:szCs w:val="24"/>
        </w:rPr>
        <w:t>（五）评分方法</w:t>
      </w:r>
    </w:p>
    <w:p>
      <w:pPr>
        <w:ind w:firstLine="480" w:firstLineChars="200"/>
        <w:rPr>
          <w:sz w:val="24"/>
          <w:szCs w:val="24"/>
        </w:rPr>
      </w:pPr>
      <w:r>
        <w:rPr>
          <w:rFonts w:ascii="Arial" w:hAnsi="Arial" w:eastAsia="Arial" w:cs="Arial"/>
          <w:color w:val="0C0C0C"/>
          <w:sz w:val="24"/>
          <w:szCs w:val="24"/>
        </w:rPr>
        <w:t>1.</w:t>
      </w:r>
      <w:r>
        <w:rPr>
          <w:color w:val="0C0C0C"/>
          <w:sz w:val="24"/>
          <w:szCs w:val="24"/>
        </w:rPr>
        <w:t>竞赛满分为</w:t>
      </w:r>
      <w:r>
        <w:rPr>
          <w:rFonts w:ascii="Arial" w:hAnsi="Arial" w:eastAsia="Arial" w:cs="Arial"/>
          <w:color w:val="0C0C0C"/>
          <w:sz w:val="24"/>
          <w:szCs w:val="24"/>
        </w:rPr>
        <w:t xml:space="preserve"> 100 </w:t>
      </w:r>
      <w:r>
        <w:rPr>
          <w:color w:val="0C0C0C"/>
          <w:sz w:val="24"/>
          <w:szCs w:val="24"/>
        </w:rPr>
        <w:t>分。</w:t>
      </w:r>
    </w:p>
    <w:p>
      <w:pPr>
        <w:ind w:firstLine="480" w:firstLineChars="200"/>
        <w:rPr>
          <w:sz w:val="24"/>
          <w:szCs w:val="24"/>
        </w:rPr>
      </w:pPr>
      <w:r>
        <w:rPr>
          <w:rFonts w:ascii="Arial" w:hAnsi="Arial" w:eastAsia="Arial" w:cs="Arial"/>
          <w:color w:val="0C0C0C"/>
          <w:sz w:val="24"/>
          <w:szCs w:val="24"/>
        </w:rPr>
        <w:t>2.</w:t>
      </w:r>
      <w:r>
        <w:rPr>
          <w:color w:val="0C0C0C"/>
          <w:sz w:val="24"/>
          <w:szCs w:val="24"/>
        </w:rPr>
        <w:t>各参赛队总成绩</w:t>
      </w:r>
      <w:r>
        <w:rPr>
          <w:rFonts w:ascii="Arial" w:hAnsi="Arial" w:eastAsia="Arial" w:cs="Arial"/>
          <w:color w:val="0C0C0C"/>
          <w:sz w:val="24"/>
          <w:szCs w:val="24"/>
        </w:rPr>
        <w:t>=</w:t>
      </w:r>
      <w:r>
        <w:rPr>
          <w:color w:val="0C0C0C"/>
          <w:sz w:val="24"/>
          <w:szCs w:val="24"/>
        </w:rPr>
        <w:t>功能模块开发模块得分得分。</w:t>
      </w:r>
    </w:p>
    <w:p>
      <w:pPr>
        <w:ind w:firstLine="480" w:firstLineChars="200"/>
        <w:rPr>
          <w:sz w:val="24"/>
          <w:szCs w:val="24"/>
        </w:rPr>
      </w:pPr>
      <w:r>
        <w:rPr>
          <w:rFonts w:ascii="Arial" w:hAnsi="Arial" w:eastAsia="Arial" w:cs="Arial"/>
          <w:color w:val="0C0C0C"/>
          <w:sz w:val="24"/>
          <w:szCs w:val="24"/>
        </w:rPr>
        <w:t>3.</w:t>
      </w:r>
      <w:r>
        <w:rPr>
          <w:color w:val="0C0C0C"/>
          <w:sz w:val="24"/>
          <w:szCs w:val="24"/>
        </w:rPr>
        <w:t>竞赛设置裁判</w:t>
      </w:r>
      <w:r>
        <w:rPr>
          <w:rFonts w:ascii="Arial" w:hAnsi="Arial" w:eastAsia="Arial" w:cs="Arial"/>
          <w:color w:val="0C0C0C"/>
          <w:sz w:val="24"/>
          <w:szCs w:val="24"/>
        </w:rPr>
        <w:t xml:space="preserve"> </w:t>
      </w:r>
      <w:r>
        <w:rPr>
          <w:rFonts w:hint="eastAsia" w:ascii="Arial" w:hAnsi="Arial" w:cs="Arial"/>
          <w:color w:val="0C0C0C"/>
          <w:sz w:val="24"/>
          <w:szCs w:val="24"/>
        </w:rPr>
        <w:t>4</w:t>
      </w:r>
      <w:r>
        <w:rPr>
          <w:color w:val="0C0C0C"/>
          <w:sz w:val="24"/>
          <w:szCs w:val="24"/>
        </w:rPr>
        <w:t>人，包括裁判长</w:t>
      </w:r>
      <w:r>
        <w:rPr>
          <w:rFonts w:ascii="Arial" w:hAnsi="Arial" w:eastAsia="Arial" w:cs="Arial"/>
          <w:color w:val="0C0C0C"/>
          <w:sz w:val="24"/>
          <w:szCs w:val="24"/>
        </w:rPr>
        <w:t xml:space="preserve"> 1 </w:t>
      </w:r>
      <w:r>
        <w:rPr>
          <w:color w:val="0C0C0C"/>
          <w:sz w:val="24"/>
          <w:szCs w:val="24"/>
        </w:rPr>
        <w:t>名，裁判</w:t>
      </w:r>
      <w:r>
        <w:rPr>
          <w:rFonts w:ascii="Arial" w:hAnsi="Arial" w:eastAsia="Arial" w:cs="Arial"/>
          <w:color w:val="0C0C0C"/>
          <w:sz w:val="24"/>
          <w:szCs w:val="24"/>
        </w:rPr>
        <w:t xml:space="preserve"> </w:t>
      </w:r>
      <w:r>
        <w:rPr>
          <w:rFonts w:hint="eastAsia" w:ascii="Arial" w:hAnsi="Arial" w:cs="Arial"/>
          <w:color w:val="0C0C0C"/>
          <w:sz w:val="24"/>
          <w:szCs w:val="24"/>
        </w:rPr>
        <w:t>3</w:t>
      </w:r>
      <w:r>
        <w:rPr>
          <w:rFonts w:ascii="Arial" w:hAnsi="Arial" w:eastAsia="Arial" w:cs="Arial"/>
          <w:color w:val="0C0C0C"/>
          <w:sz w:val="24"/>
          <w:szCs w:val="24"/>
        </w:rPr>
        <w:t xml:space="preserve"> </w:t>
      </w:r>
      <w:r>
        <w:rPr>
          <w:color w:val="0C0C0C"/>
          <w:sz w:val="24"/>
          <w:szCs w:val="24"/>
        </w:rPr>
        <w:t>名。裁判分为现场裁判</w:t>
      </w:r>
      <w:r>
        <w:rPr>
          <w:rFonts w:ascii="Arial" w:hAnsi="Arial" w:eastAsia="Arial" w:cs="Arial"/>
          <w:color w:val="0C0C0C"/>
          <w:sz w:val="24"/>
          <w:szCs w:val="24"/>
        </w:rPr>
        <w:t xml:space="preserve"> </w:t>
      </w:r>
      <w:r>
        <w:rPr>
          <w:rFonts w:hint="eastAsia" w:ascii="Arial" w:hAnsi="Arial" w:cs="Arial"/>
          <w:color w:val="0C0C0C"/>
          <w:sz w:val="24"/>
          <w:szCs w:val="24"/>
        </w:rPr>
        <w:t>2</w:t>
      </w:r>
      <w:r>
        <w:rPr>
          <w:rFonts w:ascii="Arial" w:hAnsi="Arial" w:eastAsia="Arial" w:cs="Arial"/>
          <w:color w:val="0C0C0C"/>
          <w:sz w:val="24"/>
          <w:szCs w:val="24"/>
        </w:rPr>
        <w:t xml:space="preserve"> </w:t>
      </w:r>
      <w:r>
        <w:rPr>
          <w:color w:val="0C0C0C"/>
          <w:sz w:val="24"/>
          <w:szCs w:val="24"/>
        </w:rPr>
        <w:t>人，评分裁判</w:t>
      </w:r>
      <w:r>
        <w:rPr>
          <w:rFonts w:ascii="Arial" w:hAnsi="Arial" w:eastAsia="Arial" w:cs="Arial"/>
          <w:color w:val="0C0C0C"/>
          <w:sz w:val="24"/>
          <w:szCs w:val="24"/>
        </w:rPr>
        <w:t xml:space="preserve"> </w:t>
      </w:r>
      <w:r>
        <w:rPr>
          <w:rFonts w:hint="eastAsia" w:ascii="Arial" w:hAnsi="Arial" w:cs="Arial"/>
          <w:color w:val="0C0C0C"/>
          <w:sz w:val="24"/>
          <w:szCs w:val="24"/>
        </w:rPr>
        <w:t>2</w:t>
      </w:r>
      <w:r>
        <w:rPr>
          <w:rFonts w:ascii="Arial" w:hAnsi="Arial" w:eastAsia="Arial" w:cs="Arial"/>
          <w:color w:val="0C0C0C"/>
          <w:sz w:val="24"/>
          <w:szCs w:val="24"/>
        </w:rPr>
        <w:t xml:space="preserve"> </w:t>
      </w:r>
      <w:r>
        <w:rPr>
          <w:color w:val="0C0C0C"/>
          <w:sz w:val="24"/>
          <w:szCs w:val="24"/>
        </w:rPr>
        <w:t>人。</w:t>
      </w:r>
    </w:p>
    <w:p>
      <w:pPr>
        <w:ind w:firstLine="480" w:firstLineChars="200"/>
        <w:rPr>
          <w:sz w:val="24"/>
          <w:szCs w:val="24"/>
        </w:rPr>
      </w:pPr>
      <w:r>
        <w:rPr>
          <w:rFonts w:ascii="Arial" w:hAnsi="Arial" w:eastAsia="Arial" w:cs="Arial"/>
          <w:color w:val="0C0C0C"/>
          <w:sz w:val="24"/>
          <w:szCs w:val="24"/>
        </w:rPr>
        <w:t>4.</w:t>
      </w:r>
      <w:r>
        <w:rPr>
          <w:color w:val="0C0C0C"/>
          <w:sz w:val="24"/>
          <w:szCs w:val="24"/>
        </w:rPr>
        <w:t>裁判对参赛队伍提交的作品采取评价分和测量分结合评分。采取分步得分、累计总分的计分方式。各环节分别计算得分，错误不传递，按规定比例计入个人总分。根据赛题模块情况进行任务划分，每名评分裁判负责一个任务（评价分</w:t>
      </w:r>
      <w:r>
        <w:rPr>
          <w:rFonts w:ascii="Arial" w:hAnsi="Arial" w:eastAsia="Arial" w:cs="Arial"/>
          <w:color w:val="0C0C0C"/>
          <w:sz w:val="24"/>
          <w:szCs w:val="24"/>
        </w:rPr>
        <w:t xml:space="preserve"> </w:t>
      </w:r>
      <w:r>
        <w:rPr>
          <w:rFonts w:hint="eastAsia" w:ascii="Arial" w:hAnsi="Arial" w:cs="Arial"/>
          <w:color w:val="0C0C0C"/>
          <w:sz w:val="24"/>
          <w:szCs w:val="24"/>
        </w:rPr>
        <w:t>2</w:t>
      </w:r>
      <w:r>
        <w:rPr>
          <w:rFonts w:ascii="Arial" w:hAnsi="Arial" w:eastAsia="Arial" w:cs="Arial"/>
          <w:color w:val="0C0C0C"/>
          <w:sz w:val="24"/>
          <w:szCs w:val="24"/>
        </w:rPr>
        <w:t xml:space="preserve"> </w:t>
      </w:r>
      <w:r>
        <w:rPr>
          <w:color w:val="0C0C0C"/>
          <w:sz w:val="24"/>
          <w:szCs w:val="24"/>
        </w:rPr>
        <w:t>名裁判）进行独立评分。</w:t>
      </w:r>
    </w:p>
    <w:p>
      <w:pPr>
        <w:ind w:firstLine="480" w:firstLineChars="200"/>
        <w:rPr>
          <w:sz w:val="24"/>
          <w:szCs w:val="24"/>
        </w:rPr>
      </w:pPr>
      <w:r>
        <w:rPr>
          <w:rFonts w:ascii="Arial" w:hAnsi="Arial" w:eastAsia="Arial" w:cs="Arial"/>
          <w:color w:val="0C0C0C"/>
          <w:sz w:val="24"/>
          <w:szCs w:val="24"/>
        </w:rPr>
        <w:t>5.</w:t>
      </w:r>
      <w:r>
        <w:rPr>
          <w:color w:val="0C0C0C"/>
          <w:sz w:val="24"/>
          <w:szCs w:val="24"/>
        </w:rPr>
        <w:t>裁判长正式提交全部模块评分结果并复核无误后，在监督人员监督下进行评分，加密赛位号到参赛队名称解密。</w:t>
      </w:r>
    </w:p>
    <w:p>
      <w:pPr>
        <w:ind w:firstLine="480" w:firstLineChars="200"/>
        <w:rPr>
          <w:sz w:val="24"/>
          <w:szCs w:val="24"/>
        </w:rPr>
      </w:pPr>
      <w:r>
        <w:rPr>
          <w:rFonts w:ascii="Arial" w:hAnsi="Arial" w:eastAsia="Arial" w:cs="Arial"/>
          <w:color w:val="0C0C0C"/>
          <w:sz w:val="24"/>
          <w:szCs w:val="24"/>
        </w:rPr>
        <w:t>6.</w:t>
      </w:r>
      <w:r>
        <w:rPr>
          <w:color w:val="0C0C0C"/>
          <w:sz w:val="24"/>
          <w:szCs w:val="24"/>
        </w:rPr>
        <w:t>为保障成绩评判的准确性，监督组对赛项总成绩排名前</w:t>
      </w:r>
      <w:r>
        <w:rPr>
          <w:rFonts w:ascii="Arial" w:hAnsi="Arial" w:eastAsia="Arial" w:cs="Arial"/>
          <w:color w:val="0C0C0C"/>
          <w:sz w:val="24"/>
          <w:szCs w:val="24"/>
        </w:rPr>
        <w:t xml:space="preserve"> 30%</w:t>
      </w:r>
      <w:r>
        <w:rPr>
          <w:color w:val="0C0C0C"/>
          <w:sz w:val="24"/>
          <w:szCs w:val="24"/>
        </w:rPr>
        <w:t>的所有参赛队伍的成绩进行复核；其余成绩进行抽检复核，抽检覆盖率不低于</w:t>
      </w:r>
      <w:r>
        <w:rPr>
          <w:rFonts w:ascii="Arial" w:hAnsi="Arial" w:eastAsia="Arial" w:cs="Arial"/>
          <w:color w:val="0C0C0C"/>
          <w:sz w:val="24"/>
          <w:szCs w:val="24"/>
        </w:rPr>
        <w:t xml:space="preserve"> 15%</w:t>
      </w:r>
      <w:r>
        <w:rPr>
          <w:color w:val="0C0C0C"/>
          <w:sz w:val="24"/>
          <w:szCs w:val="24"/>
        </w:rPr>
        <w:t>。</w:t>
      </w:r>
    </w:p>
    <w:p>
      <w:pPr>
        <w:ind w:firstLine="480" w:firstLineChars="200"/>
        <w:rPr>
          <w:sz w:val="24"/>
          <w:szCs w:val="24"/>
        </w:rPr>
      </w:pPr>
      <w:r>
        <w:rPr>
          <w:rFonts w:ascii="Arial" w:hAnsi="Arial" w:eastAsia="Arial" w:cs="Arial"/>
          <w:color w:val="0C0C0C"/>
          <w:sz w:val="24"/>
          <w:szCs w:val="24"/>
        </w:rPr>
        <w:t>7.</w:t>
      </w:r>
      <w:r>
        <w:rPr>
          <w:color w:val="0C0C0C"/>
          <w:sz w:val="24"/>
          <w:szCs w:val="24"/>
        </w:rPr>
        <w:t>监督组在复核中发现错误，需以书面形式及时告知裁判长，由裁判长更正成绩并签字确认。如复核、抽检错误率超过</w:t>
      </w:r>
      <w:r>
        <w:rPr>
          <w:rFonts w:ascii="Arial" w:hAnsi="Arial" w:eastAsia="Arial" w:cs="Arial"/>
          <w:color w:val="0C0C0C"/>
          <w:sz w:val="24"/>
          <w:szCs w:val="24"/>
        </w:rPr>
        <w:t xml:space="preserve"> 5%</w:t>
      </w:r>
      <w:r>
        <w:rPr>
          <w:color w:val="0C0C0C"/>
          <w:sz w:val="24"/>
          <w:szCs w:val="24"/>
        </w:rPr>
        <w:t>，裁判组需对所有成绩进行复核。</w:t>
      </w:r>
    </w:p>
    <w:p>
      <w:pPr>
        <w:ind w:firstLine="480" w:firstLineChars="200"/>
        <w:rPr>
          <w:sz w:val="24"/>
          <w:szCs w:val="24"/>
        </w:rPr>
      </w:pPr>
      <w:r>
        <w:rPr>
          <w:rFonts w:ascii="Arial" w:hAnsi="Arial" w:eastAsia="Arial" w:cs="Arial"/>
          <w:color w:val="0C0C0C"/>
          <w:sz w:val="24"/>
          <w:szCs w:val="24"/>
        </w:rPr>
        <w:t>8.</w:t>
      </w:r>
      <w:r>
        <w:rPr>
          <w:color w:val="0C0C0C"/>
          <w:sz w:val="24"/>
          <w:szCs w:val="24"/>
        </w:rPr>
        <w:t>在竞赛过程中，参赛选手如有不服从裁判裁决、扰乱赛场秩序、舞弊等行为的，由裁判长按照规定扣减相应分数，情节严重的将取消比赛资格，比赛成绩计</w:t>
      </w:r>
      <w:r>
        <w:rPr>
          <w:rFonts w:ascii="Arial" w:hAnsi="Arial" w:eastAsia="Arial" w:cs="Arial"/>
          <w:color w:val="0C0C0C"/>
          <w:sz w:val="24"/>
          <w:szCs w:val="24"/>
        </w:rPr>
        <w:t xml:space="preserve"> 0 </w:t>
      </w:r>
      <w:r>
        <w:rPr>
          <w:color w:val="0C0C0C"/>
          <w:sz w:val="24"/>
          <w:szCs w:val="24"/>
        </w:rPr>
        <w:t>分。</w:t>
      </w:r>
    </w:p>
    <w:p>
      <w:pPr>
        <w:ind w:firstLine="480" w:firstLineChars="200"/>
        <w:rPr>
          <w:sz w:val="24"/>
          <w:szCs w:val="24"/>
        </w:rPr>
      </w:pPr>
      <w:r>
        <w:rPr>
          <w:rFonts w:ascii="Arial" w:hAnsi="Arial" w:eastAsia="Arial" w:cs="Arial"/>
          <w:color w:val="0C0C0C"/>
          <w:sz w:val="24"/>
          <w:szCs w:val="24"/>
        </w:rPr>
        <w:t>9.</w:t>
      </w:r>
      <w:r>
        <w:rPr>
          <w:color w:val="0C0C0C"/>
          <w:sz w:val="24"/>
          <w:szCs w:val="24"/>
        </w:rPr>
        <w:t>赛项成绩解密后，经裁判长、监督组签字后，在赛项执委会指定的地点，以纸质形式向全体参赛队进行公布。成绩公布</w:t>
      </w:r>
      <w:r>
        <w:rPr>
          <w:rFonts w:ascii="Arial" w:hAnsi="Arial" w:eastAsia="Arial" w:cs="Arial"/>
          <w:color w:val="0C0C0C"/>
          <w:sz w:val="24"/>
          <w:szCs w:val="24"/>
        </w:rPr>
        <w:t xml:space="preserve"> 2 </w:t>
      </w:r>
      <w:r>
        <w:rPr>
          <w:color w:val="0C0C0C"/>
          <w:sz w:val="24"/>
          <w:szCs w:val="24"/>
        </w:rPr>
        <w:t>小时无异议后，将赛项总成绩的最终结果录入赛务管理系统，经裁判长、监督组长和仲裁长在系统导出的成绩单上签字，在闭赛式上宣布并颁发证书。</w:t>
      </w:r>
    </w:p>
    <w:p>
      <w:pPr>
        <w:ind w:firstLine="482" w:firstLineChars="200"/>
        <w:outlineLvl w:val="0"/>
        <w:rPr>
          <w:sz w:val="24"/>
          <w:szCs w:val="24"/>
        </w:rPr>
      </w:pPr>
      <w:r>
        <w:rPr>
          <w:b/>
          <w:bCs/>
          <w:color w:val="0C0C0C"/>
          <w:sz w:val="24"/>
          <w:szCs w:val="24"/>
        </w:rPr>
        <w:t>十、竞赛须知</w:t>
      </w:r>
    </w:p>
    <w:p>
      <w:pPr>
        <w:ind w:firstLine="482" w:firstLineChars="200"/>
        <w:outlineLvl w:val="1"/>
        <w:rPr>
          <w:sz w:val="24"/>
          <w:szCs w:val="24"/>
        </w:rPr>
      </w:pPr>
      <w:r>
        <w:rPr>
          <w:b/>
          <w:bCs/>
          <w:color w:val="0C0C0C"/>
          <w:sz w:val="24"/>
          <w:szCs w:val="24"/>
        </w:rPr>
        <w:t>（一）参赛队须知</w:t>
      </w:r>
    </w:p>
    <w:p>
      <w:pPr>
        <w:ind w:firstLine="480" w:firstLineChars="200"/>
        <w:outlineLvl w:val="2"/>
        <w:rPr>
          <w:sz w:val="24"/>
          <w:szCs w:val="24"/>
        </w:rPr>
      </w:pPr>
      <w:r>
        <w:rPr>
          <w:rFonts w:ascii="Times New Roman" w:hAnsi="Times New Roman" w:eastAsia="Times New Roman" w:cs="Times New Roman"/>
          <w:color w:val="0C0C0C"/>
          <w:sz w:val="24"/>
          <w:szCs w:val="24"/>
        </w:rPr>
        <w:t>1.</w:t>
      </w:r>
      <w:r>
        <w:rPr>
          <w:color w:val="0C0C0C"/>
          <w:sz w:val="24"/>
          <w:szCs w:val="24"/>
        </w:rPr>
        <w:t>参赛队名称。统一使用规定的地区代表队名称，不使用学校或其他组织、团体的名称；不接受跨校组队，同一学校相同项目报名参赛队不超过</w:t>
      </w:r>
      <w:r>
        <w:rPr>
          <w:rFonts w:ascii="Times New Roman" w:hAnsi="Times New Roman" w:eastAsia="Times New Roman" w:cs="Times New Roman"/>
          <w:color w:val="0C0C0C"/>
          <w:sz w:val="24"/>
          <w:szCs w:val="24"/>
        </w:rPr>
        <w:t xml:space="preserve"> 1 </w:t>
      </w:r>
      <w:r>
        <w:rPr>
          <w:color w:val="0C0C0C"/>
          <w:sz w:val="24"/>
          <w:szCs w:val="24"/>
        </w:rPr>
        <w:t>支。</w:t>
      </w:r>
    </w:p>
    <w:p>
      <w:pPr>
        <w:ind w:firstLine="480" w:firstLineChars="200"/>
        <w:outlineLvl w:val="2"/>
        <w:rPr>
          <w:sz w:val="24"/>
          <w:szCs w:val="24"/>
        </w:rPr>
      </w:pPr>
      <w:r>
        <w:rPr>
          <w:rFonts w:ascii="Times New Roman" w:hAnsi="Times New Roman" w:eastAsia="Times New Roman" w:cs="Times New Roman"/>
          <w:color w:val="0C0C0C"/>
          <w:sz w:val="24"/>
          <w:szCs w:val="24"/>
        </w:rPr>
        <w:t>2.</w:t>
      </w:r>
      <w:r>
        <w:rPr>
          <w:color w:val="0C0C0C"/>
          <w:sz w:val="24"/>
          <w:szCs w:val="24"/>
        </w:rPr>
        <w:t>参赛队组成。每支参赛队由</w:t>
      </w:r>
      <w:r>
        <w:rPr>
          <w:rFonts w:ascii="Times New Roman" w:hAnsi="Times New Roman" w:eastAsia="Times New Roman" w:cs="Times New Roman"/>
          <w:color w:val="0C0C0C"/>
          <w:sz w:val="24"/>
          <w:szCs w:val="24"/>
        </w:rPr>
        <w:t xml:space="preserve"> 1 </w:t>
      </w:r>
      <w:r>
        <w:rPr>
          <w:color w:val="0C0C0C"/>
          <w:sz w:val="24"/>
          <w:szCs w:val="24"/>
        </w:rPr>
        <w:t>名符合参赛资格学生组成，性别不限。</w:t>
      </w:r>
    </w:p>
    <w:p>
      <w:pPr>
        <w:ind w:firstLine="480" w:firstLineChars="200"/>
        <w:outlineLvl w:val="2"/>
        <w:rPr>
          <w:sz w:val="24"/>
          <w:szCs w:val="24"/>
        </w:rPr>
      </w:pPr>
      <w:r>
        <w:rPr>
          <w:rFonts w:ascii="Times New Roman" w:hAnsi="Times New Roman" w:eastAsia="Times New Roman" w:cs="Times New Roman"/>
          <w:color w:val="0C0C0C"/>
          <w:sz w:val="24"/>
          <w:szCs w:val="24"/>
        </w:rPr>
        <w:t>3.</w:t>
      </w:r>
      <w:r>
        <w:rPr>
          <w:color w:val="0C0C0C"/>
          <w:sz w:val="24"/>
          <w:szCs w:val="24"/>
        </w:rPr>
        <w:t>指导教师。每支参赛队最多可配指导教师</w:t>
      </w:r>
      <w:r>
        <w:rPr>
          <w:rFonts w:ascii="Times New Roman" w:hAnsi="Times New Roman" w:eastAsia="Times New Roman" w:cs="Times New Roman"/>
          <w:color w:val="0C0C0C"/>
          <w:sz w:val="24"/>
          <w:szCs w:val="24"/>
        </w:rPr>
        <w:t xml:space="preserve"> 1 </w:t>
      </w:r>
      <w:r>
        <w:rPr>
          <w:color w:val="0C0C0C"/>
          <w:sz w:val="24"/>
          <w:szCs w:val="24"/>
        </w:rPr>
        <w:t>名，指导教师经报名并通过资格审查后确定。</w:t>
      </w:r>
    </w:p>
    <w:p>
      <w:pPr>
        <w:ind w:firstLine="480" w:firstLineChars="200"/>
        <w:outlineLvl w:val="2"/>
        <w:rPr>
          <w:sz w:val="24"/>
          <w:szCs w:val="24"/>
        </w:rPr>
      </w:pPr>
      <w:r>
        <w:rPr>
          <w:rFonts w:ascii="Times New Roman" w:hAnsi="Times New Roman" w:eastAsia="Times New Roman" w:cs="Times New Roman"/>
          <w:color w:val="0C0C0C"/>
          <w:sz w:val="24"/>
          <w:szCs w:val="24"/>
        </w:rPr>
        <w:t>4.</w:t>
      </w:r>
      <w:r>
        <w:rPr>
          <w:color w:val="0C0C0C"/>
          <w:sz w:val="24"/>
          <w:szCs w:val="24"/>
        </w:rPr>
        <w:t>参赛选手及指导教师在报名获得确认后，原则上不再更换。如在筹备过程中，参赛选手因故不能参赛，须由所在省级教育主管部门于赛项开赛</w:t>
      </w:r>
      <w:r>
        <w:rPr>
          <w:rFonts w:ascii="Times New Roman" w:hAnsi="Times New Roman" w:eastAsia="Times New Roman" w:cs="Times New Roman"/>
          <w:color w:val="0C0C0C"/>
          <w:sz w:val="24"/>
          <w:szCs w:val="24"/>
        </w:rPr>
        <w:t xml:space="preserve"> 10 </w:t>
      </w:r>
      <w:r>
        <w:rPr>
          <w:color w:val="0C0C0C"/>
          <w:sz w:val="24"/>
          <w:szCs w:val="24"/>
        </w:rPr>
        <w:t>个工作日之前出具书面说明，经大赛执委会办公室核实后予以更换。竞赛开始后，参赛队不得更换参赛选手，允许参赛选手缺席比赛。不允许更换新的指导教师，允许指导教师缺席。</w:t>
      </w:r>
    </w:p>
    <w:p>
      <w:pPr>
        <w:ind w:firstLine="480" w:firstLineChars="200"/>
        <w:outlineLvl w:val="2"/>
        <w:rPr>
          <w:sz w:val="24"/>
          <w:szCs w:val="24"/>
        </w:rPr>
      </w:pPr>
      <w:r>
        <w:rPr>
          <w:rFonts w:ascii="Times New Roman" w:hAnsi="Times New Roman" w:eastAsia="Times New Roman" w:cs="Times New Roman"/>
          <w:color w:val="0C0C0C"/>
          <w:sz w:val="24"/>
          <w:szCs w:val="24"/>
        </w:rPr>
        <w:t>5.</w:t>
      </w:r>
      <w:r>
        <w:rPr>
          <w:color w:val="0C0C0C"/>
          <w:sz w:val="24"/>
          <w:szCs w:val="24"/>
        </w:rPr>
        <w:t>各学校组织代表队时，须安排为参赛选手购买大赛期间的人身意外伤害保险。</w:t>
      </w:r>
    </w:p>
    <w:p>
      <w:pPr>
        <w:ind w:firstLine="482" w:firstLineChars="200"/>
        <w:outlineLvl w:val="1"/>
        <w:rPr>
          <w:sz w:val="24"/>
          <w:szCs w:val="24"/>
        </w:rPr>
      </w:pPr>
      <w:r>
        <w:rPr>
          <w:b/>
          <w:bCs/>
          <w:color w:val="0C0C0C"/>
          <w:sz w:val="24"/>
          <w:szCs w:val="24"/>
        </w:rPr>
        <w:t>（二）指导教师须知</w:t>
      </w:r>
    </w:p>
    <w:p>
      <w:pPr>
        <w:ind w:firstLine="480" w:firstLineChars="200"/>
        <w:outlineLvl w:val="2"/>
        <w:rPr>
          <w:sz w:val="24"/>
          <w:szCs w:val="24"/>
        </w:rPr>
      </w:pPr>
      <w:r>
        <w:rPr>
          <w:rFonts w:ascii="Times New Roman" w:hAnsi="Times New Roman" w:eastAsia="Times New Roman" w:cs="Times New Roman"/>
          <w:color w:val="0C0C0C"/>
          <w:sz w:val="24"/>
          <w:szCs w:val="24"/>
        </w:rPr>
        <w:t>1.</w:t>
      </w:r>
      <w:r>
        <w:rPr>
          <w:color w:val="0C0C0C"/>
          <w:sz w:val="24"/>
          <w:szCs w:val="24"/>
        </w:rPr>
        <w:t>指导教师应该根据专业教学计划和赛项规程合理制定训练方案，认真指导选手训练，培养选手的综合职业能力和良好的职业素养，克服功利化思想，避免为赛而学、以赛代学。</w:t>
      </w:r>
    </w:p>
    <w:p>
      <w:pPr>
        <w:ind w:firstLine="480" w:firstLineChars="200"/>
        <w:outlineLvl w:val="2"/>
        <w:rPr>
          <w:sz w:val="24"/>
          <w:szCs w:val="24"/>
        </w:rPr>
      </w:pPr>
      <w:bookmarkStart w:id="13" w:name="page36"/>
      <w:bookmarkEnd w:id="13"/>
      <w:r>
        <w:rPr>
          <w:rFonts w:ascii="Times New Roman" w:hAnsi="Times New Roman" w:eastAsia="Times New Roman" w:cs="Times New Roman"/>
          <w:color w:val="0C0C0C"/>
          <w:sz w:val="24"/>
          <w:szCs w:val="24"/>
        </w:rPr>
        <w:t>2.</w:t>
      </w:r>
      <w:r>
        <w:rPr>
          <w:color w:val="0C0C0C"/>
          <w:sz w:val="24"/>
          <w:szCs w:val="24"/>
        </w:rPr>
        <w:t>指导老师应及时查看大赛专用网页有关赛项的通知和内容，认真研究和掌握本赛项竞赛的规程、技术规范和赛场要求，指导选手做好赛前的一切技术准备和竞赛准备。</w:t>
      </w:r>
    </w:p>
    <w:p>
      <w:pPr>
        <w:ind w:firstLine="474" w:firstLineChars="200"/>
        <w:outlineLvl w:val="2"/>
        <w:rPr>
          <w:sz w:val="24"/>
          <w:szCs w:val="24"/>
        </w:rPr>
      </w:pPr>
      <w:r>
        <w:rPr>
          <w:rFonts w:ascii="Times New Roman" w:hAnsi="Times New Roman" w:eastAsia="Times New Roman" w:cs="Times New Roman"/>
          <w:color w:val="0C0C0C"/>
          <w:w w:val="99"/>
          <w:sz w:val="24"/>
          <w:szCs w:val="24"/>
        </w:rPr>
        <w:t>3.</w:t>
      </w:r>
      <w:r>
        <w:rPr>
          <w:color w:val="0C0C0C"/>
          <w:w w:val="99"/>
          <w:sz w:val="24"/>
          <w:szCs w:val="24"/>
        </w:rPr>
        <w:t>指导教师应该根据赛项规程要求做好参赛选手保险办理工作，</w:t>
      </w:r>
      <w:r>
        <w:rPr>
          <w:color w:val="0C0C0C"/>
          <w:sz w:val="24"/>
          <w:szCs w:val="24"/>
        </w:rPr>
        <w:t>并积极做好选手的安全教育。</w:t>
      </w:r>
    </w:p>
    <w:p>
      <w:pPr>
        <w:ind w:firstLine="474" w:firstLineChars="200"/>
        <w:outlineLvl w:val="2"/>
        <w:rPr>
          <w:sz w:val="24"/>
          <w:szCs w:val="24"/>
        </w:rPr>
      </w:pPr>
      <w:r>
        <w:rPr>
          <w:rFonts w:ascii="Times New Roman" w:hAnsi="Times New Roman" w:eastAsia="Times New Roman" w:cs="Times New Roman"/>
          <w:color w:val="0C0C0C"/>
          <w:w w:val="99"/>
          <w:sz w:val="24"/>
          <w:szCs w:val="24"/>
        </w:rPr>
        <w:t>4.</w:t>
      </w:r>
      <w:r>
        <w:rPr>
          <w:color w:val="0C0C0C"/>
          <w:w w:val="99"/>
          <w:sz w:val="24"/>
          <w:szCs w:val="24"/>
        </w:rPr>
        <w:t>指导教师参加赛项观摩等活动，不得违反赛项规定进入赛场，</w:t>
      </w:r>
      <w:r>
        <w:rPr>
          <w:color w:val="0C0C0C"/>
          <w:sz w:val="24"/>
          <w:szCs w:val="24"/>
        </w:rPr>
        <w:t>干扰比赛正常进行。</w:t>
      </w:r>
    </w:p>
    <w:p>
      <w:pPr>
        <w:ind w:firstLine="482" w:firstLineChars="200"/>
        <w:outlineLvl w:val="1"/>
        <w:rPr>
          <w:sz w:val="24"/>
          <w:szCs w:val="24"/>
        </w:rPr>
      </w:pPr>
      <w:r>
        <w:rPr>
          <w:b/>
          <w:bCs/>
          <w:color w:val="0C0C0C"/>
          <w:sz w:val="24"/>
          <w:szCs w:val="24"/>
        </w:rPr>
        <w:t>（三）参赛选手须知</w:t>
      </w:r>
    </w:p>
    <w:p>
      <w:pPr>
        <w:ind w:firstLine="480" w:firstLineChars="200"/>
        <w:outlineLvl w:val="2"/>
        <w:rPr>
          <w:sz w:val="24"/>
          <w:szCs w:val="24"/>
        </w:rPr>
      </w:pPr>
      <w:r>
        <w:rPr>
          <w:rFonts w:ascii="Times New Roman" w:hAnsi="Times New Roman" w:eastAsia="Times New Roman" w:cs="Times New Roman"/>
          <w:color w:val="0C0C0C"/>
          <w:sz w:val="24"/>
          <w:szCs w:val="24"/>
        </w:rPr>
        <w:t>1.</w:t>
      </w:r>
      <w:r>
        <w:rPr>
          <w:color w:val="0C0C0C"/>
          <w:sz w:val="24"/>
          <w:szCs w:val="24"/>
        </w:rPr>
        <w:t>竞赛选手严格遵守赛场规章、操作规程和工艺准则，保证人身及设备安全，接受裁判员的监督和警示，文明竞赛。</w:t>
      </w:r>
    </w:p>
    <w:p>
      <w:pPr>
        <w:ind w:firstLine="480" w:firstLineChars="200"/>
        <w:outlineLvl w:val="2"/>
        <w:rPr>
          <w:color w:val="0C0C0C"/>
          <w:sz w:val="24"/>
          <w:szCs w:val="24"/>
        </w:rPr>
      </w:pPr>
      <w:r>
        <w:rPr>
          <w:rFonts w:ascii="Times New Roman" w:hAnsi="Times New Roman" w:eastAsia="Times New Roman" w:cs="Times New Roman"/>
          <w:color w:val="0C0C0C"/>
          <w:sz w:val="24"/>
          <w:szCs w:val="24"/>
        </w:rPr>
        <w:t>2.</w:t>
      </w:r>
      <w:r>
        <w:rPr>
          <w:color w:val="0C0C0C"/>
          <w:sz w:val="24"/>
          <w:szCs w:val="24"/>
        </w:rPr>
        <w:t>参赛选手在检录时需将身份证、学生证、参赛证等身份证件交由检录人员统一保管，不得带入场内。</w:t>
      </w:r>
    </w:p>
    <w:p>
      <w:pPr>
        <w:ind w:firstLine="480" w:firstLineChars="200"/>
        <w:outlineLvl w:val="2"/>
        <w:rPr>
          <w:sz w:val="24"/>
          <w:szCs w:val="24"/>
        </w:rPr>
      </w:pPr>
      <w:r>
        <w:rPr>
          <w:rFonts w:ascii="Times New Roman" w:hAnsi="Times New Roman" w:eastAsia="Times New Roman" w:cs="Times New Roman"/>
          <w:color w:val="0C0C0C"/>
          <w:sz w:val="24"/>
          <w:szCs w:val="24"/>
        </w:rPr>
        <w:t>3.</w:t>
      </w:r>
      <w:r>
        <w:rPr>
          <w:color w:val="0C0C0C"/>
          <w:sz w:val="24"/>
          <w:szCs w:val="24"/>
        </w:rPr>
        <w:t>参赛选手进入赛场，不允许携带任何书籍和其他纸质资料（相关技术资料的电子文档由赛项执委会提供），不允许携带通信工具和存储设备（如</w:t>
      </w:r>
      <w:r>
        <w:rPr>
          <w:rFonts w:ascii="Times New Roman" w:hAnsi="Times New Roman" w:eastAsia="Times New Roman" w:cs="Times New Roman"/>
          <w:color w:val="0C0C0C"/>
          <w:sz w:val="24"/>
          <w:szCs w:val="24"/>
        </w:rPr>
        <w:t xml:space="preserve"> U </w:t>
      </w:r>
      <w:r>
        <w:rPr>
          <w:color w:val="0C0C0C"/>
          <w:sz w:val="24"/>
          <w:szCs w:val="24"/>
        </w:rPr>
        <w:t>盘）。竞赛统一提供计算机以及应用软件。</w:t>
      </w:r>
    </w:p>
    <w:p>
      <w:pPr>
        <w:ind w:firstLine="480" w:firstLineChars="200"/>
        <w:outlineLvl w:val="2"/>
        <w:rPr>
          <w:sz w:val="24"/>
          <w:szCs w:val="24"/>
        </w:rPr>
      </w:pPr>
      <w:r>
        <w:rPr>
          <w:rFonts w:ascii="Times New Roman" w:hAnsi="Times New Roman" w:eastAsia="Times New Roman" w:cs="Times New Roman"/>
          <w:color w:val="0C0C0C"/>
          <w:sz w:val="24"/>
          <w:szCs w:val="24"/>
        </w:rPr>
        <w:t>4.</w:t>
      </w:r>
      <w:r>
        <w:rPr>
          <w:color w:val="0C0C0C"/>
          <w:sz w:val="24"/>
          <w:szCs w:val="24"/>
        </w:rPr>
        <w:t>各参赛队应在竞赛开始前一天规定的时间段进入赛场熟悉环境，但不得触碰任何比赛设备及材料。</w:t>
      </w:r>
    </w:p>
    <w:p>
      <w:pPr>
        <w:ind w:firstLine="480" w:firstLineChars="200"/>
        <w:outlineLvl w:val="2"/>
        <w:rPr>
          <w:sz w:val="24"/>
          <w:szCs w:val="24"/>
        </w:rPr>
      </w:pPr>
      <w:r>
        <w:rPr>
          <w:rFonts w:ascii="Times New Roman" w:hAnsi="Times New Roman" w:eastAsia="Times New Roman" w:cs="Times New Roman"/>
          <w:color w:val="0C0C0C"/>
          <w:sz w:val="24"/>
          <w:szCs w:val="24"/>
        </w:rPr>
        <w:t>5.</w:t>
      </w:r>
      <w:r>
        <w:rPr>
          <w:color w:val="0C0C0C"/>
          <w:sz w:val="24"/>
          <w:szCs w:val="24"/>
        </w:rPr>
        <w:t>竞赛时，在收到开赛信号前不得启动操作，各参赛队自行决定分工、工作程序和时间安排，在指定赛位上完成竞赛项目，严禁作弊行为。</w:t>
      </w:r>
      <w:bookmarkStart w:id="14" w:name="page37"/>
      <w:bookmarkEnd w:id="14"/>
    </w:p>
    <w:p>
      <w:pPr>
        <w:ind w:firstLine="480" w:firstLineChars="200"/>
        <w:outlineLvl w:val="2"/>
        <w:rPr>
          <w:sz w:val="24"/>
          <w:szCs w:val="24"/>
        </w:rPr>
      </w:pPr>
      <w:r>
        <w:rPr>
          <w:rFonts w:ascii="Times New Roman" w:hAnsi="Times New Roman" w:eastAsia="Times New Roman" w:cs="Times New Roman"/>
          <w:color w:val="0C0C0C"/>
          <w:sz w:val="24"/>
          <w:szCs w:val="24"/>
        </w:rPr>
        <w:t>6.</w:t>
      </w:r>
      <w:r>
        <w:rPr>
          <w:color w:val="0C0C0C"/>
          <w:sz w:val="24"/>
          <w:szCs w:val="24"/>
        </w:rPr>
        <w:t>竞赛过程中，因严重操作失误或安全事故不能进行比赛的（例如因综合布线发生短路导致赛场断电的、造成设备不能正常工作的），现场裁判员有权中止该队比赛。</w:t>
      </w:r>
    </w:p>
    <w:p>
      <w:pPr>
        <w:ind w:firstLine="480" w:firstLineChars="200"/>
        <w:outlineLvl w:val="2"/>
        <w:rPr>
          <w:sz w:val="24"/>
          <w:szCs w:val="24"/>
        </w:rPr>
      </w:pPr>
      <w:r>
        <w:rPr>
          <w:rFonts w:ascii="Times New Roman" w:hAnsi="Times New Roman" w:eastAsia="Times New Roman" w:cs="Times New Roman"/>
          <w:color w:val="0C0C0C"/>
          <w:sz w:val="24"/>
          <w:szCs w:val="24"/>
        </w:rPr>
        <w:t>7.</w:t>
      </w:r>
      <w:r>
        <w:rPr>
          <w:color w:val="0C0C0C"/>
          <w:sz w:val="24"/>
          <w:szCs w:val="24"/>
        </w:rPr>
        <w:t>竞赛分为四个场次，选手在每场竞赛中连续工作，食品、饮水等由赛场统一提供。每场期间，选手休息、饮食或如厕时间均计算在竞赛时间内。</w:t>
      </w:r>
    </w:p>
    <w:p>
      <w:pPr>
        <w:ind w:firstLine="480" w:firstLineChars="200"/>
        <w:outlineLvl w:val="2"/>
        <w:rPr>
          <w:sz w:val="24"/>
          <w:szCs w:val="24"/>
        </w:rPr>
      </w:pPr>
      <w:r>
        <w:rPr>
          <w:rFonts w:ascii="Times New Roman" w:hAnsi="Times New Roman" w:eastAsia="Times New Roman" w:cs="Times New Roman"/>
          <w:color w:val="0C0C0C"/>
          <w:sz w:val="24"/>
          <w:szCs w:val="24"/>
        </w:rPr>
        <w:t>8.</w:t>
      </w:r>
      <w:r>
        <w:rPr>
          <w:color w:val="0C0C0C"/>
          <w:sz w:val="24"/>
          <w:szCs w:val="24"/>
        </w:rPr>
        <w:t>凡在竞赛期间提前离开的选手，当天不得返回赛场。</w:t>
      </w:r>
    </w:p>
    <w:p>
      <w:pPr>
        <w:ind w:firstLine="480" w:firstLineChars="200"/>
        <w:outlineLvl w:val="2"/>
        <w:rPr>
          <w:sz w:val="24"/>
          <w:szCs w:val="24"/>
        </w:rPr>
      </w:pPr>
      <w:r>
        <w:rPr>
          <w:rFonts w:ascii="Times New Roman" w:hAnsi="Times New Roman" w:eastAsia="Times New Roman" w:cs="Times New Roman"/>
          <w:color w:val="0C0C0C"/>
          <w:sz w:val="24"/>
          <w:szCs w:val="24"/>
        </w:rPr>
        <w:t>9.</w:t>
      </w:r>
      <w:r>
        <w:rPr>
          <w:color w:val="0C0C0C"/>
          <w:sz w:val="24"/>
          <w:szCs w:val="24"/>
        </w:rPr>
        <w:t>为培养技能型人才的工作风格，在参赛期间，选手应当注意保持工作环境及设备摆放符合企业生产</w:t>
      </w:r>
      <w:r>
        <w:rPr>
          <w:rFonts w:ascii="Arial" w:hAnsi="Arial" w:eastAsia="Arial" w:cs="Arial"/>
          <w:color w:val="0C0C0C"/>
          <w:sz w:val="24"/>
          <w:szCs w:val="24"/>
        </w:rPr>
        <w:t>“</w:t>
      </w:r>
      <w:r>
        <w:rPr>
          <w:rFonts w:ascii="Times New Roman" w:hAnsi="Times New Roman" w:eastAsia="Times New Roman" w:cs="Times New Roman"/>
          <w:color w:val="0C0C0C"/>
          <w:sz w:val="24"/>
          <w:szCs w:val="24"/>
        </w:rPr>
        <w:t>6S</w:t>
      </w:r>
      <w:r>
        <w:rPr>
          <w:rFonts w:ascii="Arial" w:hAnsi="Arial" w:eastAsia="Arial" w:cs="Arial"/>
          <w:color w:val="0C0C0C"/>
          <w:sz w:val="24"/>
          <w:szCs w:val="24"/>
        </w:rPr>
        <w:t>”</w:t>
      </w:r>
      <w:r>
        <w:rPr>
          <w:color w:val="0C0C0C"/>
          <w:sz w:val="24"/>
          <w:szCs w:val="24"/>
        </w:rPr>
        <w:t>（即整理、整顿、清扫、</w:t>
      </w:r>
      <w:r>
        <w:rPr>
          <w:color w:val="0C0C0C"/>
          <w:w w:val="99"/>
          <w:sz w:val="24"/>
          <w:szCs w:val="24"/>
        </w:rPr>
        <w:t>清洁、素养和安全）的原则，如果过于脏乱，裁判员有权酌情扣分。</w:t>
      </w:r>
    </w:p>
    <w:p>
      <w:pPr>
        <w:ind w:firstLine="480" w:firstLineChars="200"/>
        <w:outlineLvl w:val="2"/>
        <w:rPr>
          <w:sz w:val="24"/>
          <w:szCs w:val="24"/>
        </w:rPr>
      </w:pPr>
      <w:r>
        <w:rPr>
          <w:rFonts w:ascii="Times New Roman" w:hAnsi="Times New Roman" w:eastAsia="Times New Roman" w:cs="Times New Roman"/>
          <w:color w:val="0C0C0C"/>
          <w:sz w:val="24"/>
          <w:szCs w:val="24"/>
        </w:rPr>
        <w:t>10.</w:t>
      </w:r>
      <w:r>
        <w:rPr>
          <w:color w:val="0C0C0C"/>
          <w:sz w:val="24"/>
          <w:szCs w:val="24"/>
        </w:rPr>
        <w:t>在竞赛中如遇非人为因素造成的设备故障，经裁判确认后，可向裁判长申请补足排除故障的时间。</w:t>
      </w:r>
    </w:p>
    <w:p>
      <w:pPr>
        <w:ind w:firstLine="480" w:firstLineChars="200"/>
        <w:outlineLvl w:val="2"/>
        <w:rPr>
          <w:color w:val="0C0C0C"/>
          <w:sz w:val="24"/>
          <w:szCs w:val="24"/>
        </w:rPr>
      </w:pPr>
      <w:r>
        <w:rPr>
          <w:rFonts w:ascii="Times New Roman" w:hAnsi="Times New Roman" w:eastAsia="Times New Roman" w:cs="Times New Roman"/>
          <w:color w:val="0C0C0C"/>
          <w:sz w:val="24"/>
          <w:szCs w:val="24"/>
        </w:rPr>
        <w:t>11.</w:t>
      </w:r>
      <w:r>
        <w:rPr>
          <w:color w:val="0C0C0C"/>
          <w:sz w:val="24"/>
          <w:szCs w:val="24"/>
        </w:rPr>
        <w:t>参赛队欲提前结束比赛，应向现场裁判员举手示意，记录比赛终止时间。比赛终止后，不得再进行任何与比赛有关的操作。</w:t>
      </w:r>
    </w:p>
    <w:p>
      <w:pPr>
        <w:ind w:firstLine="480" w:firstLineChars="200"/>
        <w:outlineLvl w:val="2"/>
        <w:rPr>
          <w:sz w:val="24"/>
          <w:szCs w:val="24"/>
        </w:rPr>
      </w:pPr>
      <w:r>
        <w:rPr>
          <w:rFonts w:ascii="Times New Roman" w:hAnsi="Times New Roman" w:eastAsia="Times New Roman" w:cs="Times New Roman"/>
          <w:color w:val="0C0C0C"/>
          <w:sz w:val="24"/>
          <w:szCs w:val="24"/>
        </w:rPr>
        <w:t>12.</w:t>
      </w:r>
      <w:r>
        <w:rPr>
          <w:color w:val="0C0C0C"/>
          <w:sz w:val="24"/>
          <w:szCs w:val="24"/>
        </w:rPr>
        <w:t>各竞赛队按照大赛要求和赛题要求提交竞赛成果，禁止在竞赛成果上做任何与竞赛无关的记号。</w:t>
      </w:r>
    </w:p>
    <w:p>
      <w:pPr>
        <w:ind w:firstLine="480" w:firstLineChars="200"/>
        <w:rPr>
          <w:sz w:val="24"/>
          <w:szCs w:val="24"/>
        </w:rPr>
      </w:pPr>
      <w:r>
        <w:rPr>
          <w:color w:val="0C0C0C"/>
          <w:sz w:val="24"/>
          <w:szCs w:val="24"/>
        </w:rPr>
        <w:t>竞赛操作结束后，参赛队要确认成功提交竞赛要求的文件，裁判员在比赛结果的规定位置做标记，并与参赛队一起签字确认。</w:t>
      </w:r>
    </w:p>
    <w:sectPr>
      <w:footerReference r:id="rId6" w:type="default"/>
      <w:footerReference r:id="rId7" w:type="even"/>
      <w:pgSz w:w="11900" w:h="16838"/>
      <w:pgMar w:top="1440" w:right="1440" w:bottom="445" w:left="1440" w:header="0" w:footer="0" w:gutter="0"/>
      <w:cols w:equalWidth="0" w:num="1">
        <w:col w:w="9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0" o:spid="_x0000_s2050" o:spt="202" type="#_x0000_t202" style="position:absolute;left:0pt;margin-top:0pt;height:17.55pt;width:53.6pt;mso-position-horizontal:center;mso-position-horizontal-relative:margin;z-index:251660288;mso-width-relative:page;mso-height-relative:page;" filled="f" stroked="f" coordsize="21600,21600" o:gfxdata="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fEQjUAAAABAEAAA8AAAAAAAAAAQAgAAAAIgAAAGRycy9kb3ducmV2LnhtbFBLAQIUABQAAAAI&#10;AIdO4kCBM5VxuAEAAHEDAAAOAAAAAAAAAAEAIAAAACMBAABkcnMvZTJvRG9jLnhtbFBLBQYAAAAA&#10;BgAGAFkBAABNBQAAAAA=&#10;">
          <v:path/>
          <v:fill on="f" focussize="0,0"/>
          <v:stroke on="f" joinstyle="miter"/>
          <v:imagedata o:title=""/>
          <o:lock v:ext="edit"/>
          <v:textbox inset="0mm,0mm,0mm,0mm">
            <w:txbxContent>
              <w:p>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10</w:t>
                </w:r>
                <w:r>
                  <w:fldChar w:fldCharType="end"/>
                </w:r>
                <w:r>
                  <w:rPr>
                    <w:rFonts w:ascii="Times New Roman" w:hAnsi="Times New Roman"/>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91.3pt;margin-top:748.7pt;height:17.55pt;width:54.1pt;mso-position-horizontal-relative:page;mso-position-vertical-relative:page;z-index:-251657216;mso-width-relative:page;mso-height-relative:page;" filled="f" stroked="f" coordsize="21600,21600" o:gfxdata="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5rn5tsAAAANAQAADwAAAAAAAAABACAAAAAiAAAAZHJzL2Rvd25yZXYueG1sUEsB&#10;AhQAFAAAAAgAh07iQBoGD6W5AQAAcQMAAA4AAAAAAAAAAQAgAAAAKgEAAGRycy9lMm9Eb2MueG1s&#10;UEsFBgAAAAAGAAYAWQEAAFUFAAAAAA==&#10;">
          <v:path/>
          <v:fill on="f" focussize="0,0"/>
          <v:stroke on="f" joinstyle="miter"/>
          <v:imagedata o:title=""/>
          <o:lock v:ext="edit"/>
          <v:textbox inset="0mm,0mm,0mm,0mm">
            <w:txbxContent>
              <w:p>
                <w:pPr>
                  <w:spacing w:before="9"/>
                  <w:ind w:left="20"/>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4</w:t>
                </w:r>
                <w:r>
                  <w:fldChar w:fldCharType="end"/>
                </w:r>
                <w:r>
                  <w:rPr>
                    <w:rFonts w:ascii="Times New Roman" w:hAnsi="Times New Roman"/>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A32B8"/>
    <w:multiLevelType w:val="singleLevel"/>
    <w:tmpl w:val="B09A32B8"/>
    <w:lvl w:ilvl="0" w:tentative="0">
      <w:start w:val="1"/>
      <w:numFmt w:val="chineseCounting"/>
      <w:suff w:val="nothing"/>
      <w:lvlText w:val="第%1部分，"/>
      <w:lvlJc w:val="left"/>
      <w:rPr>
        <w:rFonts w:hint="eastAsia"/>
      </w:rPr>
    </w:lvl>
  </w:abstractNum>
  <w:abstractNum w:abstractNumId="1">
    <w:nsid w:val="7545E146"/>
    <w:multiLevelType w:val="singleLevel"/>
    <w:tmpl w:val="7545E146"/>
    <w:lvl w:ilvl="0" w:tentative="0">
      <w:start w:val="5"/>
      <w:numFmt w:val="decimal"/>
      <w:lvlText w:val="%1."/>
      <w:lvlJc w:val="left"/>
    </w:lvl>
  </w:abstractNum>
  <w:abstractNum w:abstractNumId="2">
    <w:nsid w:val="79E2A9E3"/>
    <w:multiLevelType w:val="singleLevel"/>
    <w:tmpl w:val="79E2A9E3"/>
    <w:lvl w:ilvl="0" w:tentative="0">
      <w:start w:val="1"/>
      <w:numFmt w:val="decimal"/>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c1MTA2MjU3ODgzMDhkMzE0ZTU0MjU4NGU4NDljNDMifQ=="/>
  </w:docVars>
  <w:rsids>
    <w:rsidRoot w:val="00DA5053"/>
    <w:rsid w:val="00072590"/>
    <w:rsid w:val="000A1AE7"/>
    <w:rsid w:val="002B2710"/>
    <w:rsid w:val="00485C7D"/>
    <w:rsid w:val="004B5548"/>
    <w:rsid w:val="00736D9F"/>
    <w:rsid w:val="007A1E2B"/>
    <w:rsid w:val="00937BFD"/>
    <w:rsid w:val="009646D3"/>
    <w:rsid w:val="00AD725E"/>
    <w:rsid w:val="00B16367"/>
    <w:rsid w:val="00C75BCC"/>
    <w:rsid w:val="00DA5053"/>
    <w:rsid w:val="00E1758F"/>
    <w:rsid w:val="00F15CE9"/>
    <w:rsid w:val="02E41224"/>
    <w:rsid w:val="03962305"/>
    <w:rsid w:val="085E4B0D"/>
    <w:rsid w:val="093D1475"/>
    <w:rsid w:val="0BF4406D"/>
    <w:rsid w:val="0C6242E0"/>
    <w:rsid w:val="0E45366A"/>
    <w:rsid w:val="0E590AFF"/>
    <w:rsid w:val="0EC266A4"/>
    <w:rsid w:val="1605610F"/>
    <w:rsid w:val="1840688C"/>
    <w:rsid w:val="18C9692B"/>
    <w:rsid w:val="1B0E0601"/>
    <w:rsid w:val="23046777"/>
    <w:rsid w:val="23E15A7C"/>
    <w:rsid w:val="28254456"/>
    <w:rsid w:val="2BDA190E"/>
    <w:rsid w:val="2D1F27F4"/>
    <w:rsid w:val="2DF96698"/>
    <w:rsid w:val="2E240DE9"/>
    <w:rsid w:val="2E7F3EE7"/>
    <w:rsid w:val="2EAE0D3E"/>
    <w:rsid w:val="2F29603F"/>
    <w:rsid w:val="33AF4B9A"/>
    <w:rsid w:val="35DC016C"/>
    <w:rsid w:val="389F1CD1"/>
    <w:rsid w:val="40E96B56"/>
    <w:rsid w:val="42387E21"/>
    <w:rsid w:val="44786A70"/>
    <w:rsid w:val="451B193F"/>
    <w:rsid w:val="464475A7"/>
    <w:rsid w:val="4A372308"/>
    <w:rsid w:val="4AA52432"/>
    <w:rsid w:val="4C0F3FD0"/>
    <w:rsid w:val="50EA7A2A"/>
    <w:rsid w:val="527C4F83"/>
    <w:rsid w:val="548D0188"/>
    <w:rsid w:val="563A2996"/>
    <w:rsid w:val="56BA722E"/>
    <w:rsid w:val="5B703146"/>
    <w:rsid w:val="5CCB18FE"/>
    <w:rsid w:val="5E850121"/>
    <w:rsid w:val="6174014D"/>
    <w:rsid w:val="64D70FAB"/>
    <w:rsid w:val="683D39DA"/>
    <w:rsid w:val="687F6434"/>
    <w:rsid w:val="699212A6"/>
    <w:rsid w:val="69F462E9"/>
    <w:rsid w:val="6A337233"/>
    <w:rsid w:val="6B323A3C"/>
    <w:rsid w:val="6BEE37AA"/>
    <w:rsid w:val="6F4C4BF4"/>
    <w:rsid w:val="70D80585"/>
    <w:rsid w:val="716342F2"/>
    <w:rsid w:val="75371D1E"/>
    <w:rsid w:val="75B467F5"/>
    <w:rsid w:val="79D95BF8"/>
    <w:rsid w:val="7AA31C03"/>
    <w:rsid w:val="7AEC38E9"/>
    <w:rsid w:val="7BC75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仿宋" w:cs="宋体"/>
      <w:sz w:val="30"/>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unhideWhenUsed/>
    <w:qFormat/>
    <w:uiPriority w:val="0"/>
    <w:pPr>
      <w:spacing w:before="100" w:beforeAutospacing="1" w:after="100" w:afterAutospacing="1"/>
      <w:outlineLvl w:val="2"/>
    </w:pPr>
    <w:rPr>
      <w:rFonts w:hint="eastAsia" w:cs="Times New Roman"/>
      <w:b/>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10">
    <w:name w:val="批注框文本 字符"/>
    <w:basedOn w:val="9"/>
    <w:link w:val="5"/>
    <w:uiPriority w:val="0"/>
    <w:rPr>
      <w:rFonts w:ascii="宋体" w:hAnsi="宋体" w:cs="宋体"/>
      <w:sz w:val="18"/>
      <w:szCs w:val="18"/>
    </w:rPr>
  </w:style>
  <w:style w:type="character" w:customStyle="1" w:styleId="11">
    <w:name w:val="font91"/>
    <w:basedOn w:val="9"/>
    <w:uiPriority w:val="0"/>
    <w:rPr>
      <w:rFonts w:hint="default" w:ascii="Times New Roman" w:hAnsi="Times New Roman" w:cs="Times New Roman"/>
      <w:b/>
      <w:bCs/>
      <w:color w:val="0C0C0C"/>
      <w:sz w:val="30"/>
      <w:szCs w:val="30"/>
      <w:u w:val="none"/>
    </w:rPr>
  </w:style>
  <w:style w:type="character" w:customStyle="1" w:styleId="12">
    <w:name w:val="font31"/>
    <w:basedOn w:val="9"/>
    <w:qFormat/>
    <w:uiPriority w:val="0"/>
    <w:rPr>
      <w:rFonts w:hint="eastAsia" w:ascii="仿宋" w:hAnsi="仿宋" w:eastAsia="仿宋" w:cs="仿宋"/>
      <w:b/>
      <w:bCs/>
      <w:color w:val="0C0C0C"/>
      <w:sz w:val="30"/>
      <w:szCs w:val="30"/>
      <w:u w:val="none"/>
    </w:rPr>
  </w:style>
  <w:style w:type="character" w:customStyle="1" w:styleId="13">
    <w:name w:val="font51"/>
    <w:basedOn w:val="9"/>
    <w:qFormat/>
    <w:uiPriority w:val="0"/>
    <w:rPr>
      <w:rFonts w:hint="default" w:ascii="Times New Roman" w:hAnsi="Times New Roman" w:cs="Times New Roman"/>
      <w:b/>
      <w:bCs/>
      <w:color w:val="0C0C0C"/>
      <w:sz w:val="30"/>
      <w:szCs w:val="30"/>
      <w:u w:val="none"/>
    </w:rPr>
  </w:style>
  <w:style w:type="character" w:customStyle="1" w:styleId="14">
    <w:name w:val="font11"/>
    <w:basedOn w:val="9"/>
    <w:qFormat/>
    <w:uiPriority w:val="0"/>
    <w:rPr>
      <w:rFonts w:hint="eastAsia" w:ascii="仿宋" w:hAnsi="仿宋" w:eastAsia="仿宋" w:cs="仿宋"/>
      <w:b/>
      <w:bCs/>
      <w:color w:val="0C0C0C"/>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901</Words>
  <Characters>5142</Characters>
  <Lines>42</Lines>
  <Paragraphs>12</Paragraphs>
  <TotalTime>46</TotalTime>
  <ScaleCrop>false</ScaleCrop>
  <LinksUpToDate>false</LinksUpToDate>
  <CharactersWithSpaces>6031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2022-05-17T09:06:00Z</dcterms:created>
  <dc:creator>sxf</dc:creator>
  <cp:lastModifiedBy>韩兆友</cp:lastModifiedBy>
  <dcterms:modified xsi:type="dcterms:W3CDTF">2022-05-27T03:06:31Z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A2C0BDF416424DE0A5CDAECA04EB0540</vt:lpwstr>
  </property>
</Properties>
</file>