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CD32C2">
      <w:pPr>
        <w:adjustRightInd w:val="0"/>
        <w:snapToGrid w:val="0"/>
        <w:jc w:val="both"/>
        <w:rPr>
          <w:rFonts w:hint="default" w:ascii="Times New Roman" w:hAnsi="Times New Roman" w:eastAsia="仿宋_GB2312"/>
          <w:color w:val="000000"/>
          <w:spacing w:val="-8"/>
          <w:sz w:val="30"/>
          <w:szCs w:val="30"/>
          <w:lang w:val="en-US" w:eastAsia="zh-CN"/>
        </w:rPr>
      </w:pPr>
      <w:r>
        <w:rPr>
          <w:rFonts w:hint="eastAsia" w:ascii="Times New Roman" w:hAnsi="Times New Roman" w:eastAsia="仿宋_GB2312"/>
          <w:color w:val="000000"/>
          <w:spacing w:val="-8"/>
          <w:sz w:val="30"/>
          <w:szCs w:val="30"/>
          <w:lang w:val="en-US" w:eastAsia="zh-CN"/>
        </w:rPr>
        <w:t>附件1</w:t>
      </w:r>
    </w:p>
    <w:p w14:paraId="10B262B3">
      <w:pPr>
        <w:adjustRightInd w:val="0"/>
        <w:snapToGrid w:val="0"/>
        <w:jc w:val="center"/>
        <w:rPr>
          <w:rFonts w:ascii="Times New Roman" w:hAnsi="Times New Roman" w:eastAsia="仿宋_GB2312"/>
          <w:color w:val="000000"/>
          <w:spacing w:val="-8"/>
          <w:sz w:val="30"/>
          <w:szCs w:val="30"/>
        </w:rPr>
      </w:pPr>
    </w:p>
    <w:p w14:paraId="21141878">
      <w:pPr>
        <w:adjustRightInd w:val="0"/>
        <w:snapToGrid w:val="0"/>
        <w:jc w:val="center"/>
        <w:rPr>
          <w:rFonts w:ascii="Times New Roman" w:hAnsi="Times New Roman" w:eastAsia="仿宋_GB2312"/>
          <w:color w:val="000000"/>
          <w:spacing w:val="-8"/>
          <w:sz w:val="30"/>
          <w:szCs w:val="30"/>
        </w:rPr>
      </w:pPr>
    </w:p>
    <w:tbl>
      <w:tblPr>
        <w:tblStyle w:val="3"/>
        <w:tblW w:w="82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620"/>
        <w:gridCol w:w="1642"/>
      </w:tblGrid>
      <w:tr w14:paraId="67F84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12" w:hRule="atLeast"/>
          <w:jc w:val="center"/>
        </w:trPr>
        <w:tc>
          <w:tcPr>
            <w:tcW w:w="6620" w:type="dxa"/>
            <w:vAlign w:val="center"/>
          </w:tcPr>
          <w:p w14:paraId="63785EEA">
            <w:pPr>
              <w:keepNext w:val="0"/>
              <w:keepLines w:val="0"/>
              <w:pageBreakBefore w:val="0"/>
              <w:widowControl w:val="0"/>
              <w:kinsoku/>
              <w:wordWrap/>
              <w:overflowPunct/>
              <w:topLinePunct w:val="0"/>
              <w:autoSpaceDE/>
              <w:autoSpaceDN/>
              <w:bidi w:val="0"/>
              <w:adjustRightInd w:val="0"/>
              <w:snapToGrid w:val="0"/>
              <w:spacing w:line="740" w:lineRule="exact"/>
              <w:jc w:val="distribute"/>
              <w:textAlignment w:val="auto"/>
              <w:rPr>
                <w:rFonts w:ascii="方正小标宋简体" w:hAnsi="华文中宋" w:eastAsia="方正小标宋简体"/>
                <w:color w:val="FF0000"/>
                <w:sz w:val="52"/>
                <w:szCs w:val="52"/>
              </w:rPr>
            </w:pPr>
            <w:r>
              <w:rPr>
                <w:rFonts w:hint="eastAsia" w:ascii="方正小标宋简体" w:hAnsi="华文中宋" w:eastAsia="方正小标宋简体"/>
                <w:color w:val="FF0000"/>
                <w:sz w:val="52"/>
                <w:szCs w:val="52"/>
              </w:rPr>
              <w:t>济南市教育局</w:t>
            </w:r>
          </w:p>
          <w:p w14:paraId="58AE8B77">
            <w:pPr>
              <w:keepNext w:val="0"/>
              <w:keepLines w:val="0"/>
              <w:pageBreakBefore w:val="0"/>
              <w:widowControl w:val="0"/>
              <w:kinsoku/>
              <w:wordWrap/>
              <w:overflowPunct/>
              <w:topLinePunct w:val="0"/>
              <w:autoSpaceDE/>
              <w:autoSpaceDN/>
              <w:bidi w:val="0"/>
              <w:adjustRightInd w:val="0"/>
              <w:snapToGrid w:val="0"/>
              <w:spacing w:line="740" w:lineRule="exact"/>
              <w:jc w:val="distribute"/>
              <w:textAlignment w:val="auto"/>
              <w:rPr>
                <w:rFonts w:ascii="方正小标宋简体" w:hAnsi="华文中宋" w:eastAsia="方正小标宋简体"/>
                <w:color w:val="FF0000"/>
                <w:sz w:val="50"/>
                <w:szCs w:val="50"/>
              </w:rPr>
            </w:pPr>
            <w:r>
              <w:rPr>
                <w:rFonts w:hint="eastAsia" w:ascii="方正小标宋简体" w:hAnsi="华文中宋" w:eastAsia="方正小标宋简体"/>
                <w:color w:val="FF0000"/>
                <w:sz w:val="52"/>
                <w:szCs w:val="52"/>
              </w:rPr>
              <w:t>济南市财政局</w:t>
            </w:r>
          </w:p>
        </w:tc>
        <w:tc>
          <w:tcPr>
            <w:tcW w:w="1642" w:type="dxa"/>
            <w:vAlign w:val="center"/>
          </w:tcPr>
          <w:p w14:paraId="50688901">
            <w:pPr>
              <w:spacing w:line="1360" w:lineRule="exact"/>
              <w:jc w:val="right"/>
              <w:rPr>
                <w:rFonts w:ascii="Times New Roman" w:hAnsi="Times New Roman" w:eastAsia="方正小标宋简体"/>
                <w:color w:val="FF0000"/>
                <w:spacing w:val="-4"/>
                <w:w w:val="66"/>
                <w:sz w:val="126"/>
                <w:szCs w:val="126"/>
              </w:rPr>
            </w:pPr>
            <w:r>
              <w:rPr>
                <w:rFonts w:hint="eastAsia" w:ascii="Times New Roman" w:hAnsi="Times New Roman" w:eastAsia="方正小标宋简体"/>
                <w:color w:val="FF0000"/>
                <w:spacing w:val="-4"/>
                <w:w w:val="66"/>
                <w:sz w:val="126"/>
                <w:szCs w:val="126"/>
              </w:rPr>
              <w:t>文件</w:t>
            </w:r>
          </w:p>
        </w:tc>
      </w:tr>
    </w:tbl>
    <w:p w14:paraId="3F4ADE74">
      <w:pPr>
        <w:spacing w:line="500" w:lineRule="exact"/>
        <w:jc w:val="center"/>
        <w:rPr>
          <w:rFonts w:ascii="Times New Roman" w:hAnsi="Times New Roman" w:eastAsia="仿宋_GB2312"/>
          <w:color w:val="000000"/>
          <w:sz w:val="32"/>
          <w:szCs w:val="20"/>
        </w:rPr>
      </w:pPr>
    </w:p>
    <w:p w14:paraId="24F6BAE8">
      <w:pPr>
        <w:spacing w:line="500" w:lineRule="exact"/>
        <w:jc w:val="center"/>
        <w:rPr>
          <w:rFonts w:ascii="Times New Roman" w:hAnsi="Times New Roman" w:eastAsia="仿宋_GB2312"/>
          <w:color w:val="000000"/>
          <w:sz w:val="32"/>
          <w:szCs w:val="20"/>
        </w:rPr>
      </w:pPr>
    </w:p>
    <w:p w14:paraId="470C0CDC">
      <w:pPr>
        <w:adjustRightInd w:val="0"/>
        <w:snapToGrid w:val="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济教发〔2024〕20号</w:t>
      </w:r>
    </w:p>
    <w:p w14:paraId="5CE0F46D">
      <w:pPr>
        <w:spacing w:line="500" w:lineRule="exact"/>
        <w:jc w:val="center"/>
        <w:rPr>
          <w:rFonts w:ascii="Times New Roman" w:hAnsi="Times New Roman" w:eastAsia="仿宋_GB2312"/>
          <w:color w:val="000000"/>
          <w:sz w:val="32"/>
          <w:szCs w:val="20"/>
        </w:rPr>
      </w:pPr>
      <w:r>
        <w:rPr>
          <w:rFonts w:ascii="Times New Roman" w:hAnsi="Times New Roman" w:eastAsia="仿宋_GB2312"/>
          <w:color w:val="000000"/>
          <w:sz w:val="32"/>
          <w:szCs w:val="20"/>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64770</wp:posOffset>
                </wp:positionV>
                <wp:extent cx="5615940" cy="0"/>
                <wp:effectExtent l="0" t="9525" r="10160" b="15875"/>
                <wp:wrapNone/>
                <wp:docPr id="31" name="直线 37"/>
                <wp:cNvGraphicFramePr/>
                <a:graphic xmlns:a="http://schemas.openxmlformats.org/drawingml/2006/main">
                  <a:graphicData uri="http://schemas.microsoft.com/office/word/2010/wordprocessingShape">
                    <wps:wsp>
                      <wps:cNvCnPr/>
                      <wps:spPr>
                        <a:xfrm>
                          <a:off x="0" y="0"/>
                          <a:ext cx="5615940" cy="0"/>
                        </a:xfrm>
                        <a:prstGeom prst="line">
                          <a:avLst/>
                        </a:prstGeom>
                        <a:ln w="19050" cap="flat" cmpd="sng">
                          <a:solidFill>
                            <a:srgbClr val="FF0000"/>
                          </a:solidFill>
                          <a:prstDash val="solid"/>
                          <a:headEnd type="none" w="med" len="med"/>
                          <a:tailEnd type="none" w="med" len="med"/>
                        </a:ln>
                      </wps:spPr>
                      <wps:bodyPr/>
                    </wps:wsp>
                  </a:graphicData>
                </a:graphic>
              </wp:anchor>
            </w:drawing>
          </mc:Choice>
          <mc:Fallback>
            <w:pict>
              <v:line id="直线 37" o:spid="_x0000_s1026" o:spt="20" style="position:absolute;left:0pt;margin-top:5.1pt;height:0pt;width:442.2pt;mso-position-horizontal:center;z-index:251659264;mso-width-relative:page;mso-height-relative:page;" filled="f" stroked="t" coordsize="21600,21600" o:gfxdata="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uU7wH1QAAAAYB&#10;AAAPAAAAAAAAAAEAIAAAACIAAABkcnMvZG93bnJldi54bWxQSwECFAAUAAAACACHTuJAzUQIjuUB&#10;AADSAwAADgAAAAAAAAABACAAAAAkAQAAZHJzL2Uyb0RvYy54bWxQSwUGAAAAAAYABgBZAQAAewUA&#10;AAAA&#10;">
                <v:fill on="f" focussize="0,0"/>
                <v:stroke weight="1.5pt" color="#FF0000" joinstyle="round"/>
                <v:imagedata o:title=""/>
                <o:lock v:ext="edit" aspectratio="f"/>
              </v:line>
            </w:pict>
          </mc:Fallback>
        </mc:AlternateContent>
      </w:r>
    </w:p>
    <w:p w14:paraId="4F962516">
      <w:pPr>
        <w:spacing w:line="360" w:lineRule="exact"/>
        <w:jc w:val="center"/>
        <w:rPr>
          <w:rFonts w:ascii="Times New Roman" w:hAnsi="Times New Roman" w:eastAsia="仿宋_GB2312"/>
          <w:color w:val="000000"/>
          <w:sz w:val="32"/>
          <w:szCs w:val="20"/>
        </w:rPr>
      </w:pPr>
    </w:p>
    <w:p w14:paraId="35B04F9F">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snapToGrid w:val="0"/>
          <w:color w:val="000000"/>
          <w:kern w:val="0"/>
          <w:sz w:val="44"/>
          <w:szCs w:val="44"/>
        </w:rPr>
      </w:pPr>
      <w:r>
        <w:rPr>
          <w:rFonts w:hint="eastAsia" w:ascii="方正小标宋简体" w:hAnsi="方正小标宋简体" w:eastAsia="方正小标宋简体" w:cs="方正小标宋简体"/>
          <w:snapToGrid w:val="0"/>
          <w:color w:val="000000"/>
          <w:kern w:val="0"/>
          <w:sz w:val="44"/>
          <w:szCs w:val="44"/>
        </w:rPr>
        <w:t>济南市教育局  济南市财政局</w:t>
      </w:r>
    </w:p>
    <w:p w14:paraId="56B3F9E4">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snapToGrid w:val="0"/>
          <w:kern w:val="0"/>
          <w:sz w:val="44"/>
          <w:szCs w:val="36"/>
        </w:rPr>
      </w:pPr>
      <w:r>
        <w:rPr>
          <w:rFonts w:hint="eastAsia" w:ascii="方正小标宋简体" w:hAnsi="方正小标宋简体" w:eastAsia="方正小标宋简体" w:cs="方正小标宋简体"/>
          <w:snapToGrid w:val="0"/>
          <w:kern w:val="0"/>
          <w:sz w:val="44"/>
          <w:szCs w:val="36"/>
        </w:rPr>
        <w:t>关于印发《济南市“济南奖学金”</w:t>
      </w:r>
    </w:p>
    <w:p w14:paraId="05C0BC31">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snapToGrid w:val="0"/>
          <w:kern w:val="0"/>
          <w:sz w:val="44"/>
          <w:szCs w:val="36"/>
        </w:rPr>
      </w:pPr>
      <w:r>
        <w:rPr>
          <w:rFonts w:hint="eastAsia" w:ascii="方正小标宋简体" w:hAnsi="方正小标宋简体" w:eastAsia="方正小标宋简体" w:cs="方正小标宋简体"/>
          <w:snapToGrid w:val="0"/>
          <w:kern w:val="0"/>
          <w:sz w:val="44"/>
          <w:szCs w:val="36"/>
        </w:rPr>
        <w:t>实施办法》的通知</w:t>
      </w:r>
    </w:p>
    <w:p w14:paraId="0D413408">
      <w:pPr>
        <w:spacing w:line="720" w:lineRule="exact"/>
        <w:jc w:val="center"/>
        <w:rPr>
          <w:rFonts w:ascii="方正小标宋简体" w:hAnsi="方正小标宋简体" w:eastAsia="方正小标宋简体" w:cs="方正小标宋简体"/>
          <w:sz w:val="44"/>
          <w:szCs w:val="36"/>
        </w:rPr>
      </w:pPr>
    </w:p>
    <w:p w14:paraId="50980BE2">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eastAsia="仿宋_GB2312"/>
          <w:snapToGrid w:val="0"/>
          <w:kern w:val="0"/>
          <w:sz w:val="32"/>
        </w:rPr>
      </w:pPr>
      <w:r>
        <w:rPr>
          <w:rFonts w:hint="eastAsia" w:eastAsia="仿宋_GB2312"/>
          <w:snapToGrid w:val="0"/>
          <w:kern w:val="0"/>
          <w:sz w:val="32"/>
        </w:rPr>
        <w:t>各市属高校：</w:t>
      </w:r>
    </w:p>
    <w:p w14:paraId="67D7CAC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eastAsia="仿宋_GB2312"/>
          <w:snapToGrid w:val="0"/>
          <w:kern w:val="0"/>
          <w:sz w:val="32"/>
        </w:rPr>
      </w:pPr>
      <w:r>
        <w:rPr>
          <w:rFonts w:hint="eastAsia" w:eastAsia="仿宋_GB2312"/>
          <w:snapToGrid w:val="0"/>
          <w:kern w:val="0"/>
          <w:sz w:val="32"/>
        </w:rPr>
        <w:t>现将《济南市“济南奖学金”实施办法》印发你们，请结合实际贯彻落实，激励更多大学生奋发有为、全面发展、热爱济南、才聚泉城，为强省会建设注入更多动力和活力。</w:t>
      </w:r>
    </w:p>
    <w:p w14:paraId="52E22C4D">
      <w:pPr>
        <w:spacing w:line="720" w:lineRule="exact"/>
        <w:ind w:firstLine="640" w:firstLineChars="200"/>
        <w:rPr>
          <w:rFonts w:hint="eastAsia" w:ascii="仿宋_GB2312" w:hAnsi="仿宋_GB2312" w:eastAsia="仿宋_GB2312" w:cs="仿宋_GB2312"/>
          <w:sz w:val="32"/>
          <w:szCs w:val="32"/>
          <w:lang w:eastAsia="zh-CN"/>
        </w:rPr>
      </w:pPr>
    </w:p>
    <w:p w14:paraId="7AC9E12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p>
    <w:p w14:paraId="6D38B107">
      <w:pPr>
        <w:keepNext w:val="0"/>
        <w:keepLines w:val="0"/>
        <w:pageBreakBefore w:val="0"/>
        <w:widowControl w:val="0"/>
        <w:kinsoku/>
        <w:wordWrap/>
        <w:overflowPunct/>
        <w:topLinePunct w:val="0"/>
        <w:autoSpaceDE/>
        <w:autoSpaceDN/>
        <w:bidi w:val="0"/>
        <w:adjustRightInd/>
        <w:snapToGrid/>
        <w:spacing w:line="540" w:lineRule="exact"/>
        <w:ind w:firstLine="1280" w:firstLineChars="400"/>
        <w:jc w:val="left"/>
        <w:textAlignment w:val="auto"/>
        <w:rPr>
          <w:rFonts w:eastAsia="仿宋_GB2312"/>
          <w:sz w:val="32"/>
        </w:rPr>
      </w:pPr>
      <w:r>
        <w:rPr>
          <w:rFonts w:hint="eastAsia" w:eastAsia="仿宋_GB2312"/>
          <w:sz w:val="32"/>
        </w:rPr>
        <w:t xml:space="preserve">济南市教育局   </w:t>
      </w:r>
      <w:r>
        <w:rPr>
          <w:rFonts w:hint="eastAsia"/>
          <w:sz w:val="32"/>
          <w:lang w:val="en-US" w:eastAsia="zh-CN"/>
        </w:rPr>
        <w:t xml:space="preserve">        </w:t>
      </w:r>
      <w:r>
        <w:rPr>
          <w:rFonts w:hint="eastAsia" w:eastAsia="仿宋_GB2312"/>
          <w:sz w:val="32"/>
        </w:rPr>
        <w:t xml:space="preserve">   </w:t>
      </w:r>
      <w:r>
        <w:rPr>
          <w:rFonts w:hint="eastAsia"/>
          <w:sz w:val="32"/>
          <w:lang w:val="en-US" w:eastAsia="zh-CN"/>
        </w:rPr>
        <w:t xml:space="preserve"> </w:t>
      </w:r>
      <w:r>
        <w:rPr>
          <w:rFonts w:hint="eastAsia" w:eastAsia="仿宋_GB2312"/>
          <w:sz w:val="32"/>
        </w:rPr>
        <w:t>济南市财政局</w:t>
      </w:r>
    </w:p>
    <w:p w14:paraId="5ACFAC8D">
      <w:pPr>
        <w:keepNext w:val="0"/>
        <w:keepLines w:val="0"/>
        <w:pageBreakBefore w:val="0"/>
        <w:widowControl w:val="0"/>
        <w:kinsoku/>
        <w:wordWrap/>
        <w:overflowPunct/>
        <w:topLinePunct w:val="0"/>
        <w:autoSpaceDE/>
        <w:autoSpaceDN/>
        <w:bidi w:val="0"/>
        <w:adjustRightInd/>
        <w:snapToGrid/>
        <w:spacing w:line="540" w:lineRule="exact"/>
        <w:ind w:right="628" w:firstLine="640" w:firstLineChars="200"/>
        <w:jc w:val="center"/>
        <w:textAlignment w:val="auto"/>
        <w:rPr>
          <w:rFonts w:hint="eastAsia" w:ascii="仿宋_GB2312" w:hAnsi="仿宋_GB2312" w:eastAsia="仿宋_GB2312" w:cs="仿宋_GB2312"/>
          <w:sz w:val="32"/>
        </w:rPr>
      </w:pPr>
      <w:r>
        <w:rPr>
          <w:rFonts w:hint="eastAsia" w:ascii="仿宋_GB2312" w:hAnsi="仿宋_GB2312" w:cs="仿宋_GB2312"/>
          <w:sz w:val="32"/>
          <w:lang w:val="en-US" w:eastAsia="zh-CN"/>
        </w:rPr>
        <w:t xml:space="preserve">                          </w:t>
      </w:r>
      <w:r>
        <w:rPr>
          <w:rFonts w:hint="eastAsia" w:ascii="仿宋_GB2312" w:hAnsi="仿宋_GB2312" w:eastAsia="仿宋_GB2312" w:cs="仿宋_GB2312"/>
          <w:sz w:val="32"/>
        </w:rPr>
        <w:t>2024年10月30日</w:t>
      </w:r>
    </w:p>
    <w:p w14:paraId="70D9F09A">
      <w:pPr>
        <w:keepNext w:val="0"/>
        <w:keepLines w:val="0"/>
        <w:pageBreakBefore w:val="0"/>
        <w:widowControl w:val="0"/>
        <w:kinsoku/>
        <w:wordWrap/>
        <w:overflowPunct/>
        <w:topLinePunct w:val="0"/>
        <w:autoSpaceDE/>
        <w:autoSpaceDN/>
        <w:bidi w:val="0"/>
        <w:adjustRightInd w:val="0"/>
        <w:snapToGrid w:val="0"/>
        <w:spacing w:before="599" w:beforeLines="100" w:line="56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（此件公开发布）</w:t>
      </w:r>
    </w:p>
    <w:p w14:paraId="6E9F9E0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36"/>
        </w:rPr>
      </w:pPr>
    </w:p>
    <w:p w14:paraId="2D876BF9">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sz w:val="44"/>
          <w:szCs w:val="36"/>
        </w:rPr>
      </w:pPr>
    </w:p>
    <w:p w14:paraId="17E27DA2">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方正小标宋简体" w:hAnsi="方正小标宋简体" w:eastAsia="方正小标宋简体" w:cs="方正小标宋简体"/>
          <w:sz w:val="44"/>
          <w:szCs w:val="36"/>
        </w:rPr>
      </w:pPr>
      <w:bookmarkStart w:id="0" w:name="_GoBack"/>
      <w:bookmarkEnd w:id="0"/>
      <w:r>
        <w:rPr>
          <w:rFonts w:hint="eastAsia" w:ascii="方正小标宋简体" w:hAnsi="方正小标宋简体" w:eastAsia="方正小标宋简体" w:cs="方正小标宋简体"/>
          <w:sz w:val="44"/>
          <w:szCs w:val="36"/>
        </w:rPr>
        <w:t>济南市“济南奖学金”实施办法</w:t>
      </w:r>
    </w:p>
    <w:p w14:paraId="710D2330">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center"/>
        <w:textAlignment w:val="auto"/>
        <w:rPr>
          <w:rFonts w:ascii="黑体" w:hAnsi="黑体" w:eastAsia="黑体" w:cs="黑体"/>
          <w:sz w:val="32"/>
        </w:rPr>
      </w:pPr>
    </w:p>
    <w:p w14:paraId="0D48744B">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eastAsia="仿宋_GB2312"/>
          <w:snapToGrid w:val="0"/>
          <w:kern w:val="0"/>
          <w:sz w:val="32"/>
        </w:rPr>
      </w:pPr>
      <w:r>
        <w:rPr>
          <w:rFonts w:hint="eastAsia" w:ascii="黑体" w:hAnsi="黑体" w:eastAsia="黑体" w:cs="黑体"/>
          <w:snapToGrid w:val="0"/>
          <w:kern w:val="0"/>
          <w:sz w:val="32"/>
        </w:rPr>
        <w:t xml:space="preserve">第一条  </w:t>
      </w:r>
      <w:r>
        <w:rPr>
          <w:rFonts w:eastAsia="仿宋_GB2312"/>
          <w:snapToGrid w:val="0"/>
          <w:kern w:val="0"/>
          <w:sz w:val="32"/>
        </w:rPr>
        <w:t>为激励驻济高校大学生奋发有为，全面发展，热爱济南，才聚泉城，</w:t>
      </w:r>
      <w:r>
        <w:rPr>
          <w:rFonts w:hint="eastAsia" w:ascii="仿宋_GB2312" w:hAnsi="华文仿宋" w:eastAsia="仿宋_GB2312" w:cs="华文仿宋"/>
          <w:snapToGrid w:val="0"/>
          <w:kern w:val="0"/>
          <w:sz w:val="32"/>
          <w:szCs w:val="32"/>
        </w:rPr>
        <w:t>根据市委人才办《〈济南市人才服务支持政策(30条)〉〈济南市人才发展环境政策(30条)〉实施细则(2024版)〉》（济人才办发〔2024〕2号），</w:t>
      </w:r>
      <w:r>
        <w:rPr>
          <w:rFonts w:eastAsia="仿宋_GB2312"/>
          <w:snapToGrid w:val="0"/>
          <w:kern w:val="0"/>
          <w:sz w:val="32"/>
        </w:rPr>
        <w:t>制定本办法。</w:t>
      </w:r>
    </w:p>
    <w:p w14:paraId="3D0DA478">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eastAsia="仿宋_GB2312"/>
          <w:snapToGrid w:val="0"/>
          <w:kern w:val="0"/>
          <w:sz w:val="32"/>
        </w:rPr>
      </w:pPr>
      <w:r>
        <w:rPr>
          <w:rFonts w:hint="eastAsia" w:ascii="黑体" w:hAnsi="黑体" w:eastAsia="黑体" w:cs="黑体"/>
          <w:snapToGrid w:val="0"/>
          <w:kern w:val="0"/>
          <w:sz w:val="32"/>
        </w:rPr>
        <w:t xml:space="preserve">第二条  </w:t>
      </w:r>
      <w:r>
        <w:rPr>
          <w:rFonts w:eastAsia="仿宋_GB2312"/>
          <w:snapToGrid w:val="0"/>
          <w:kern w:val="0"/>
          <w:sz w:val="32"/>
        </w:rPr>
        <w:t>本办法所称驻济高校，是指根据国家有关规定批准设立、实施高等学历教育的驻济全日制普通本科高等学校、高等职业学校</w:t>
      </w:r>
      <w:r>
        <w:rPr>
          <w:rFonts w:hint="eastAsia" w:eastAsia="仿宋_GB2312"/>
          <w:snapToGrid w:val="0"/>
          <w:kern w:val="0"/>
          <w:sz w:val="32"/>
        </w:rPr>
        <w:t>、</w:t>
      </w:r>
      <w:r>
        <w:rPr>
          <w:rFonts w:eastAsia="仿宋_GB2312"/>
          <w:snapToGrid w:val="0"/>
          <w:kern w:val="0"/>
          <w:sz w:val="32"/>
        </w:rPr>
        <w:t>高等专科学校。</w:t>
      </w:r>
    </w:p>
    <w:p w14:paraId="3A2E6639">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eastAsia="仿宋_GB2312"/>
          <w:snapToGrid w:val="0"/>
          <w:kern w:val="0"/>
          <w:sz w:val="32"/>
        </w:rPr>
      </w:pPr>
      <w:r>
        <w:rPr>
          <w:rFonts w:hint="eastAsia" w:ascii="黑体" w:hAnsi="黑体" w:eastAsia="黑体" w:cs="黑体"/>
          <w:snapToGrid w:val="0"/>
          <w:kern w:val="0"/>
          <w:sz w:val="32"/>
        </w:rPr>
        <w:t xml:space="preserve">第三条  </w:t>
      </w:r>
      <w:r>
        <w:rPr>
          <w:rFonts w:eastAsia="仿宋_GB2312"/>
          <w:snapToGrid w:val="0"/>
          <w:kern w:val="0"/>
          <w:sz w:val="32"/>
        </w:rPr>
        <w:t>设立</w:t>
      </w:r>
      <w:r>
        <w:rPr>
          <w:rFonts w:hint="eastAsia" w:eastAsia="仿宋_GB2312"/>
          <w:snapToGrid w:val="0"/>
          <w:kern w:val="0"/>
          <w:sz w:val="32"/>
        </w:rPr>
        <w:t>济南奖学金</w:t>
      </w:r>
      <w:r>
        <w:rPr>
          <w:rFonts w:eastAsia="仿宋_GB2312"/>
          <w:snapToGrid w:val="0"/>
          <w:kern w:val="0"/>
          <w:sz w:val="32"/>
        </w:rPr>
        <w:t>，每年</w:t>
      </w:r>
      <w:r>
        <w:rPr>
          <w:rFonts w:hint="eastAsia" w:eastAsia="仿宋_GB2312"/>
          <w:snapToGrid w:val="0"/>
          <w:kern w:val="0"/>
          <w:sz w:val="32"/>
        </w:rPr>
        <w:t>评</w:t>
      </w:r>
      <w:r>
        <w:rPr>
          <w:rFonts w:eastAsia="仿宋_GB2312"/>
          <w:snapToGrid w:val="0"/>
          <w:kern w:val="0"/>
          <w:sz w:val="32"/>
        </w:rPr>
        <w:t>选</w:t>
      </w:r>
      <w:r>
        <w:rPr>
          <w:rFonts w:hint="eastAsia" w:eastAsia="仿宋_GB2312"/>
          <w:snapToGrid w:val="0"/>
          <w:kern w:val="0"/>
          <w:sz w:val="32"/>
        </w:rPr>
        <w:t>全日制</w:t>
      </w:r>
      <w:r>
        <w:rPr>
          <w:rFonts w:eastAsia="仿宋_GB2312"/>
          <w:snapToGrid w:val="0"/>
          <w:kern w:val="0"/>
          <w:sz w:val="32"/>
        </w:rPr>
        <w:t>优秀高校</w:t>
      </w:r>
      <w:r>
        <w:rPr>
          <w:rFonts w:hint="eastAsia" w:eastAsia="仿宋_GB2312"/>
          <w:snapToGrid w:val="0"/>
          <w:kern w:val="0"/>
          <w:sz w:val="32"/>
        </w:rPr>
        <w:t>毕业年级在校生</w:t>
      </w:r>
      <w:r>
        <w:rPr>
          <w:rFonts w:eastAsia="仿宋_GB2312"/>
          <w:snapToGrid w:val="0"/>
          <w:kern w:val="0"/>
          <w:sz w:val="32"/>
        </w:rPr>
        <w:t>进行奖励。</w:t>
      </w:r>
    </w:p>
    <w:p w14:paraId="6C41437C">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eastAsia="仿宋_GB2312"/>
          <w:snapToGrid w:val="0"/>
          <w:kern w:val="0"/>
          <w:sz w:val="32"/>
        </w:rPr>
      </w:pPr>
      <w:r>
        <w:rPr>
          <w:rFonts w:hint="eastAsia" w:ascii="黑体" w:hAnsi="黑体" w:eastAsia="黑体" w:cs="黑体"/>
          <w:snapToGrid w:val="0"/>
          <w:kern w:val="0"/>
          <w:sz w:val="32"/>
        </w:rPr>
        <w:t xml:space="preserve">第四条  </w:t>
      </w:r>
      <w:r>
        <w:rPr>
          <w:rFonts w:hint="eastAsia" w:eastAsia="仿宋_GB2312"/>
          <w:snapToGrid w:val="0"/>
          <w:kern w:val="0"/>
          <w:sz w:val="32"/>
        </w:rPr>
        <w:t>济南奖学金</w:t>
      </w:r>
      <w:r>
        <w:rPr>
          <w:rFonts w:eastAsia="仿宋_GB2312"/>
          <w:snapToGrid w:val="0"/>
          <w:kern w:val="0"/>
          <w:sz w:val="32"/>
        </w:rPr>
        <w:t>奖励标准为每人每年</w:t>
      </w:r>
      <w:r>
        <w:rPr>
          <w:rFonts w:hint="eastAsia" w:ascii="仿宋_GB2312" w:hAnsi="仿宋_GB2312" w:eastAsia="仿宋_GB2312" w:cs="仿宋_GB2312"/>
          <w:snapToGrid w:val="0"/>
          <w:kern w:val="0"/>
          <w:sz w:val="32"/>
        </w:rPr>
        <w:t>3000元，每年评选500人，</w:t>
      </w:r>
      <w:r>
        <w:rPr>
          <w:rFonts w:hint="eastAsia" w:eastAsia="仿宋_GB2312"/>
          <w:snapToGrid w:val="0"/>
          <w:kern w:val="0"/>
          <w:sz w:val="32"/>
        </w:rPr>
        <w:t>资金在市委人才办专项资金中支出。其中，设立</w:t>
      </w:r>
      <w:r>
        <w:rPr>
          <w:rFonts w:hint="eastAsia" w:ascii="仿宋_GB2312" w:hAnsi="仿宋_GB2312" w:eastAsia="仿宋_GB2312" w:cs="仿宋_GB2312"/>
          <w:snapToGrid w:val="0"/>
          <w:kern w:val="0"/>
          <w:sz w:val="32"/>
        </w:rPr>
        <w:t>10-20名“济南奖学金菁英奖”，每人奖励1万元</w:t>
      </w:r>
      <w:r>
        <w:rPr>
          <w:rFonts w:hint="eastAsia" w:eastAsia="仿宋_GB2312"/>
          <w:snapToGrid w:val="0"/>
          <w:kern w:val="0"/>
          <w:sz w:val="32"/>
        </w:rPr>
        <w:t>。</w:t>
      </w:r>
    </w:p>
    <w:p w14:paraId="112D7C25">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eastAsia="仿宋_GB2312"/>
          <w:snapToGrid w:val="0"/>
          <w:kern w:val="0"/>
          <w:sz w:val="32"/>
        </w:rPr>
      </w:pPr>
      <w:r>
        <w:rPr>
          <w:rFonts w:hint="eastAsia" w:ascii="黑体" w:hAnsi="黑体" w:eastAsia="黑体" w:cs="黑体"/>
          <w:snapToGrid w:val="0"/>
          <w:kern w:val="0"/>
          <w:sz w:val="32"/>
        </w:rPr>
        <w:t xml:space="preserve">第五条  </w:t>
      </w:r>
      <w:r>
        <w:rPr>
          <w:rFonts w:hint="eastAsia" w:eastAsia="仿宋_GB2312"/>
          <w:snapToGrid w:val="0"/>
          <w:kern w:val="0"/>
          <w:sz w:val="32"/>
        </w:rPr>
        <w:t>济南奖学金</w:t>
      </w:r>
      <w:r>
        <w:rPr>
          <w:rFonts w:eastAsia="仿宋_GB2312"/>
          <w:snapToGrid w:val="0"/>
          <w:kern w:val="0"/>
          <w:sz w:val="32"/>
        </w:rPr>
        <w:t>的申请条件:</w:t>
      </w:r>
    </w:p>
    <w:p w14:paraId="21570897">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仿宋_GB2312" w:hAnsi="仿宋_GB2312" w:eastAsia="仿宋_GB2312" w:cs="仿宋_GB2312"/>
          <w:snapToGrid w:val="0"/>
          <w:kern w:val="0"/>
          <w:sz w:val="32"/>
        </w:rPr>
      </w:pPr>
      <w:r>
        <w:rPr>
          <w:rFonts w:hint="eastAsia" w:ascii="仿宋_GB2312" w:hAnsi="仿宋_GB2312" w:eastAsia="仿宋_GB2312" w:cs="仿宋_GB2312"/>
          <w:snapToGrid w:val="0"/>
          <w:kern w:val="0"/>
          <w:sz w:val="32"/>
        </w:rPr>
        <w:t>申请济南奖学金必须满足以下基本条件:</w:t>
      </w:r>
    </w:p>
    <w:p w14:paraId="244C44B4">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仿宋_GB2312" w:hAnsi="仿宋_GB2312" w:eastAsia="仿宋_GB2312" w:cs="仿宋_GB2312"/>
          <w:snapToGrid w:val="0"/>
          <w:kern w:val="0"/>
          <w:sz w:val="32"/>
        </w:rPr>
      </w:pPr>
      <w:r>
        <w:rPr>
          <w:rFonts w:hint="eastAsia" w:ascii="仿宋_GB2312" w:hAnsi="仿宋_GB2312" w:eastAsia="仿宋_GB2312" w:cs="仿宋_GB2312"/>
          <w:snapToGrid w:val="0"/>
          <w:kern w:val="0"/>
          <w:sz w:val="32"/>
        </w:rPr>
        <w:t>1.热爱社会主义祖国，拥护中国共产党的领导；</w:t>
      </w:r>
    </w:p>
    <w:p w14:paraId="775B15C9">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仿宋_GB2312" w:hAnsi="仿宋_GB2312" w:eastAsia="仿宋_GB2312" w:cs="仿宋_GB2312"/>
          <w:snapToGrid w:val="0"/>
          <w:kern w:val="0"/>
          <w:sz w:val="32"/>
        </w:rPr>
      </w:pPr>
      <w:r>
        <w:rPr>
          <w:rFonts w:hint="eastAsia" w:ascii="仿宋_GB2312" w:hAnsi="仿宋_GB2312" w:eastAsia="仿宋_GB2312" w:cs="仿宋_GB2312"/>
          <w:snapToGrid w:val="0"/>
          <w:kern w:val="0"/>
          <w:sz w:val="32"/>
        </w:rPr>
        <w:t>2.遵守宪法和法律，遵守学校规章制度；</w:t>
      </w:r>
    </w:p>
    <w:p w14:paraId="1620698A">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仿宋_GB2312" w:hAnsi="仿宋_GB2312" w:eastAsia="仿宋_GB2312" w:cs="仿宋_GB2312"/>
          <w:snapToGrid w:val="0"/>
          <w:kern w:val="0"/>
          <w:sz w:val="32"/>
        </w:rPr>
      </w:pPr>
      <w:r>
        <w:rPr>
          <w:rFonts w:hint="eastAsia" w:ascii="仿宋_GB2312" w:hAnsi="仿宋_GB2312" w:eastAsia="仿宋_GB2312" w:cs="仿宋_GB2312"/>
          <w:snapToGrid w:val="0"/>
          <w:kern w:val="0"/>
          <w:sz w:val="32"/>
        </w:rPr>
        <w:t>3.道德品质优良；</w:t>
      </w:r>
    </w:p>
    <w:p w14:paraId="069DF15B">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仿宋_GB2312" w:hAnsi="仿宋_GB2312" w:eastAsia="仿宋_GB2312" w:cs="仿宋_GB2312"/>
          <w:snapToGrid w:val="0"/>
          <w:kern w:val="0"/>
          <w:sz w:val="32"/>
        </w:rPr>
      </w:pPr>
      <w:r>
        <w:rPr>
          <w:rFonts w:hint="eastAsia" w:ascii="仿宋_GB2312" w:hAnsi="仿宋_GB2312" w:eastAsia="仿宋_GB2312" w:cs="仿宋_GB2312"/>
          <w:snapToGrid w:val="0"/>
          <w:kern w:val="0"/>
          <w:sz w:val="32"/>
        </w:rPr>
        <w:t>4.积极参加院校组织的各项活动，有较强的集体荣誉感和社会责任感；</w:t>
      </w:r>
    </w:p>
    <w:p w14:paraId="63537757">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仿宋_GB2312" w:hAnsi="仿宋_GB2312" w:eastAsia="仿宋_GB2312" w:cs="仿宋_GB2312"/>
          <w:snapToGrid w:val="0"/>
          <w:kern w:val="0"/>
          <w:sz w:val="32"/>
        </w:rPr>
      </w:pPr>
      <w:r>
        <w:rPr>
          <w:rFonts w:hint="eastAsia" w:ascii="仿宋_GB2312" w:hAnsi="仿宋_GB2312" w:eastAsia="仿宋_GB2312" w:cs="仿宋_GB2312"/>
          <w:snapToGrid w:val="0"/>
          <w:kern w:val="0"/>
          <w:sz w:val="32"/>
        </w:rPr>
        <w:t>5.高校济南校区全日制毕业年级学生；</w:t>
      </w:r>
    </w:p>
    <w:p w14:paraId="2F6E5486">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仿宋_GB2312" w:hAnsi="仿宋_GB2312" w:eastAsia="仿宋_GB2312" w:cs="仿宋_GB2312"/>
          <w:snapToGrid w:val="0"/>
          <w:kern w:val="0"/>
          <w:sz w:val="32"/>
        </w:rPr>
      </w:pPr>
      <w:r>
        <w:rPr>
          <w:rFonts w:hint="eastAsia" w:ascii="仿宋_GB2312" w:hAnsi="仿宋_GB2312" w:eastAsia="仿宋_GB2312" w:cs="仿宋_GB2312"/>
          <w:snapToGrid w:val="0"/>
          <w:kern w:val="0"/>
          <w:sz w:val="32"/>
        </w:rPr>
        <w:t>6.学习成绩优秀。学习成绩与综合考评成绩排名均位于院系前15%（含）。</w:t>
      </w:r>
    </w:p>
    <w:p w14:paraId="46879700">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仿宋_GB2312" w:hAnsi="仿宋_GB2312" w:eastAsia="仿宋_GB2312" w:cs="仿宋_GB2312"/>
          <w:snapToGrid w:val="0"/>
          <w:kern w:val="0"/>
          <w:sz w:val="32"/>
        </w:rPr>
      </w:pPr>
      <w:r>
        <w:rPr>
          <w:rFonts w:hint="eastAsia" w:ascii="仿宋_GB2312" w:hAnsi="仿宋_GB2312" w:eastAsia="仿宋_GB2312" w:cs="仿宋_GB2312"/>
          <w:snapToGrid w:val="0"/>
          <w:kern w:val="0"/>
          <w:sz w:val="32"/>
        </w:rPr>
        <w:t>满足以上基本条件，同时具备下列条件之一者学习成绩与综合考评成绩排名可放宽到院系前30%（含）。</w:t>
      </w:r>
    </w:p>
    <w:p w14:paraId="5D593470">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仿宋_GB2312" w:hAnsi="仿宋_GB2312" w:eastAsia="仿宋_GB2312" w:cs="仿宋_GB2312"/>
          <w:snapToGrid w:val="0"/>
          <w:kern w:val="0"/>
          <w:sz w:val="32"/>
        </w:rPr>
      </w:pPr>
      <w:r>
        <w:rPr>
          <w:rFonts w:hint="eastAsia" w:ascii="仿宋_GB2312" w:hAnsi="仿宋_GB2312" w:eastAsia="仿宋_GB2312" w:cs="仿宋_GB2312"/>
          <w:snapToGrid w:val="0"/>
          <w:kern w:val="0"/>
          <w:sz w:val="32"/>
        </w:rPr>
        <w:t>1.在社会主义精神文明建设中榜样作用显著，具有见义勇为、奉献爱心、服务社会、自立自强的突出表现，在本校产生重大影响，在济南市产生较大影响；</w:t>
      </w:r>
    </w:p>
    <w:p w14:paraId="546E225F">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仿宋_GB2312" w:hAnsi="仿宋_GB2312" w:eastAsia="仿宋_GB2312" w:cs="仿宋_GB2312"/>
          <w:snapToGrid w:val="0"/>
          <w:kern w:val="0"/>
          <w:sz w:val="32"/>
        </w:rPr>
      </w:pPr>
      <w:r>
        <w:rPr>
          <w:rFonts w:hint="eastAsia" w:ascii="仿宋_GB2312" w:hAnsi="仿宋_GB2312" w:eastAsia="仿宋_GB2312" w:cs="仿宋_GB2312"/>
          <w:snapToGrid w:val="0"/>
          <w:kern w:val="0"/>
          <w:sz w:val="32"/>
        </w:rPr>
        <w:t>2.在学术研究上取得显著成绩，以第一作者发表的论文被SCI，EI、CPCI、SSCI全文收录，以第一、二作者出版通过专家鉴定的学术专著；</w:t>
      </w:r>
    </w:p>
    <w:p w14:paraId="68E63AE3">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仿宋_GB2312" w:hAnsi="仿宋_GB2312" w:eastAsia="仿宋_GB2312" w:cs="仿宋_GB2312"/>
          <w:snapToGrid w:val="0"/>
          <w:kern w:val="0"/>
          <w:sz w:val="32"/>
        </w:rPr>
      </w:pPr>
      <w:r>
        <w:rPr>
          <w:rFonts w:hint="eastAsia" w:ascii="仿宋_GB2312" w:hAnsi="仿宋_GB2312" w:eastAsia="仿宋_GB2312" w:cs="仿宋_GB2312"/>
          <w:snapToGrid w:val="0"/>
          <w:kern w:val="0"/>
          <w:sz w:val="32"/>
        </w:rPr>
        <w:t>3.在学科竞赛方面取得显著成绩，参加国际和全国、全省性专业学科竞赛、课外学术科技竞赛、“互联网＋”大学生创新创业大赛、职业院校技能大赛等竞赛中获国家三等奖、省二等奖及以上奖励；</w:t>
      </w:r>
    </w:p>
    <w:p w14:paraId="0144BFD6">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仿宋_GB2312" w:hAnsi="仿宋_GB2312" w:eastAsia="仿宋_GB2312" w:cs="仿宋_GB2312"/>
          <w:snapToGrid w:val="0"/>
          <w:kern w:val="0"/>
          <w:sz w:val="32"/>
        </w:rPr>
      </w:pPr>
      <w:r>
        <w:rPr>
          <w:rFonts w:hint="eastAsia" w:ascii="仿宋_GB2312" w:hAnsi="仿宋_GB2312" w:eastAsia="仿宋_GB2312" w:cs="仿宋_GB2312"/>
          <w:snapToGrid w:val="0"/>
          <w:kern w:val="0"/>
          <w:sz w:val="32"/>
        </w:rPr>
        <w:t>4.在创新发明方面取得显著成绩，科研成果获省、部级以上奖励或获得通过专家鉴定的国家专利（不包括实用新型专利）；</w:t>
      </w:r>
    </w:p>
    <w:p w14:paraId="3D524752">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仿宋_GB2312" w:hAnsi="仿宋_GB2312" w:eastAsia="仿宋_GB2312" w:cs="仿宋_GB2312"/>
          <w:snapToGrid w:val="0"/>
          <w:kern w:val="0"/>
          <w:sz w:val="32"/>
        </w:rPr>
      </w:pPr>
      <w:r>
        <w:rPr>
          <w:rFonts w:hint="eastAsia" w:ascii="仿宋_GB2312" w:hAnsi="仿宋_GB2312" w:eastAsia="仿宋_GB2312" w:cs="仿宋_GB2312"/>
          <w:snapToGrid w:val="0"/>
          <w:kern w:val="0"/>
          <w:sz w:val="32"/>
        </w:rPr>
        <w:t>5.在体育竞赛中取得显著成绩，非体育专业学生参加省级以上体育比赛获得个人项目前三名，集体项目前二名；高水平运动员参加国际和全国性体育比赛获得个人项目前三名、集体项目前二名。集体项目应为主力队员；</w:t>
      </w:r>
    </w:p>
    <w:p w14:paraId="3511B76E">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仿宋_GB2312" w:hAnsi="仿宋_GB2312" w:eastAsia="仿宋_GB2312" w:cs="仿宋_GB2312"/>
          <w:snapToGrid w:val="0"/>
          <w:kern w:val="0"/>
          <w:sz w:val="32"/>
        </w:rPr>
      </w:pPr>
      <w:r>
        <w:rPr>
          <w:rFonts w:hint="eastAsia" w:ascii="仿宋_GB2312" w:hAnsi="仿宋_GB2312" w:eastAsia="仿宋_GB2312" w:cs="仿宋_GB2312"/>
          <w:snapToGrid w:val="0"/>
          <w:kern w:val="0"/>
          <w:sz w:val="32"/>
        </w:rPr>
        <w:t>6.在艺术比赛中取得显著成绩，参加国际和全国性比赛获得前三名，参加省级比赛获得第一名。参加集体项目的应为主要演员；</w:t>
      </w:r>
    </w:p>
    <w:p w14:paraId="2BA13ACD">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仿宋_GB2312" w:hAnsi="仿宋_GB2312" w:eastAsia="仿宋_GB2312" w:cs="仿宋_GB2312"/>
          <w:snapToGrid w:val="0"/>
          <w:kern w:val="0"/>
          <w:sz w:val="32"/>
        </w:rPr>
      </w:pPr>
      <w:r>
        <w:rPr>
          <w:rFonts w:hint="eastAsia" w:ascii="仿宋_GB2312" w:hAnsi="仿宋_GB2312" w:eastAsia="仿宋_GB2312" w:cs="仿宋_GB2312"/>
          <w:snapToGrid w:val="0"/>
          <w:kern w:val="0"/>
          <w:sz w:val="32"/>
        </w:rPr>
        <w:t>7.青年五四奖章、大学生年度人物等全国、全省、全市荣誉称号获得者；</w:t>
      </w:r>
    </w:p>
    <w:p w14:paraId="065B44CC">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仿宋_GB2312" w:hAnsi="仿宋_GB2312" w:eastAsia="仿宋_GB2312" w:cs="仿宋_GB2312"/>
          <w:snapToGrid w:val="0"/>
          <w:kern w:val="0"/>
          <w:sz w:val="32"/>
        </w:rPr>
      </w:pPr>
      <w:r>
        <w:rPr>
          <w:rFonts w:hint="eastAsia" w:ascii="仿宋_GB2312" w:hAnsi="仿宋_GB2312" w:eastAsia="仿宋_GB2312" w:cs="仿宋_GB2312"/>
          <w:snapToGrid w:val="0"/>
          <w:kern w:val="0"/>
          <w:sz w:val="32"/>
        </w:rPr>
        <w:t>8.其他应当认定为表现非常突出的情形。</w:t>
      </w:r>
    </w:p>
    <w:p w14:paraId="7E591003">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eastAsia="仿宋_GB2312"/>
          <w:snapToGrid w:val="0"/>
          <w:kern w:val="0"/>
          <w:sz w:val="32"/>
        </w:rPr>
      </w:pPr>
      <w:r>
        <w:rPr>
          <w:rFonts w:hint="eastAsia" w:ascii="黑体" w:hAnsi="黑体" w:eastAsia="黑体" w:cs="黑体"/>
          <w:snapToGrid w:val="0"/>
          <w:kern w:val="0"/>
          <w:sz w:val="32"/>
        </w:rPr>
        <w:t xml:space="preserve">第六条  </w:t>
      </w:r>
      <w:r>
        <w:rPr>
          <w:rFonts w:hint="eastAsia" w:ascii="仿宋_GB2312" w:hAnsi="仿宋_GB2312" w:eastAsia="仿宋_GB2312" w:cs="仿宋_GB2312"/>
          <w:snapToGrid w:val="0"/>
          <w:kern w:val="0"/>
          <w:sz w:val="32"/>
        </w:rPr>
        <w:t>济南奖学金</w:t>
      </w:r>
      <w:r>
        <w:rPr>
          <w:rFonts w:eastAsia="仿宋_GB2312"/>
          <w:snapToGrid w:val="0"/>
          <w:kern w:val="0"/>
          <w:sz w:val="32"/>
        </w:rPr>
        <w:t>每学年评审一次，坚持公开、公平、公正、择优的原则，实行等额评审。</w:t>
      </w:r>
      <w:r>
        <w:rPr>
          <w:rFonts w:hint="eastAsia" w:eastAsia="仿宋_GB2312"/>
          <w:snapToGrid w:val="0"/>
          <w:kern w:val="0"/>
          <w:sz w:val="32"/>
        </w:rPr>
        <w:t>济南奖学金</w:t>
      </w:r>
      <w:r>
        <w:rPr>
          <w:rFonts w:eastAsia="仿宋_GB2312"/>
          <w:snapToGrid w:val="0"/>
          <w:kern w:val="0"/>
          <w:sz w:val="32"/>
        </w:rPr>
        <w:t>名额在每年</w:t>
      </w:r>
      <w:r>
        <w:rPr>
          <w:rFonts w:hint="eastAsia" w:ascii="仿宋_GB2312" w:hAnsi="仿宋_GB2312" w:eastAsia="仿宋_GB2312" w:cs="仿宋_GB2312"/>
          <w:snapToGrid w:val="0"/>
          <w:kern w:val="0"/>
          <w:sz w:val="32"/>
        </w:rPr>
        <w:t>10月由市教育局根据驻济高校类别、办学层次、办学质量、济南校区全日制毕业年级学生数、</w:t>
      </w:r>
      <w:r>
        <w:rPr>
          <w:rFonts w:hint="eastAsia" w:eastAsia="仿宋_GB2312"/>
          <w:snapToGrid w:val="0"/>
          <w:kern w:val="0"/>
          <w:sz w:val="32"/>
        </w:rPr>
        <w:t>对济南经济社会发展贡献度等因素提出分配方案。</w:t>
      </w:r>
      <w:r>
        <w:rPr>
          <w:rFonts w:eastAsia="仿宋_GB2312"/>
          <w:snapToGrid w:val="0"/>
          <w:kern w:val="0"/>
          <w:sz w:val="32"/>
        </w:rPr>
        <w:t>对服务济南</w:t>
      </w:r>
      <w:r>
        <w:rPr>
          <w:rFonts w:hint="eastAsia" w:eastAsia="仿宋_GB2312"/>
          <w:snapToGrid w:val="0"/>
          <w:kern w:val="0"/>
          <w:sz w:val="32"/>
        </w:rPr>
        <w:t>市重大发展战略、重点产业发展成效突出</w:t>
      </w:r>
      <w:r>
        <w:rPr>
          <w:rFonts w:eastAsia="仿宋_GB2312"/>
          <w:snapToGrid w:val="0"/>
          <w:kern w:val="0"/>
          <w:sz w:val="32"/>
        </w:rPr>
        <w:t>的高校予以适当倾斜。</w:t>
      </w:r>
    </w:p>
    <w:p w14:paraId="09B02D4C">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eastAsia="仿宋_GB2312"/>
          <w:snapToGrid w:val="0"/>
          <w:kern w:val="0"/>
          <w:sz w:val="32"/>
        </w:rPr>
      </w:pPr>
      <w:r>
        <w:rPr>
          <w:rFonts w:hint="eastAsia" w:ascii="黑体" w:hAnsi="黑体" w:eastAsia="黑体" w:cs="黑体"/>
          <w:snapToGrid w:val="0"/>
          <w:kern w:val="0"/>
          <w:sz w:val="32"/>
        </w:rPr>
        <w:t xml:space="preserve">第七条  </w:t>
      </w:r>
      <w:r>
        <w:rPr>
          <w:rFonts w:eastAsia="仿宋_GB2312"/>
          <w:snapToGrid w:val="0"/>
          <w:kern w:val="0"/>
          <w:sz w:val="32"/>
        </w:rPr>
        <w:t>驻济高校要成立评审委员会，制定具体评审办法，按照</w:t>
      </w:r>
      <w:r>
        <w:rPr>
          <w:rFonts w:hint="eastAsia" w:eastAsia="仿宋_GB2312"/>
          <w:snapToGrid w:val="0"/>
          <w:kern w:val="0"/>
          <w:sz w:val="32"/>
        </w:rPr>
        <w:t>“</w:t>
      </w:r>
      <w:r>
        <w:rPr>
          <w:rFonts w:eastAsia="仿宋_GB2312"/>
          <w:snapToGrid w:val="0"/>
          <w:kern w:val="0"/>
          <w:sz w:val="32"/>
        </w:rPr>
        <w:t>申请</w:t>
      </w:r>
      <w:r>
        <w:rPr>
          <w:rFonts w:hint="eastAsia" w:eastAsia="仿宋_GB2312"/>
          <w:snapToGrid w:val="0"/>
          <w:kern w:val="0"/>
          <w:sz w:val="32"/>
        </w:rPr>
        <w:t>—</w:t>
      </w:r>
      <w:r>
        <w:rPr>
          <w:rFonts w:eastAsia="仿宋_GB2312"/>
          <w:snapToGrid w:val="0"/>
          <w:kern w:val="0"/>
          <w:sz w:val="32"/>
        </w:rPr>
        <w:t>初选</w:t>
      </w:r>
      <w:r>
        <w:rPr>
          <w:rFonts w:hint="eastAsia" w:eastAsia="仿宋_GB2312"/>
          <w:snapToGrid w:val="0"/>
          <w:kern w:val="0"/>
          <w:sz w:val="32"/>
        </w:rPr>
        <w:t>—</w:t>
      </w:r>
      <w:r>
        <w:rPr>
          <w:rFonts w:eastAsia="仿宋_GB2312"/>
          <w:snapToGrid w:val="0"/>
          <w:kern w:val="0"/>
          <w:sz w:val="32"/>
        </w:rPr>
        <w:t>复评</w:t>
      </w:r>
      <w:r>
        <w:rPr>
          <w:rFonts w:hint="eastAsia" w:eastAsia="仿宋_GB2312"/>
          <w:snapToGrid w:val="0"/>
          <w:kern w:val="0"/>
          <w:sz w:val="32"/>
        </w:rPr>
        <w:t>—</w:t>
      </w:r>
      <w:r>
        <w:rPr>
          <w:rFonts w:eastAsia="仿宋_GB2312"/>
          <w:snapToGrid w:val="0"/>
          <w:kern w:val="0"/>
          <w:sz w:val="32"/>
        </w:rPr>
        <w:t>公示</w:t>
      </w:r>
      <w:r>
        <w:rPr>
          <w:rFonts w:hint="eastAsia" w:eastAsia="仿宋_GB2312"/>
          <w:snapToGrid w:val="0"/>
          <w:kern w:val="0"/>
          <w:sz w:val="32"/>
        </w:rPr>
        <w:t>”</w:t>
      </w:r>
      <w:r>
        <w:rPr>
          <w:rFonts w:eastAsia="仿宋_GB2312"/>
          <w:snapToGrid w:val="0"/>
          <w:kern w:val="0"/>
          <w:sz w:val="32"/>
        </w:rPr>
        <w:t>的基本流程，组织评审工作，等额推荐获奖学生，</w:t>
      </w:r>
      <w:r>
        <w:rPr>
          <w:rFonts w:hint="eastAsia" w:eastAsia="仿宋_GB2312"/>
          <w:snapToGrid w:val="0"/>
          <w:kern w:val="0"/>
          <w:sz w:val="32"/>
        </w:rPr>
        <w:t>并</w:t>
      </w:r>
      <w:r>
        <w:rPr>
          <w:rFonts w:eastAsia="仿宋_GB2312"/>
          <w:snapToGrid w:val="0"/>
          <w:kern w:val="0"/>
          <w:sz w:val="32"/>
        </w:rPr>
        <w:t>在全校范围内公示不少</w:t>
      </w:r>
      <w:r>
        <w:rPr>
          <w:rFonts w:hint="eastAsia" w:ascii="仿宋_GB2312" w:hAnsi="仿宋_GB2312" w:eastAsia="仿宋_GB2312" w:cs="仿宋_GB2312"/>
          <w:snapToGrid w:val="0"/>
          <w:kern w:val="0"/>
          <w:sz w:val="32"/>
        </w:rPr>
        <w:t>于5</w:t>
      </w:r>
      <w:r>
        <w:rPr>
          <w:rFonts w:eastAsia="仿宋_GB2312"/>
          <w:snapToGrid w:val="0"/>
          <w:kern w:val="0"/>
          <w:sz w:val="32"/>
        </w:rPr>
        <w:t>个工作日。</w:t>
      </w:r>
    </w:p>
    <w:p w14:paraId="566C85E8">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eastAsia="仿宋_GB2312"/>
          <w:snapToGrid w:val="0"/>
          <w:kern w:val="0"/>
          <w:sz w:val="32"/>
        </w:rPr>
      </w:pPr>
      <w:r>
        <w:rPr>
          <w:rFonts w:hint="eastAsia" w:ascii="黑体" w:hAnsi="黑体" w:eastAsia="黑体" w:cs="黑体"/>
          <w:snapToGrid w:val="0"/>
          <w:kern w:val="0"/>
          <w:sz w:val="32"/>
        </w:rPr>
        <w:t xml:space="preserve">第八条  </w:t>
      </w:r>
      <w:r>
        <w:rPr>
          <w:rFonts w:eastAsia="仿宋_GB2312"/>
          <w:snapToGrid w:val="0"/>
          <w:kern w:val="0"/>
          <w:sz w:val="32"/>
        </w:rPr>
        <w:t>驻济高校</w:t>
      </w:r>
      <w:r>
        <w:rPr>
          <w:rFonts w:hint="eastAsia" w:ascii="仿宋_GB2312" w:hAnsi="仿宋_GB2312" w:eastAsia="仿宋_GB2312" w:cs="仿宋_GB2312"/>
          <w:snapToGrid w:val="0"/>
          <w:kern w:val="0"/>
          <w:sz w:val="32"/>
        </w:rPr>
        <w:t>通过济南市学生资助管理网的“济南市学生资助管理信息系</w:t>
      </w:r>
      <w:r>
        <w:rPr>
          <w:rFonts w:eastAsia="仿宋_GB2312"/>
          <w:snapToGrid w:val="0"/>
          <w:kern w:val="0"/>
          <w:sz w:val="32"/>
        </w:rPr>
        <w:t>统</w:t>
      </w:r>
      <w:r>
        <w:rPr>
          <w:rFonts w:hint="eastAsia" w:eastAsia="仿宋_GB2312"/>
          <w:snapToGrid w:val="0"/>
          <w:kern w:val="0"/>
          <w:sz w:val="32"/>
        </w:rPr>
        <w:t>”</w:t>
      </w:r>
      <w:r>
        <w:rPr>
          <w:rFonts w:eastAsia="仿宋_GB2312"/>
          <w:snapToGrid w:val="0"/>
          <w:kern w:val="0"/>
          <w:sz w:val="32"/>
        </w:rPr>
        <w:t>下</w:t>
      </w:r>
      <w:r>
        <w:rPr>
          <w:rFonts w:hint="eastAsia" w:eastAsia="仿宋_GB2312"/>
          <w:snapToGrid w:val="0"/>
          <w:kern w:val="0"/>
          <w:sz w:val="32"/>
        </w:rPr>
        <w:t>“</w:t>
      </w:r>
      <w:r>
        <w:rPr>
          <w:rFonts w:eastAsia="仿宋_GB2312"/>
          <w:snapToGrid w:val="0"/>
          <w:kern w:val="0"/>
          <w:sz w:val="32"/>
        </w:rPr>
        <w:t>奖助学金</w:t>
      </w:r>
      <w:r>
        <w:rPr>
          <w:rFonts w:hint="eastAsia" w:eastAsia="仿宋_GB2312"/>
          <w:snapToGrid w:val="0"/>
          <w:kern w:val="0"/>
          <w:sz w:val="32"/>
        </w:rPr>
        <w:t>”</w:t>
      </w:r>
      <w:r>
        <w:rPr>
          <w:rFonts w:eastAsia="仿宋_GB2312"/>
          <w:snapToGrid w:val="0"/>
          <w:kern w:val="0"/>
          <w:sz w:val="32"/>
        </w:rPr>
        <w:t>模块报送</w:t>
      </w:r>
      <w:r>
        <w:rPr>
          <w:rFonts w:hint="eastAsia" w:eastAsia="仿宋_GB2312"/>
          <w:snapToGrid w:val="0"/>
          <w:kern w:val="0"/>
          <w:sz w:val="32"/>
        </w:rPr>
        <w:t>济南奖学金</w:t>
      </w:r>
      <w:r>
        <w:rPr>
          <w:rFonts w:eastAsia="仿宋_GB2312"/>
          <w:snapToGrid w:val="0"/>
          <w:kern w:val="0"/>
          <w:sz w:val="32"/>
        </w:rPr>
        <w:t>评审情况报告、《</w:t>
      </w:r>
      <w:r>
        <w:rPr>
          <w:rFonts w:hint="eastAsia" w:eastAsia="仿宋_GB2312"/>
          <w:snapToGrid w:val="0"/>
          <w:kern w:val="0"/>
          <w:sz w:val="32"/>
        </w:rPr>
        <w:t>济南奖学金</w:t>
      </w:r>
      <w:r>
        <w:rPr>
          <w:rFonts w:eastAsia="仿宋_GB2312"/>
          <w:snapToGrid w:val="0"/>
          <w:kern w:val="0"/>
          <w:sz w:val="32"/>
        </w:rPr>
        <w:t>申请审批表》《</w:t>
      </w:r>
      <w:r>
        <w:rPr>
          <w:rFonts w:hint="eastAsia" w:eastAsia="仿宋_GB2312"/>
          <w:snapToGrid w:val="0"/>
          <w:kern w:val="0"/>
          <w:sz w:val="32"/>
        </w:rPr>
        <w:t>济南奖学金</w:t>
      </w:r>
      <w:r>
        <w:rPr>
          <w:rFonts w:eastAsia="仿宋_GB2312"/>
          <w:snapToGrid w:val="0"/>
          <w:kern w:val="0"/>
          <w:sz w:val="32"/>
        </w:rPr>
        <w:t>获奖学生汇总表》、获奖学生相关证明材料（证明材料须由学校审核后加盖学校公章）。</w:t>
      </w:r>
    </w:p>
    <w:p w14:paraId="311B60B9">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仿宋_GB2312" w:hAnsi="仿宋_GB2312" w:eastAsia="仿宋_GB2312" w:cs="仿宋_GB2312"/>
          <w:snapToGrid w:val="0"/>
          <w:kern w:val="0"/>
          <w:sz w:val="32"/>
        </w:rPr>
      </w:pPr>
      <w:r>
        <w:rPr>
          <w:rFonts w:hint="eastAsia" w:ascii="黑体" w:hAnsi="黑体" w:eastAsia="黑体" w:cs="黑体"/>
          <w:snapToGrid w:val="0"/>
          <w:kern w:val="0"/>
          <w:sz w:val="32"/>
        </w:rPr>
        <w:t xml:space="preserve">第九条  </w:t>
      </w:r>
      <w:r>
        <w:rPr>
          <w:rFonts w:eastAsia="仿宋_GB2312"/>
          <w:snapToGrid w:val="0"/>
          <w:kern w:val="0"/>
          <w:sz w:val="32"/>
        </w:rPr>
        <w:t>市教育局会同相关部门成立评审委员会，对</w:t>
      </w:r>
      <w:r>
        <w:rPr>
          <w:rFonts w:hint="eastAsia" w:eastAsia="仿宋_GB2312"/>
          <w:snapToGrid w:val="0"/>
          <w:kern w:val="0"/>
          <w:sz w:val="32"/>
        </w:rPr>
        <w:t>驻济</w:t>
      </w:r>
      <w:r>
        <w:rPr>
          <w:rFonts w:eastAsia="仿宋_GB2312"/>
          <w:snapToGrid w:val="0"/>
          <w:kern w:val="0"/>
          <w:sz w:val="32"/>
        </w:rPr>
        <w:t>高校初评上报材料进行复评，</w:t>
      </w:r>
      <w:r>
        <w:rPr>
          <w:rFonts w:hint="eastAsia" w:eastAsia="仿宋_GB2312"/>
          <w:snapToGrid w:val="0"/>
          <w:kern w:val="0"/>
          <w:sz w:val="32"/>
        </w:rPr>
        <w:t>确定</w:t>
      </w:r>
      <w:r>
        <w:rPr>
          <w:rFonts w:eastAsia="仿宋_GB2312"/>
          <w:snapToGrid w:val="0"/>
          <w:kern w:val="0"/>
          <w:sz w:val="32"/>
        </w:rPr>
        <w:t>拟获</w:t>
      </w:r>
      <w:r>
        <w:rPr>
          <w:rFonts w:hint="eastAsia" w:eastAsia="仿宋_GB2312"/>
          <w:snapToGrid w:val="0"/>
          <w:kern w:val="0"/>
          <w:sz w:val="32"/>
        </w:rPr>
        <w:t>济南奖学金奖学生</w:t>
      </w:r>
      <w:r>
        <w:rPr>
          <w:rFonts w:eastAsia="仿宋_GB2312"/>
          <w:snapToGrid w:val="0"/>
          <w:kern w:val="0"/>
          <w:sz w:val="32"/>
        </w:rPr>
        <w:t>名单</w:t>
      </w:r>
      <w:r>
        <w:rPr>
          <w:rFonts w:hint="eastAsia" w:eastAsia="仿宋_GB2312"/>
          <w:snapToGrid w:val="0"/>
          <w:kern w:val="0"/>
          <w:sz w:val="32"/>
        </w:rPr>
        <w:t>。在济南奖学金获奖学生中</w:t>
      </w:r>
      <w:r>
        <w:rPr>
          <w:rFonts w:hint="eastAsia" w:ascii="仿宋_GB2312" w:hAnsi="仿宋_GB2312" w:eastAsia="仿宋_GB2312" w:cs="仿宋_GB2312"/>
          <w:snapToGrid w:val="0"/>
          <w:kern w:val="0"/>
          <w:sz w:val="32"/>
          <w:szCs w:val="32"/>
        </w:rPr>
        <w:t>遴选</w:t>
      </w:r>
      <w:r>
        <w:rPr>
          <w:rFonts w:hint="eastAsia" w:ascii="仿宋_GB2312" w:hAnsi="仿宋_GB2312" w:eastAsia="仿宋_GB2312" w:cs="仿宋_GB2312"/>
          <w:snapToGrid w:val="0"/>
          <w:kern w:val="0"/>
          <w:sz w:val="32"/>
        </w:rPr>
        <w:t>10-20</w:t>
      </w:r>
      <w:r>
        <w:rPr>
          <w:rFonts w:hint="eastAsia" w:eastAsia="仿宋_GB2312"/>
          <w:snapToGrid w:val="0"/>
          <w:kern w:val="0"/>
          <w:sz w:val="32"/>
        </w:rPr>
        <w:t>名</w:t>
      </w:r>
      <w:r>
        <w:rPr>
          <w:rFonts w:hint="eastAsia" w:ascii="仿宋_GB2312" w:hAnsi="仿宋_GB2312" w:eastAsia="仿宋_GB2312" w:cs="仿宋_GB2312"/>
          <w:snapToGrid w:val="0"/>
          <w:kern w:val="0"/>
          <w:sz w:val="32"/>
        </w:rPr>
        <w:t>“济南奖学金菁英奖”获得者，“济南奖学金菁英奖”实施细则另行制定。</w:t>
      </w:r>
    </w:p>
    <w:p w14:paraId="27693EDE">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eastAsia="仿宋_GB2312"/>
          <w:snapToGrid w:val="0"/>
          <w:kern w:val="0"/>
          <w:sz w:val="32"/>
        </w:rPr>
      </w:pPr>
      <w:r>
        <w:rPr>
          <w:rFonts w:hint="eastAsia" w:ascii="黑体" w:hAnsi="黑体" w:eastAsia="黑体" w:cs="黑体"/>
          <w:snapToGrid w:val="0"/>
          <w:kern w:val="0"/>
          <w:sz w:val="32"/>
        </w:rPr>
        <w:t xml:space="preserve">第十条  </w:t>
      </w:r>
      <w:r>
        <w:rPr>
          <w:rFonts w:eastAsia="仿宋_GB2312"/>
          <w:snapToGrid w:val="0"/>
          <w:kern w:val="0"/>
          <w:sz w:val="32"/>
        </w:rPr>
        <w:t>市</w:t>
      </w:r>
      <w:r>
        <w:rPr>
          <w:rFonts w:hint="eastAsia" w:eastAsia="仿宋_GB2312"/>
          <w:snapToGrid w:val="0"/>
          <w:kern w:val="0"/>
          <w:sz w:val="32"/>
        </w:rPr>
        <w:t>教育局</w:t>
      </w:r>
      <w:r>
        <w:rPr>
          <w:rFonts w:eastAsia="仿宋_GB2312"/>
          <w:snapToGrid w:val="0"/>
          <w:kern w:val="0"/>
          <w:sz w:val="32"/>
        </w:rPr>
        <w:t>根据</w:t>
      </w:r>
      <w:r>
        <w:rPr>
          <w:rFonts w:hint="eastAsia" w:eastAsia="仿宋_GB2312"/>
          <w:snapToGrid w:val="0"/>
          <w:kern w:val="0"/>
          <w:sz w:val="32"/>
        </w:rPr>
        <w:t>济南奖学金</w:t>
      </w:r>
      <w:r>
        <w:rPr>
          <w:rFonts w:eastAsia="仿宋_GB2312"/>
          <w:snapToGrid w:val="0"/>
          <w:kern w:val="0"/>
          <w:sz w:val="32"/>
        </w:rPr>
        <w:t>实际获奖人数</w:t>
      </w:r>
      <w:r>
        <w:rPr>
          <w:rFonts w:hint="eastAsia" w:eastAsia="仿宋_GB2312"/>
          <w:snapToGrid w:val="0"/>
          <w:kern w:val="0"/>
          <w:sz w:val="32"/>
        </w:rPr>
        <w:t>，</w:t>
      </w:r>
      <w:r>
        <w:rPr>
          <w:rFonts w:eastAsia="仿宋_GB2312"/>
          <w:snapToGrid w:val="0"/>
          <w:kern w:val="0"/>
          <w:sz w:val="32"/>
        </w:rPr>
        <w:t>将</w:t>
      </w:r>
      <w:r>
        <w:rPr>
          <w:rFonts w:hint="eastAsia" w:eastAsia="仿宋_GB2312"/>
          <w:snapToGrid w:val="0"/>
          <w:kern w:val="0"/>
          <w:sz w:val="32"/>
        </w:rPr>
        <w:t>奖学金</w:t>
      </w:r>
      <w:r>
        <w:rPr>
          <w:rFonts w:eastAsia="仿宋_GB2312"/>
          <w:snapToGrid w:val="0"/>
          <w:kern w:val="0"/>
          <w:sz w:val="32"/>
        </w:rPr>
        <w:t>一次性发放</w:t>
      </w:r>
      <w:r>
        <w:rPr>
          <w:rFonts w:hint="eastAsia" w:eastAsia="仿宋_GB2312"/>
          <w:snapToGrid w:val="0"/>
          <w:kern w:val="0"/>
          <w:sz w:val="32"/>
        </w:rPr>
        <w:t>至驻济高校账户。驻济高校需在</w:t>
      </w:r>
      <w:r>
        <w:rPr>
          <w:rFonts w:hint="eastAsia" w:ascii="仿宋_GB2312" w:hAnsi="仿宋_GB2312" w:eastAsia="仿宋_GB2312" w:cs="仿宋_GB2312"/>
          <w:snapToGrid w:val="0"/>
          <w:kern w:val="0"/>
          <w:sz w:val="32"/>
        </w:rPr>
        <w:t>5</w:t>
      </w:r>
      <w:r>
        <w:rPr>
          <w:rFonts w:hint="eastAsia" w:eastAsia="仿宋_GB2312"/>
          <w:snapToGrid w:val="0"/>
          <w:kern w:val="0"/>
          <w:sz w:val="32"/>
        </w:rPr>
        <w:t>日内将奖学金发放至</w:t>
      </w:r>
      <w:r>
        <w:rPr>
          <w:rFonts w:eastAsia="仿宋_GB2312"/>
          <w:snapToGrid w:val="0"/>
          <w:kern w:val="0"/>
          <w:sz w:val="32"/>
        </w:rPr>
        <w:t>获奖学生</w:t>
      </w:r>
      <w:r>
        <w:rPr>
          <w:rFonts w:hint="eastAsia" w:eastAsia="仿宋_GB2312"/>
          <w:snapToGrid w:val="0"/>
          <w:kern w:val="0"/>
          <w:sz w:val="32"/>
        </w:rPr>
        <w:t>个</w:t>
      </w:r>
      <w:r>
        <w:rPr>
          <w:rFonts w:eastAsia="仿宋_GB2312"/>
          <w:snapToGrid w:val="0"/>
          <w:kern w:val="0"/>
          <w:sz w:val="32"/>
        </w:rPr>
        <w:t>人账户</w:t>
      </w:r>
      <w:r>
        <w:rPr>
          <w:rFonts w:hint="eastAsia" w:eastAsia="仿宋_GB2312"/>
          <w:snapToGrid w:val="0"/>
          <w:kern w:val="0"/>
          <w:sz w:val="32"/>
        </w:rPr>
        <w:t>，并将发放凭证报市教育局</w:t>
      </w:r>
      <w:r>
        <w:rPr>
          <w:rFonts w:eastAsia="仿宋_GB2312"/>
          <w:snapToGrid w:val="0"/>
          <w:kern w:val="0"/>
          <w:sz w:val="32"/>
        </w:rPr>
        <w:t>。</w:t>
      </w:r>
    </w:p>
    <w:p w14:paraId="70CDB0B4">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eastAsia="仿宋_GB2312"/>
          <w:snapToGrid w:val="0"/>
          <w:kern w:val="0"/>
          <w:sz w:val="32"/>
        </w:rPr>
      </w:pPr>
      <w:r>
        <w:rPr>
          <w:rFonts w:hint="eastAsia" w:ascii="黑体" w:hAnsi="黑体" w:eastAsia="黑体" w:cs="黑体"/>
          <w:snapToGrid w:val="0"/>
          <w:kern w:val="0"/>
          <w:sz w:val="32"/>
        </w:rPr>
        <w:t xml:space="preserve">第十一条  </w:t>
      </w:r>
      <w:r>
        <w:rPr>
          <w:rFonts w:eastAsia="仿宋_GB2312"/>
          <w:snapToGrid w:val="0"/>
          <w:kern w:val="0"/>
          <w:sz w:val="32"/>
        </w:rPr>
        <w:t>举行</w:t>
      </w:r>
      <w:r>
        <w:rPr>
          <w:rFonts w:hint="eastAsia" w:eastAsia="仿宋_GB2312"/>
          <w:snapToGrid w:val="0"/>
          <w:kern w:val="0"/>
          <w:sz w:val="32"/>
        </w:rPr>
        <w:t>济南奖学金</w:t>
      </w:r>
      <w:r>
        <w:rPr>
          <w:rFonts w:eastAsia="仿宋_GB2312"/>
          <w:snapToGrid w:val="0"/>
          <w:kern w:val="0"/>
          <w:sz w:val="32"/>
        </w:rPr>
        <w:t>颁奖仪式，颁发奖励证书。驻济高校应将该奖项记入学生学籍档案。</w:t>
      </w:r>
    </w:p>
    <w:p w14:paraId="3521A3C0">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eastAsia="仿宋_GB2312"/>
          <w:snapToGrid w:val="0"/>
          <w:kern w:val="0"/>
          <w:sz w:val="32"/>
        </w:rPr>
      </w:pPr>
      <w:r>
        <w:rPr>
          <w:rFonts w:hint="eastAsia" w:ascii="黑体" w:hAnsi="黑体" w:eastAsia="黑体" w:cs="黑体"/>
          <w:snapToGrid w:val="0"/>
          <w:kern w:val="0"/>
          <w:sz w:val="32"/>
        </w:rPr>
        <w:t>第十二条</w:t>
      </w:r>
      <w:r>
        <w:rPr>
          <w:rFonts w:hint="eastAsia" w:eastAsia="仿宋_GB2312"/>
          <w:snapToGrid w:val="0"/>
          <w:color w:val="0000FF"/>
          <w:kern w:val="0"/>
          <w:sz w:val="32"/>
        </w:rPr>
        <w:t xml:space="preserve">  </w:t>
      </w:r>
      <w:r>
        <w:rPr>
          <w:rFonts w:eastAsia="仿宋_GB2312"/>
          <w:snapToGrid w:val="0"/>
          <w:kern w:val="0"/>
          <w:sz w:val="32"/>
        </w:rPr>
        <w:t>组建</w:t>
      </w:r>
      <w:r>
        <w:rPr>
          <w:rFonts w:hint="eastAsia" w:eastAsia="仿宋_GB2312"/>
          <w:snapToGrid w:val="0"/>
          <w:kern w:val="0"/>
          <w:sz w:val="32"/>
        </w:rPr>
        <w:t>济南奖学金</w:t>
      </w:r>
      <w:r>
        <w:rPr>
          <w:rFonts w:eastAsia="仿宋_GB2312"/>
          <w:snapToGrid w:val="0"/>
          <w:kern w:val="0"/>
          <w:sz w:val="32"/>
        </w:rPr>
        <w:t>获奖学子事迹报告团，到我市</w:t>
      </w:r>
      <w:r>
        <w:rPr>
          <w:rFonts w:hint="eastAsia" w:eastAsia="仿宋_GB2312"/>
          <w:snapToGrid w:val="0"/>
          <w:kern w:val="0"/>
          <w:sz w:val="32"/>
        </w:rPr>
        <w:t>大</w:t>
      </w:r>
      <w:r>
        <w:rPr>
          <w:rFonts w:eastAsia="仿宋_GB2312"/>
          <w:snapToGrid w:val="0"/>
          <w:kern w:val="0"/>
          <w:sz w:val="32"/>
        </w:rPr>
        <w:t>中小学巡回报告，激发学生学习热情和热爱济南的情感。</w:t>
      </w:r>
    </w:p>
    <w:p w14:paraId="7F1B7ED2">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eastAsia="仿宋_GB2312"/>
          <w:snapToGrid w:val="0"/>
          <w:kern w:val="0"/>
          <w:sz w:val="32"/>
        </w:rPr>
      </w:pPr>
      <w:r>
        <w:rPr>
          <w:rFonts w:hint="eastAsia" w:ascii="黑体" w:hAnsi="黑体" w:eastAsia="黑体" w:cs="黑体"/>
          <w:snapToGrid w:val="0"/>
          <w:kern w:val="0"/>
          <w:sz w:val="32"/>
        </w:rPr>
        <w:t xml:space="preserve">第十三条  </w:t>
      </w:r>
      <w:r>
        <w:rPr>
          <w:rFonts w:eastAsia="仿宋_GB2312"/>
          <w:snapToGrid w:val="0"/>
          <w:kern w:val="0"/>
          <w:sz w:val="32"/>
        </w:rPr>
        <w:t>驻济高校要严格遵守本办法各项规定，坚决杜绝暗箱操作、轮流坐庄、截留、挪用、盘剥克扣等违规违纪行为，违者将按照相关规定严肃处理，并在下一学年下达奖学金指标时适当调减其指标名额。</w:t>
      </w:r>
    </w:p>
    <w:p w14:paraId="64C7A88C">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eastAsia="仿宋_GB2312"/>
          <w:snapToGrid w:val="0"/>
          <w:kern w:val="0"/>
          <w:sz w:val="32"/>
        </w:rPr>
      </w:pPr>
      <w:r>
        <w:rPr>
          <w:rFonts w:hint="eastAsia" w:ascii="黑体" w:hAnsi="黑体" w:eastAsia="黑体" w:cs="黑体"/>
          <w:snapToGrid w:val="0"/>
          <w:kern w:val="0"/>
          <w:sz w:val="32"/>
        </w:rPr>
        <w:t xml:space="preserve">第十四条  </w:t>
      </w:r>
      <w:r>
        <w:rPr>
          <w:rFonts w:eastAsia="仿宋_GB2312"/>
          <w:snapToGrid w:val="0"/>
          <w:kern w:val="0"/>
          <w:sz w:val="32"/>
        </w:rPr>
        <w:t>本办法</w:t>
      </w:r>
      <w:r>
        <w:rPr>
          <w:rFonts w:hint="eastAsia" w:eastAsia="仿宋_GB2312"/>
          <w:snapToGrid w:val="0"/>
          <w:kern w:val="0"/>
          <w:sz w:val="32"/>
        </w:rPr>
        <w:t>由市教育局负责解释</w:t>
      </w:r>
      <w:r>
        <w:rPr>
          <w:rFonts w:eastAsia="仿宋_GB2312"/>
          <w:snapToGrid w:val="0"/>
          <w:kern w:val="0"/>
          <w:sz w:val="32"/>
        </w:rPr>
        <w:t>。</w:t>
      </w:r>
    </w:p>
    <w:p w14:paraId="39FC6250">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eastAsia="仿宋_GB2312"/>
          <w:snapToGrid w:val="0"/>
          <w:kern w:val="0"/>
          <w:sz w:val="32"/>
        </w:rPr>
      </w:pPr>
      <w:r>
        <w:rPr>
          <w:rFonts w:hint="eastAsia" w:ascii="黑体" w:hAnsi="黑体" w:eastAsia="黑体" w:cs="黑体"/>
          <w:snapToGrid w:val="0"/>
          <w:kern w:val="0"/>
          <w:sz w:val="32"/>
        </w:rPr>
        <w:t xml:space="preserve">第十五条  </w:t>
      </w:r>
      <w:r>
        <w:rPr>
          <w:rFonts w:eastAsia="仿宋_GB2312"/>
          <w:snapToGrid w:val="0"/>
          <w:kern w:val="0"/>
          <w:sz w:val="32"/>
        </w:rPr>
        <w:t>本办法自公布之日起施行</w:t>
      </w:r>
      <w:r>
        <w:rPr>
          <w:rFonts w:hint="eastAsia" w:eastAsia="仿宋_GB2312"/>
          <w:snapToGrid w:val="0"/>
          <w:kern w:val="0"/>
          <w:sz w:val="32"/>
        </w:rPr>
        <w:t>，原《济南“泉城奖学金”实施办法》同步废止</w:t>
      </w:r>
      <w:r>
        <w:rPr>
          <w:rFonts w:eastAsia="仿宋_GB2312"/>
          <w:snapToGrid w:val="0"/>
          <w:kern w:val="0"/>
          <w:sz w:val="32"/>
        </w:rPr>
        <w:t>。</w:t>
      </w:r>
    </w:p>
    <w:p w14:paraId="11AE7BDC">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eastAsia="仿宋_GB2312"/>
          <w:snapToGrid w:val="0"/>
          <w:kern w:val="0"/>
          <w:sz w:val="32"/>
        </w:rPr>
      </w:pPr>
    </w:p>
    <w:p w14:paraId="04EE2FFF">
      <w:pPr>
        <w:spacing w:line="600" w:lineRule="exact"/>
        <w:rPr>
          <w:rFonts w:hint="eastAsia" w:ascii="方正小标宋简体" w:hAnsi="方正小标宋简体" w:eastAsia="方正小标宋简体" w:cs="方正小标宋简体"/>
          <w:sz w:val="44"/>
          <w:szCs w:val="44"/>
        </w:rPr>
      </w:pPr>
    </w:p>
    <w:p w14:paraId="3EDC74AC">
      <w:pPr>
        <w:spacing w:line="600" w:lineRule="exact"/>
        <w:rPr>
          <w:rFonts w:hint="eastAsia" w:ascii="方正小标宋简体" w:hAnsi="方正小标宋简体" w:eastAsia="方正小标宋简体" w:cs="方正小标宋简体"/>
          <w:sz w:val="44"/>
          <w:szCs w:val="44"/>
        </w:rPr>
      </w:pPr>
    </w:p>
    <w:p w14:paraId="7B727163">
      <w:pPr>
        <w:spacing w:line="600" w:lineRule="exact"/>
        <w:rPr>
          <w:rFonts w:hint="eastAsia" w:ascii="方正小标宋简体" w:hAnsi="方正小标宋简体" w:eastAsia="方正小标宋简体" w:cs="方正小标宋简体"/>
          <w:sz w:val="44"/>
          <w:szCs w:val="44"/>
        </w:rPr>
      </w:pPr>
    </w:p>
    <w:p w14:paraId="20F24CCF">
      <w:pPr>
        <w:spacing w:line="600" w:lineRule="exact"/>
        <w:rPr>
          <w:rFonts w:hint="eastAsia" w:ascii="方正小标宋简体" w:hAnsi="方正小标宋简体" w:eastAsia="方正小标宋简体" w:cs="方正小标宋简体"/>
          <w:sz w:val="44"/>
          <w:szCs w:val="44"/>
        </w:rPr>
      </w:pPr>
    </w:p>
    <w:p w14:paraId="340F87A0">
      <w:pPr>
        <w:spacing w:line="600" w:lineRule="exact"/>
        <w:rPr>
          <w:rFonts w:hint="eastAsia" w:ascii="方正小标宋简体" w:hAnsi="方正小标宋简体" w:eastAsia="方正小标宋简体" w:cs="方正小标宋简体"/>
          <w:sz w:val="44"/>
          <w:szCs w:val="44"/>
        </w:rPr>
      </w:pPr>
    </w:p>
    <w:p w14:paraId="31464D12">
      <w:pPr>
        <w:spacing w:line="600" w:lineRule="exact"/>
        <w:rPr>
          <w:rFonts w:hint="eastAsia" w:ascii="方正小标宋简体" w:hAnsi="方正小标宋简体" w:eastAsia="方正小标宋简体" w:cs="方正小标宋简体"/>
          <w:sz w:val="44"/>
          <w:szCs w:val="44"/>
        </w:rPr>
      </w:pPr>
    </w:p>
    <w:p w14:paraId="6DC50FE3">
      <w:pPr>
        <w:spacing w:line="600" w:lineRule="exact"/>
        <w:rPr>
          <w:rFonts w:hint="eastAsia" w:ascii="方正小标宋简体" w:hAnsi="方正小标宋简体" w:eastAsia="方正小标宋简体" w:cs="方正小标宋简体"/>
          <w:sz w:val="44"/>
          <w:szCs w:val="44"/>
        </w:rPr>
      </w:pPr>
    </w:p>
    <w:p w14:paraId="13FD6284">
      <w:pPr>
        <w:spacing w:line="600" w:lineRule="exact"/>
        <w:rPr>
          <w:rFonts w:hint="eastAsia" w:ascii="方正小标宋简体" w:hAnsi="方正小标宋简体" w:eastAsia="方正小标宋简体" w:cs="方正小标宋简体"/>
          <w:sz w:val="44"/>
          <w:szCs w:val="44"/>
        </w:rPr>
      </w:pPr>
    </w:p>
    <w:p w14:paraId="4D5BF3DC">
      <w:pPr>
        <w:spacing w:line="600" w:lineRule="exact"/>
        <w:rPr>
          <w:rFonts w:hint="eastAsia" w:ascii="方正小标宋简体" w:hAnsi="方正小标宋简体" w:eastAsia="方正小标宋简体" w:cs="方正小标宋简体"/>
          <w:sz w:val="44"/>
          <w:szCs w:val="44"/>
        </w:rPr>
      </w:pPr>
    </w:p>
    <w:p w14:paraId="115477AC">
      <w:pPr>
        <w:spacing w:line="600" w:lineRule="exact"/>
        <w:rPr>
          <w:rFonts w:hint="eastAsia" w:ascii="方正小标宋简体" w:hAnsi="方正小标宋简体" w:eastAsia="方正小标宋简体" w:cs="方正小标宋简体"/>
          <w:sz w:val="44"/>
          <w:szCs w:val="44"/>
        </w:rPr>
      </w:pPr>
    </w:p>
    <w:p w14:paraId="3560FAEC">
      <w:pPr>
        <w:spacing w:line="600" w:lineRule="exact"/>
        <w:rPr>
          <w:rFonts w:hint="eastAsia" w:ascii="方正小标宋简体" w:hAnsi="方正小标宋简体" w:eastAsia="方正小标宋简体" w:cs="方正小标宋简体"/>
          <w:sz w:val="44"/>
          <w:szCs w:val="44"/>
        </w:rPr>
      </w:pPr>
    </w:p>
    <w:p w14:paraId="7D33FF15">
      <w:pPr>
        <w:spacing w:line="600" w:lineRule="exact"/>
        <w:rPr>
          <w:rFonts w:hint="eastAsia" w:ascii="方正小标宋简体" w:hAnsi="方正小标宋简体" w:eastAsia="方正小标宋简体" w:cs="方正小标宋简体"/>
          <w:sz w:val="44"/>
          <w:szCs w:val="44"/>
        </w:rPr>
      </w:pPr>
    </w:p>
    <w:p w14:paraId="41FE399D">
      <w:pPr>
        <w:spacing w:line="600" w:lineRule="exact"/>
        <w:rPr>
          <w:rFonts w:hint="eastAsia" w:ascii="方正小标宋简体" w:hAnsi="方正小标宋简体" w:eastAsia="方正小标宋简体" w:cs="方正小标宋简体"/>
          <w:sz w:val="44"/>
          <w:szCs w:val="44"/>
        </w:rPr>
      </w:pPr>
    </w:p>
    <w:p w14:paraId="60A065CD">
      <w:pPr>
        <w:spacing w:line="600" w:lineRule="exact"/>
        <w:rPr>
          <w:rFonts w:hint="eastAsia" w:ascii="方正小标宋简体" w:hAnsi="方正小标宋简体" w:eastAsia="方正小标宋简体" w:cs="方正小标宋简体"/>
          <w:sz w:val="44"/>
          <w:szCs w:val="44"/>
        </w:rPr>
      </w:pPr>
    </w:p>
    <w:p w14:paraId="69106BA7">
      <w:pPr>
        <w:spacing w:line="600" w:lineRule="exact"/>
        <w:rPr>
          <w:rFonts w:hint="eastAsia" w:ascii="方正小标宋简体" w:hAnsi="方正小标宋简体" w:eastAsia="方正小标宋简体" w:cs="方正小标宋简体"/>
          <w:sz w:val="44"/>
          <w:szCs w:val="44"/>
        </w:rPr>
      </w:pPr>
    </w:p>
    <w:p w14:paraId="31D4BCF3">
      <w:pPr>
        <w:spacing w:line="600" w:lineRule="exact"/>
        <w:rPr>
          <w:rFonts w:hint="eastAsia" w:ascii="方正小标宋简体" w:hAnsi="方正小标宋简体" w:eastAsia="方正小标宋简体" w:cs="方正小标宋简体"/>
          <w:sz w:val="44"/>
          <w:szCs w:val="44"/>
        </w:rPr>
      </w:pPr>
    </w:p>
    <w:p w14:paraId="4FE5C83B">
      <w:pPr>
        <w:spacing w:line="600" w:lineRule="exact"/>
        <w:rPr>
          <w:rFonts w:hint="eastAsia" w:ascii="方正小标宋简体" w:hAnsi="方正小标宋简体" w:eastAsia="方正小标宋简体" w:cs="方正小标宋简体"/>
          <w:sz w:val="44"/>
          <w:szCs w:val="44"/>
        </w:rPr>
      </w:pPr>
    </w:p>
    <w:p w14:paraId="669D3BEB">
      <w:pPr>
        <w:spacing w:line="600" w:lineRule="exact"/>
        <w:rPr>
          <w:rFonts w:hint="eastAsia" w:ascii="方正小标宋简体" w:hAnsi="方正小标宋简体" w:eastAsia="方正小标宋简体" w:cs="方正小标宋简体"/>
          <w:sz w:val="44"/>
          <w:szCs w:val="44"/>
        </w:rPr>
      </w:pPr>
    </w:p>
    <w:p w14:paraId="326F8CA8">
      <w:pPr>
        <w:spacing w:line="600" w:lineRule="exact"/>
        <w:rPr>
          <w:rFonts w:hint="eastAsia" w:ascii="方正小标宋简体" w:hAnsi="方正小标宋简体" w:eastAsia="方正小标宋简体" w:cs="方正小标宋简体"/>
          <w:sz w:val="44"/>
          <w:szCs w:val="44"/>
        </w:rPr>
      </w:pPr>
    </w:p>
    <w:p w14:paraId="322C522F">
      <w:pPr>
        <w:spacing w:line="600" w:lineRule="exact"/>
        <w:rPr>
          <w:rFonts w:hint="eastAsia" w:ascii="方正小标宋简体" w:hAnsi="方正小标宋简体" w:eastAsia="方正小标宋简体" w:cs="方正小标宋简体"/>
          <w:sz w:val="44"/>
          <w:szCs w:val="44"/>
        </w:rPr>
      </w:pPr>
    </w:p>
    <w:p w14:paraId="71E00071">
      <w:pPr>
        <w:spacing w:line="600" w:lineRule="exact"/>
        <w:rPr>
          <w:rFonts w:hint="eastAsia" w:ascii="方正小标宋简体" w:hAnsi="方正小标宋简体" w:eastAsia="方正小标宋简体" w:cs="方正小标宋简体"/>
          <w:sz w:val="44"/>
          <w:szCs w:val="44"/>
        </w:rPr>
      </w:pPr>
    </w:p>
    <w:p w14:paraId="7DD30FD0">
      <w:pPr>
        <w:spacing w:line="780" w:lineRule="exact"/>
        <w:rPr>
          <w:rFonts w:hint="eastAsia" w:ascii="方正小标宋简体" w:hAnsi="方正小标宋简体" w:eastAsia="方正小标宋简体" w:cs="方正小标宋简体"/>
          <w:sz w:val="44"/>
          <w:szCs w:val="44"/>
        </w:rPr>
      </w:pPr>
    </w:p>
    <w:p w14:paraId="36FD2BC4">
      <w:pPr>
        <w:spacing w:line="780" w:lineRule="exact"/>
        <w:rPr>
          <w:rFonts w:hint="eastAsia" w:ascii="方正小标宋简体" w:hAnsi="方正小标宋简体" w:eastAsia="方正小标宋简体" w:cs="方正小标宋简体"/>
          <w:sz w:val="44"/>
          <w:szCs w:val="44"/>
        </w:rPr>
      </w:pPr>
    </w:p>
    <w:p w14:paraId="3960A81C">
      <w:pPr>
        <w:spacing w:line="600" w:lineRule="exact"/>
        <w:rPr>
          <w:rFonts w:hint="eastAsia" w:ascii="方正小标宋简体" w:hAnsi="方正小标宋简体" w:eastAsia="方正小标宋简体" w:cs="方正小标宋简体"/>
          <w:sz w:val="44"/>
          <w:szCs w:val="44"/>
        </w:rPr>
      </w:pPr>
    </w:p>
    <w:p w14:paraId="25152945">
      <w:pPr>
        <w:spacing w:line="600" w:lineRule="exact"/>
        <w:rPr>
          <w:rFonts w:hint="eastAsia" w:ascii="方正小标宋简体" w:hAnsi="方正小标宋简体" w:eastAsia="方正小标宋简体" w:cs="方正小标宋简体"/>
          <w:sz w:val="44"/>
          <w:szCs w:val="44"/>
        </w:rPr>
      </w:pPr>
    </w:p>
    <w:p w14:paraId="5D394153">
      <w:pPr>
        <w:spacing w:line="600" w:lineRule="exact"/>
        <w:rPr>
          <w:rFonts w:hint="eastAsia" w:ascii="方正小标宋简体" w:hAnsi="方正小标宋简体" w:eastAsia="方正小标宋简体" w:cs="方正小标宋简体"/>
          <w:sz w:val="44"/>
          <w:szCs w:val="44"/>
        </w:rPr>
      </w:pPr>
    </w:p>
    <w:p w14:paraId="6AEE3622">
      <w:pPr>
        <w:spacing w:line="600" w:lineRule="exact"/>
        <w:rPr>
          <w:rFonts w:hint="eastAsia" w:ascii="方正小标宋简体" w:hAnsi="方正小标宋简体" w:eastAsia="方正小标宋简体" w:cs="方正小标宋简体"/>
          <w:sz w:val="44"/>
          <w:szCs w:val="44"/>
        </w:rPr>
      </w:pPr>
    </w:p>
    <w:p w14:paraId="70F3C3B5">
      <w:pPr>
        <w:spacing w:line="600" w:lineRule="exact"/>
        <w:rPr>
          <w:rFonts w:hint="eastAsia" w:ascii="方正小标宋简体" w:hAnsi="方正小标宋简体" w:eastAsia="方正小标宋简体" w:cs="方正小标宋简体"/>
          <w:sz w:val="44"/>
          <w:szCs w:val="44"/>
        </w:rPr>
      </w:pPr>
    </w:p>
    <w:p w14:paraId="4AF9FC8A">
      <w:pPr>
        <w:spacing w:line="600" w:lineRule="exact"/>
        <w:rPr>
          <w:rFonts w:hint="eastAsia" w:ascii="方正小标宋简体" w:hAnsi="方正小标宋简体" w:eastAsia="方正小标宋简体" w:cs="方正小标宋简体"/>
          <w:sz w:val="44"/>
          <w:szCs w:val="44"/>
        </w:rPr>
      </w:pPr>
    </w:p>
    <w:p w14:paraId="040163C9">
      <w:pPr>
        <w:spacing w:line="600" w:lineRule="exact"/>
        <w:rPr>
          <w:rFonts w:hint="eastAsia" w:ascii="方正小标宋简体" w:hAnsi="方正小标宋简体" w:eastAsia="方正小标宋简体" w:cs="方正小标宋简体"/>
          <w:sz w:val="44"/>
          <w:szCs w:val="44"/>
        </w:rPr>
      </w:pPr>
    </w:p>
    <w:p w14:paraId="019A618B">
      <w:pPr>
        <w:spacing w:line="600" w:lineRule="exact"/>
        <w:rPr>
          <w:rFonts w:hint="eastAsia" w:ascii="仿宋_GB2312" w:hAnsi="仿宋_GB2312" w:eastAsia="仿宋_GB2312" w:cs="仿宋_GB2312"/>
          <w:sz w:val="32"/>
          <w:szCs w:val="32"/>
        </w:rPr>
      </w:pPr>
    </w:p>
    <w:p w14:paraId="6AE54064">
      <w:pPr>
        <w:spacing w:line="580" w:lineRule="exact"/>
        <w:ind w:firstLine="320" w:firstLineChars="100"/>
        <w:rPr>
          <w:rFonts w:ascii="仿宋_GB2312" w:hAnsi="仿宋" w:eastAsia="仿宋_GB2312"/>
          <w:spacing w:val="-4"/>
          <w:sz w:val="28"/>
          <w:szCs w:val="28"/>
        </w:rPr>
      </w:pPr>
      <w:r>
        <w:rPr>
          <w:rFonts w:hint="eastAsia" w:ascii="仿宋_GB2312" w:hAnsi="仿宋_GB2312" w:eastAsia="仿宋_GB2312" w:cs="仿宋_GB2312"/>
          <w:sz w:val="32"/>
          <w:szCs w:val="32"/>
        </w:rPr>
        <mc:AlternateContent>
          <mc:Choice Requires="wps">
            <w:drawing>
              <wp:anchor distT="0" distB="0" distL="114300" distR="114300" simplePos="0" relativeHeight="251662336" behindDoc="0" locked="0" layoutInCell="1" allowOverlap="1">
                <wp:simplePos x="0" y="0"/>
                <wp:positionH relativeFrom="column">
                  <wp:posOffset>-2540</wp:posOffset>
                </wp:positionH>
                <wp:positionV relativeFrom="paragraph">
                  <wp:posOffset>50165</wp:posOffset>
                </wp:positionV>
                <wp:extent cx="5615940" cy="0"/>
                <wp:effectExtent l="0" t="6350" r="10160" b="6350"/>
                <wp:wrapNone/>
                <wp:docPr id="8" name="直接连接符 8"/>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2pt;margin-top:3.95pt;height:0pt;width:442.2pt;z-index:251662336;mso-width-relative:page;mso-height-relative:page;" filled="f" stroked="t" coordsize="21600,21600" o:gfxdata="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G7+xQ&#10;1AAAAAUBAAAPAAAAAAAAAAEAIAAAACIAAABkcnMvZG93bnJldi54bWxQSwECFAAUAAAACACHTuJA&#10;6xsIz+wBAADZAwAADgAAAAAAAAABACAAAAAjAQAAZHJzL2Uyb0RvYy54bWxQSwUGAAAAAAYABgBZ&#10;AQAAgQUAAAAA&#10;">
                <v:fill on="f" focussize="0,0"/>
                <v:stroke weight="1pt" color="#000000" joinstyle="round"/>
                <v:imagedata o:title=""/>
                <o:lock v:ext="edit" aspectratio="f"/>
              </v:line>
            </w:pict>
          </mc:Fallback>
        </mc:AlternateContent>
      </w:r>
      <w:r>
        <w:rPr>
          <w:rFonts w:hint="eastAsia" w:ascii="仿宋_GB2312" w:hAnsi="仿宋" w:eastAsia="仿宋_GB2312"/>
          <w:spacing w:val="-4"/>
          <w:sz w:val="28"/>
          <w:szCs w:val="28"/>
        </w:rPr>
        <w:t>抄送：驻济部属、省属高校</w:t>
      </w:r>
    </w:p>
    <w:p w14:paraId="2166ACB3">
      <w:pPr>
        <w:tabs>
          <w:tab w:val="left" w:pos="9020"/>
        </w:tabs>
        <w:adjustRightInd w:val="0"/>
        <w:snapToGrid w:val="0"/>
        <w:spacing w:line="600" w:lineRule="exact"/>
        <w:ind w:right="210" w:rightChars="100"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17780</wp:posOffset>
                </wp:positionH>
                <wp:positionV relativeFrom="paragraph">
                  <wp:posOffset>405765</wp:posOffset>
                </wp:positionV>
                <wp:extent cx="5615940" cy="0"/>
                <wp:effectExtent l="0" t="6350" r="10160" b="6350"/>
                <wp:wrapNone/>
                <wp:docPr id="7" name="直接连接符 7"/>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4pt;margin-top:31.95pt;height:0pt;width:442.2pt;z-index:251660288;mso-width-relative:page;mso-height-relative:page;" filled="f" stroked="t" coordsize="21600,21600" o:gfxdata="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P&#10;ewIW1gAAAAcBAAAPAAAAAAAAAAEAIAAAACIAAABkcnMvZG93bnJldi54bWxQSwECFAAUAAAACACH&#10;TuJA1wnrH+0BAADZAwAADgAAAAAAAAABACAAAAAlAQAAZHJzL2Uyb0RvYy54bWxQSwUGAAAAAAYA&#10;BgBZAQAAhAUAAAAA&#10;">
                <v:fill on="f" focussize="0,0"/>
                <v:stroke weight="1pt" color="#000000" joinstyle="round"/>
                <v:imagedata o:title=""/>
                <o:lock v:ext="edit" aspectratio="f"/>
              </v:line>
            </w:pict>
          </mc:Fallback>
        </mc:AlternateContent>
      </w:r>
      <w:r>
        <w:rPr>
          <w:rFonts w:hint="eastAsia" w:ascii="仿宋_GB2312" w:hAnsi="仿宋" w:eastAsia="仿宋_GB2312"/>
          <w:spacing w:val="-4"/>
          <w:sz w:val="28"/>
          <w:szCs w:val="28"/>
        </w:rPr>
        <mc:AlternateContent>
          <mc:Choice Requires="wps">
            <w:drawing>
              <wp:anchor distT="0" distB="0" distL="114300" distR="114300" simplePos="0" relativeHeight="251661312" behindDoc="0" locked="0" layoutInCell="1" allowOverlap="1">
                <wp:simplePos x="0" y="0"/>
                <wp:positionH relativeFrom="column">
                  <wp:posOffset>3987800</wp:posOffset>
                </wp:positionH>
                <wp:positionV relativeFrom="paragraph">
                  <wp:posOffset>845820</wp:posOffset>
                </wp:positionV>
                <wp:extent cx="1495425" cy="379095"/>
                <wp:effectExtent l="5080" t="4445" r="10795" b="1016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1495425" cy="379095"/>
                        </a:xfrm>
                        <a:prstGeom prst="rect">
                          <a:avLst/>
                        </a:prstGeom>
                        <a:solidFill>
                          <a:srgbClr val="FFFFFF"/>
                        </a:solidFill>
                        <a:ln w="9525">
                          <a:solidFill>
                            <a:srgbClr val="FFFFFF"/>
                          </a:solidFill>
                          <a:miter lim="8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14pt;margin-top:66.6pt;height:29.85pt;width:117.75pt;z-index:251661312;mso-width-relative:page;mso-height-relative:page;" fillcolor="#FFFFFF" filled="t" stroked="t" coordsize="21600,21600" o:gfxdata="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XdTNI2QAAAAsBAAAPAAAAAAAAAAEAIAAAACIAAABkcnMvZG93bnJldi54bWxQSwEC&#10;FAAUAAAACACHTuJALXjl+ywCAABvBAAADgAAAAAAAAABACAAAAAoAQAAZHJzL2Uyb0RvYy54bWxQ&#10;SwUGAAAAAAYABgBZAQAAxgUAAAAA&#10;">
                <v:fill on="t" focussize="0,0"/>
                <v:stroke color="#FFFFFF" miterlimit="8" joinstyle="miter"/>
                <v:imagedata o:title=""/>
                <o:lock v:ext="edit" aspectratio="f"/>
              </v:rect>
            </w:pict>
          </mc:Fallback>
        </mc:AlternateContent>
      </w:r>
      <w:r>
        <w:rPr>
          <w:rFonts w:hint="eastAsia" w:ascii="仿宋_GB2312" w:hAnsi="仿宋" w:eastAsia="仿宋_GB2312"/>
          <w:spacing w:val="-4"/>
          <w:sz w:val="28"/>
          <w:szCs w:val="28"/>
        </w:rPr>
        <w:t>济南市教育局办公室                   2024年10月30日印发</w:t>
      </w:r>
      <w:r>
        <w:rPr>
          <w:rFonts w:hint="eastAsia" w:ascii="仿宋_GB2312" w:hAnsi="仿宋_GB2312" w:eastAsia="仿宋_GB2312" w:cs="仿宋_GB2312"/>
          <w:sz w:val="32"/>
          <w:szCs w:val="32"/>
        </w:rPr>
        <mc:AlternateContent>
          <mc:Choice Requires="wps">
            <w:drawing>
              <wp:anchor distT="0" distB="0" distL="114300" distR="114300" simplePos="0" relativeHeight="251663360" behindDoc="0" locked="0" layoutInCell="1" allowOverlap="1">
                <wp:simplePos x="0" y="0"/>
                <wp:positionH relativeFrom="column">
                  <wp:posOffset>17780</wp:posOffset>
                </wp:positionH>
                <wp:positionV relativeFrom="paragraph">
                  <wp:posOffset>22225</wp:posOffset>
                </wp:positionV>
                <wp:extent cx="5615940" cy="0"/>
                <wp:effectExtent l="0" t="4445" r="0" b="5080"/>
                <wp:wrapNone/>
                <wp:docPr id="10" name="直接连接符 10"/>
                <wp:cNvGraphicFramePr/>
                <a:graphic xmlns:a="http://schemas.openxmlformats.org/drawingml/2006/main">
                  <a:graphicData uri="http://schemas.microsoft.com/office/word/2010/wordprocessingShape">
                    <wps:wsp>
                      <wps:cNvCnPr/>
                      <wps:spPr>
                        <a:xfrm>
                          <a:off x="0" y="0"/>
                          <a:ext cx="5615940" cy="0"/>
                        </a:xfrm>
                        <a:prstGeom prst="line">
                          <a:avLst/>
                        </a:prstGeom>
                        <a:ln w="63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4pt;margin-top:1.75pt;height:0pt;width:442.2pt;z-index:251663360;mso-width-relative:page;mso-height-relative:page;" filled="f" stroked="t" coordsize="21600,21600" o:gfxdata="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n0badtIA&#10;AAAFAQAADwAAAAAAAAABACAAAAAiAAAAZHJzL2Rvd25yZXYueG1sUEsBAhQAFAAAAAgAh07iQPv6&#10;0UXsAQAA2gMAAA4AAAAAAAAAAQAgAAAAIQEAAGRycy9lMm9Eb2MueG1sUEsFBgAAAAAGAAYAWQEA&#10;AH8FAAAAAA==&#10;">
                <v:fill on="f" focussize="0,0"/>
                <v:stroke weight="0.5pt" color="#000000" joinstyle="round"/>
                <v:imagedata o:title=""/>
                <o:lock v:ext="edit" aspectratio="f"/>
              </v:line>
            </w:pict>
          </mc:Fallback>
        </mc:AlternateContent>
      </w:r>
    </w:p>
    <w:p w14:paraId="0553DF7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5MTczZjRmZTcwYjBlODljN2U1MTE2NGMzZDQ3YjIifQ=="/>
  </w:docVars>
  <w:rsids>
    <w:rsidRoot w:val="00000000"/>
    <w:rsid w:val="3CEF65DD"/>
    <w:rsid w:val="67FA0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1905</Words>
  <Characters>1971</Characters>
  <Lines>0</Lines>
  <Paragraphs>0</Paragraphs>
  <TotalTime>0</TotalTime>
  <ScaleCrop>false</ScaleCrop>
  <LinksUpToDate>false</LinksUpToDate>
  <CharactersWithSpaces>2063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2024-11-01T13:11:00Z</dcterms:created>
  <dc:creator>lenovo</dc:creator>
  <cp:lastModifiedBy>汐鸥</cp:lastModifiedBy>
  <dcterms:modified xsi:type="dcterms:W3CDTF">2024-11-04T01:59:06Z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7486C0DAA49E4CFDA866D3ECBFE0740E_12</vt:lpwstr>
  </property>
</Properties>
</file>