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800" w:lineRule="exact"/>
        <w:ind w:left="839"/>
        <w:jc w:val="center"/>
        <w:rPr>
          <w:rFonts w:ascii="黑体" w:hAnsi="黑体" w:eastAsia="黑体" w:cs="黑体"/>
          <w:kern w:val="0"/>
          <w:sz w:val="32"/>
          <w:szCs w:val="24"/>
        </w:rPr>
      </w:pPr>
    </w:p>
    <w:p>
      <w:pPr>
        <w:autoSpaceDE w:val="0"/>
        <w:autoSpaceDN w:val="0"/>
        <w:spacing w:line="800" w:lineRule="exact"/>
        <w:ind w:left="839"/>
        <w:jc w:val="center"/>
        <w:rPr>
          <w:rFonts w:ascii="黑体" w:hAnsi="黑体" w:eastAsia="黑体" w:cs="黑体"/>
          <w:kern w:val="0"/>
          <w:sz w:val="32"/>
          <w:szCs w:val="24"/>
        </w:rPr>
      </w:pPr>
    </w:p>
    <w:p>
      <w:pPr>
        <w:spacing w:line="580" w:lineRule="exact"/>
        <w:jc w:val="center"/>
        <w:rPr>
          <w:rFonts w:ascii="方正小标宋简体" w:hAnsi="方正小标宋简体" w:eastAsia="方正小标宋简体" w:cs="方正小标宋简体"/>
          <w:color w:val="000000"/>
          <w:sz w:val="44"/>
          <w:szCs w:val="44"/>
        </w:rPr>
      </w:pPr>
    </w:p>
    <w:p>
      <w:pPr>
        <w:spacing w:line="58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2023年山东传媒职业学院技能大赛</w:t>
      </w:r>
    </w:p>
    <w:p>
      <w:pPr>
        <w:spacing w:line="58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“物联网技术应用”赛项规程</w:t>
      </w:r>
    </w:p>
    <w:p>
      <w:pPr>
        <w:autoSpaceDE w:val="0"/>
        <w:autoSpaceDN w:val="0"/>
        <w:snapToGrid w:val="0"/>
        <w:spacing w:line="243" w:lineRule="atLeast"/>
        <w:jc w:val="center"/>
        <w:rPr>
          <w:rFonts w:ascii="宋体" w:hAnsi="宋体" w:eastAsia="宋体" w:cs="宋体"/>
          <w:kern w:val="0"/>
          <w:sz w:val="22"/>
        </w:rPr>
      </w:pPr>
    </w:p>
    <w:p>
      <w:pPr>
        <w:autoSpaceDE w:val="0"/>
        <w:autoSpaceDN w:val="0"/>
        <w:snapToGrid w:val="0"/>
        <w:spacing w:line="243" w:lineRule="atLeast"/>
        <w:jc w:val="center"/>
        <w:rPr>
          <w:rFonts w:ascii="宋体" w:hAnsi="宋体" w:eastAsia="宋体" w:cs="宋体"/>
          <w:kern w:val="0"/>
          <w:sz w:val="22"/>
        </w:rPr>
      </w:pPr>
    </w:p>
    <w:p>
      <w:pPr>
        <w:autoSpaceDE w:val="0"/>
        <w:autoSpaceDN w:val="0"/>
        <w:snapToGrid w:val="0"/>
        <w:spacing w:line="243" w:lineRule="atLeast"/>
        <w:jc w:val="center"/>
        <w:rPr>
          <w:rFonts w:ascii="宋体" w:hAnsi="宋体" w:eastAsia="宋体" w:cs="宋体"/>
          <w:kern w:val="0"/>
          <w:sz w:val="22"/>
        </w:rPr>
      </w:pPr>
    </w:p>
    <w:p>
      <w:pPr>
        <w:autoSpaceDE w:val="0"/>
        <w:autoSpaceDN w:val="0"/>
        <w:snapToGrid w:val="0"/>
        <w:spacing w:line="243" w:lineRule="atLeast"/>
        <w:jc w:val="center"/>
        <w:rPr>
          <w:rFonts w:ascii="宋体" w:hAnsi="宋体" w:eastAsia="宋体" w:cs="宋体"/>
          <w:kern w:val="0"/>
          <w:sz w:val="22"/>
        </w:rPr>
      </w:pPr>
    </w:p>
    <w:p>
      <w:pPr>
        <w:autoSpaceDE w:val="0"/>
        <w:autoSpaceDN w:val="0"/>
        <w:snapToGrid w:val="0"/>
        <w:spacing w:line="243" w:lineRule="atLeast"/>
        <w:jc w:val="center"/>
        <w:rPr>
          <w:rFonts w:ascii="宋体" w:hAnsi="宋体" w:eastAsia="宋体" w:cs="宋体"/>
          <w:kern w:val="0"/>
          <w:sz w:val="22"/>
        </w:rPr>
      </w:pPr>
    </w:p>
    <w:p>
      <w:pPr>
        <w:autoSpaceDE w:val="0"/>
        <w:autoSpaceDN w:val="0"/>
        <w:spacing w:before="100" w:beforeAutospacing="1" w:after="100" w:afterAutospacing="1"/>
        <w:jc w:val="left"/>
        <w:outlineLvl w:val="2"/>
        <w:rPr>
          <w:rFonts w:ascii="宋体" w:hAnsi="宋体" w:eastAsia="宋体" w:cs="Times New Roman"/>
          <w:b/>
          <w:kern w:val="0"/>
          <w:sz w:val="27"/>
          <w:szCs w:val="27"/>
        </w:rPr>
      </w:pPr>
    </w:p>
    <w:p>
      <w:pPr>
        <w:autoSpaceDE w:val="0"/>
        <w:autoSpaceDN w:val="0"/>
        <w:jc w:val="left"/>
        <w:rPr>
          <w:rFonts w:ascii="宋体" w:hAnsi="宋体" w:eastAsia="宋体" w:cs="宋体"/>
          <w:kern w:val="0"/>
          <w:sz w:val="22"/>
        </w:rPr>
      </w:pPr>
    </w:p>
    <w:p>
      <w:pPr>
        <w:autoSpaceDE w:val="0"/>
        <w:autoSpaceDN w:val="0"/>
        <w:spacing w:before="100" w:beforeAutospacing="1" w:after="100" w:afterAutospacing="1"/>
        <w:jc w:val="left"/>
        <w:outlineLvl w:val="2"/>
        <w:rPr>
          <w:rFonts w:ascii="宋体" w:hAnsi="宋体" w:eastAsia="宋体" w:cs="Times New Roman"/>
          <w:b/>
          <w:kern w:val="0"/>
          <w:sz w:val="27"/>
          <w:szCs w:val="27"/>
        </w:rPr>
      </w:pPr>
    </w:p>
    <w:p>
      <w:pPr>
        <w:autoSpaceDE w:val="0"/>
        <w:autoSpaceDN w:val="0"/>
        <w:jc w:val="left"/>
        <w:rPr>
          <w:rFonts w:ascii="宋体" w:hAnsi="宋体" w:eastAsia="宋体" w:cs="宋体"/>
          <w:kern w:val="0"/>
          <w:sz w:val="22"/>
        </w:rPr>
      </w:pPr>
    </w:p>
    <w:p>
      <w:pPr>
        <w:autoSpaceDE w:val="0"/>
        <w:autoSpaceDN w:val="0"/>
        <w:jc w:val="left"/>
        <w:rPr>
          <w:rFonts w:ascii="宋体" w:hAnsi="宋体" w:eastAsia="宋体" w:cs="宋体"/>
          <w:kern w:val="0"/>
          <w:sz w:val="22"/>
        </w:rPr>
      </w:pPr>
    </w:p>
    <w:p>
      <w:pPr>
        <w:autoSpaceDE w:val="0"/>
        <w:autoSpaceDN w:val="0"/>
        <w:snapToGrid w:val="0"/>
        <w:spacing w:line="243" w:lineRule="atLeast"/>
        <w:jc w:val="center"/>
        <w:rPr>
          <w:rFonts w:ascii="宋体" w:hAnsi="宋体" w:eastAsia="宋体" w:cs="宋体"/>
          <w:kern w:val="0"/>
          <w:sz w:val="22"/>
        </w:rPr>
      </w:pPr>
    </w:p>
    <w:p>
      <w:pPr>
        <w:autoSpaceDE w:val="0"/>
        <w:autoSpaceDN w:val="0"/>
        <w:snapToGrid w:val="0"/>
        <w:spacing w:line="243" w:lineRule="atLeast"/>
        <w:jc w:val="center"/>
        <w:rPr>
          <w:rFonts w:ascii="宋体" w:hAnsi="宋体" w:eastAsia="宋体" w:cs="宋体"/>
          <w:kern w:val="0"/>
          <w:sz w:val="22"/>
        </w:rPr>
      </w:pPr>
    </w:p>
    <w:p>
      <w:pPr>
        <w:autoSpaceDE w:val="0"/>
        <w:autoSpaceDN w:val="0"/>
        <w:spacing w:line="800" w:lineRule="exact"/>
        <w:ind w:left="839"/>
        <w:jc w:val="left"/>
        <w:rPr>
          <w:rFonts w:ascii="黑体" w:hAnsi="黑体" w:eastAsia="黑体" w:cs="黑体"/>
          <w:kern w:val="0"/>
          <w:sz w:val="32"/>
          <w:szCs w:val="24"/>
          <w:u w:val="single"/>
        </w:rPr>
      </w:pPr>
      <w:r>
        <w:rPr>
          <w:rFonts w:hint="eastAsia" w:ascii="黑体" w:hAnsi="黑体" w:eastAsia="黑体" w:cs="黑体"/>
          <w:kern w:val="0"/>
          <w:sz w:val="32"/>
          <w:szCs w:val="24"/>
        </w:rPr>
        <w:t>赛项名称：</w:t>
      </w:r>
      <w:r>
        <w:rPr>
          <w:rFonts w:hint="eastAsia" w:ascii="黑体" w:hAnsi="黑体" w:eastAsia="黑体" w:cs="黑体"/>
          <w:kern w:val="0"/>
          <w:sz w:val="32"/>
          <w:szCs w:val="24"/>
          <w:u w:val="single"/>
        </w:rPr>
        <w:t xml:space="preserve">     物联网技术应用 </w:t>
      </w:r>
      <w:r>
        <w:rPr>
          <w:rFonts w:ascii="黑体" w:hAnsi="黑体" w:eastAsia="黑体" w:cs="黑体"/>
          <w:kern w:val="0"/>
          <w:sz w:val="32"/>
          <w:szCs w:val="24"/>
          <w:u w:val="single"/>
        </w:rPr>
        <w:t xml:space="preserve"> </w:t>
      </w:r>
      <w:r>
        <w:rPr>
          <w:rFonts w:hint="eastAsia" w:ascii="黑体" w:hAnsi="黑体" w:eastAsia="黑体" w:cs="黑体"/>
          <w:kern w:val="0"/>
          <w:sz w:val="32"/>
          <w:szCs w:val="24"/>
          <w:u w:val="single"/>
        </w:rPr>
        <w:t xml:space="preserve">         </w:t>
      </w:r>
    </w:p>
    <w:p>
      <w:pPr>
        <w:autoSpaceDE w:val="0"/>
        <w:autoSpaceDN w:val="0"/>
        <w:spacing w:line="800" w:lineRule="exact"/>
        <w:ind w:left="839"/>
        <w:jc w:val="left"/>
        <w:rPr>
          <w:rFonts w:ascii="黑体" w:hAnsi="黑体" w:eastAsia="黑体" w:cs="黑体"/>
          <w:kern w:val="0"/>
          <w:sz w:val="32"/>
          <w:szCs w:val="24"/>
        </w:rPr>
      </w:pPr>
      <w:r>
        <w:rPr>
          <w:rFonts w:hint="eastAsia" w:ascii="黑体" w:hAnsi="黑体" w:eastAsia="黑体" w:cs="黑体"/>
          <w:kern w:val="0"/>
          <w:sz w:val="32"/>
          <w:szCs w:val="24"/>
        </w:rPr>
        <w:t>英文名称：</w:t>
      </w:r>
      <w:r>
        <w:rPr>
          <w:rFonts w:hint="eastAsia" w:ascii="黑体" w:hAnsi="黑体" w:eastAsia="黑体" w:cs="黑体"/>
          <w:kern w:val="0"/>
          <w:sz w:val="32"/>
          <w:szCs w:val="24"/>
          <w:u w:val="single"/>
        </w:rPr>
        <w:t xml:space="preserve"> </w:t>
      </w:r>
      <w:r>
        <w:rPr>
          <w:rFonts w:ascii="黑体" w:hAnsi="黑体" w:eastAsia="黑体" w:cs="黑体"/>
          <w:kern w:val="0"/>
          <w:sz w:val="32"/>
          <w:szCs w:val="24"/>
          <w:u w:val="single"/>
        </w:rPr>
        <w:t xml:space="preserve"> I</w:t>
      </w:r>
      <w:r>
        <w:rPr>
          <w:rFonts w:hint="eastAsia" w:ascii="黑体" w:hAnsi="黑体" w:eastAsia="黑体" w:cs="黑体"/>
          <w:kern w:val="0"/>
          <w:sz w:val="32"/>
          <w:szCs w:val="24"/>
          <w:u w:val="single"/>
        </w:rPr>
        <w:t>oT</w:t>
      </w:r>
      <w:r>
        <w:rPr>
          <w:rFonts w:ascii="黑体" w:hAnsi="黑体" w:eastAsia="黑体" w:cs="黑体"/>
          <w:kern w:val="0"/>
          <w:sz w:val="32"/>
          <w:szCs w:val="24"/>
          <w:u w:val="single"/>
        </w:rPr>
        <w:t xml:space="preserve"> </w:t>
      </w:r>
      <w:r>
        <w:rPr>
          <w:rFonts w:hint="eastAsia" w:ascii="黑体" w:hAnsi="黑体" w:eastAsia="黑体" w:cs="黑体"/>
          <w:kern w:val="0"/>
          <w:sz w:val="32"/>
          <w:szCs w:val="24"/>
          <w:u w:val="single"/>
        </w:rPr>
        <w:t>T</w:t>
      </w:r>
      <w:r>
        <w:rPr>
          <w:rFonts w:ascii="黑体" w:hAnsi="黑体" w:eastAsia="黑体" w:cs="黑体"/>
          <w:kern w:val="0"/>
          <w:sz w:val="32"/>
          <w:szCs w:val="24"/>
          <w:u w:val="single"/>
        </w:rPr>
        <w:t xml:space="preserve">echnology </w:t>
      </w:r>
      <w:r>
        <w:rPr>
          <w:rFonts w:hint="eastAsia" w:ascii="黑体" w:hAnsi="黑体" w:eastAsia="黑体" w:cs="黑体"/>
          <w:kern w:val="0"/>
          <w:sz w:val="32"/>
          <w:szCs w:val="24"/>
          <w:u w:val="single"/>
        </w:rPr>
        <w:t>A</w:t>
      </w:r>
      <w:r>
        <w:rPr>
          <w:rFonts w:ascii="黑体" w:hAnsi="黑体" w:eastAsia="黑体" w:cs="黑体"/>
          <w:kern w:val="0"/>
          <w:sz w:val="32"/>
          <w:szCs w:val="24"/>
          <w:u w:val="single"/>
        </w:rPr>
        <w:t>pplication</w:t>
      </w:r>
      <w:r>
        <w:rPr>
          <w:rFonts w:hint="eastAsia" w:ascii="黑体" w:hAnsi="黑体" w:eastAsia="黑体" w:cs="黑体"/>
          <w:kern w:val="0"/>
          <w:sz w:val="32"/>
          <w:szCs w:val="24"/>
          <w:u w:val="single"/>
        </w:rPr>
        <w:t xml:space="preserve">  </w:t>
      </w:r>
    </w:p>
    <w:p>
      <w:pPr>
        <w:autoSpaceDE w:val="0"/>
        <w:autoSpaceDN w:val="0"/>
        <w:spacing w:line="800" w:lineRule="exact"/>
        <w:ind w:left="839"/>
        <w:jc w:val="left"/>
        <w:rPr>
          <w:rFonts w:ascii="黑体" w:hAnsi="黑体" w:eastAsia="黑体" w:cs="黑体"/>
          <w:kern w:val="0"/>
          <w:sz w:val="32"/>
          <w:szCs w:val="24"/>
        </w:rPr>
      </w:pPr>
      <w:r>
        <w:rPr>
          <w:rFonts w:hint="eastAsia" w:ascii="黑体" w:hAnsi="黑体" w:eastAsia="黑体" w:cs="黑体"/>
          <w:kern w:val="0"/>
          <w:sz w:val="32"/>
          <w:szCs w:val="24"/>
        </w:rPr>
        <w:t>赛项组别：</w:t>
      </w:r>
      <w:r>
        <w:rPr>
          <w:rFonts w:hint="eastAsia" w:ascii="黑体" w:hAnsi="黑体" w:eastAsia="黑体" w:cs="黑体"/>
          <w:kern w:val="0"/>
          <w:sz w:val="32"/>
          <w:szCs w:val="24"/>
          <w:u w:val="single"/>
        </w:rPr>
        <w:t xml:space="preserve">      高等职业教育            </w:t>
      </w:r>
    </w:p>
    <w:p>
      <w:pPr>
        <w:autoSpaceDE w:val="0"/>
        <w:autoSpaceDN w:val="0"/>
        <w:spacing w:line="800" w:lineRule="exact"/>
        <w:ind w:left="839"/>
        <w:jc w:val="left"/>
        <w:rPr>
          <w:rFonts w:ascii="黑体" w:hAnsi="黑体" w:eastAsia="黑体" w:cs="黑体"/>
          <w:kern w:val="0"/>
          <w:sz w:val="32"/>
          <w:szCs w:val="24"/>
        </w:rPr>
      </w:pPr>
      <w:r>
        <w:rPr>
          <w:rFonts w:hint="eastAsia" w:ascii="黑体" w:hAnsi="黑体" w:eastAsia="黑体" w:cs="黑体"/>
          <w:kern w:val="0"/>
          <w:sz w:val="32"/>
          <w:szCs w:val="24"/>
        </w:rPr>
        <w:t>赛项编号：</w:t>
      </w:r>
      <w:r>
        <w:rPr>
          <w:rFonts w:hint="eastAsia" w:ascii="黑体" w:hAnsi="黑体" w:eastAsia="黑体" w:cs="黑体"/>
          <w:kern w:val="0"/>
          <w:sz w:val="32"/>
          <w:szCs w:val="24"/>
          <w:u w:val="single"/>
        </w:rPr>
        <w:t xml:space="preserve">          </w:t>
      </w:r>
      <w:r>
        <w:rPr>
          <w:rFonts w:hint="eastAsia" w:ascii="黑体" w:hAnsi="黑体" w:eastAsia="黑体" w:cs="黑体"/>
          <w:kern w:val="0"/>
          <w:sz w:val="32"/>
          <w:szCs w:val="24"/>
          <w:u w:val="single"/>
          <w:lang w:val="en-US" w:eastAsia="zh-CN"/>
        </w:rPr>
        <w:t>GZ038</w:t>
      </w:r>
      <w:r>
        <w:rPr>
          <w:rFonts w:hint="eastAsia" w:ascii="黑体" w:hAnsi="黑体" w:eastAsia="黑体" w:cs="黑体"/>
          <w:kern w:val="0"/>
          <w:sz w:val="32"/>
          <w:szCs w:val="24"/>
          <w:u w:val="single"/>
        </w:rPr>
        <w:t xml:space="preserve">               </w:t>
      </w:r>
    </w:p>
    <w:p>
      <w:pPr>
        <w:autoSpaceDE w:val="0"/>
        <w:autoSpaceDN w:val="0"/>
        <w:jc w:val="center"/>
        <w:rPr>
          <w:rFonts w:ascii="宋体" w:hAnsi="宋体" w:eastAsia="宋体" w:cs="宋体"/>
          <w:kern w:val="0"/>
          <w:sz w:val="30"/>
        </w:rPr>
      </w:pPr>
    </w:p>
    <w:p>
      <w:pPr>
        <w:autoSpaceDE w:val="0"/>
        <w:autoSpaceDN w:val="0"/>
        <w:jc w:val="center"/>
        <w:rPr>
          <w:rFonts w:ascii="宋体" w:hAnsi="宋体" w:eastAsia="宋体" w:cs="宋体"/>
          <w:kern w:val="0"/>
          <w:sz w:val="30"/>
        </w:rPr>
      </w:pPr>
    </w:p>
    <w:p>
      <w:pPr>
        <w:widowControl/>
        <w:autoSpaceDE w:val="0"/>
        <w:autoSpaceDN w:val="0"/>
        <w:jc w:val="left"/>
        <w:rPr>
          <w:rFonts w:ascii="黑体" w:hAnsi="宋体" w:eastAsia="黑体" w:cs="宋体"/>
          <w:kern w:val="0"/>
          <w:sz w:val="24"/>
        </w:rPr>
      </w:pPr>
    </w:p>
    <w:p>
      <w:pPr>
        <w:widowControl/>
        <w:autoSpaceDE w:val="0"/>
        <w:autoSpaceDN w:val="0"/>
        <w:jc w:val="left"/>
        <w:rPr>
          <w:rFonts w:ascii="黑体" w:hAnsi="宋体" w:eastAsia="黑体" w:cs="宋体"/>
          <w:kern w:val="0"/>
          <w:sz w:val="32"/>
        </w:rPr>
        <w:sectPr>
          <w:pgSz w:w="11906" w:h="16838"/>
          <w:pgMar w:top="1240" w:right="1800" w:bottom="1318" w:left="1800" w:header="851" w:footer="992" w:gutter="0"/>
          <w:pgNumType w:fmt="numberInDash"/>
          <w:cols w:space="425" w:num="1"/>
          <w:docGrid w:type="lines" w:linePitch="312" w:charSpace="0"/>
        </w:sectPr>
      </w:pPr>
    </w:p>
    <w:p>
      <w:pPr>
        <w:widowControl/>
        <w:autoSpaceDE w:val="0"/>
        <w:autoSpaceDN w:val="0"/>
        <w:jc w:val="left"/>
        <w:rPr>
          <w:rFonts w:ascii="宋体" w:hAnsi="宋体" w:eastAsia="仿宋_GB2312" w:cs="宋体"/>
          <w:kern w:val="0"/>
          <w:sz w:val="28"/>
        </w:rPr>
      </w:pPr>
      <w:r>
        <w:rPr>
          <w:rFonts w:hint="eastAsia" w:ascii="黑体" w:hAnsi="宋体" w:eastAsia="黑体" w:cs="宋体"/>
          <w:kern w:val="0"/>
          <w:sz w:val="32"/>
        </w:rPr>
        <w:t>一、赛项信息</w:t>
      </w:r>
    </w:p>
    <w:tbl>
      <w:tblPr>
        <w:tblStyle w:val="4"/>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1559"/>
        <w:gridCol w:w="993"/>
        <w:gridCol w:w="808"/>
        <w:gridCol w:w="4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780" w:type="dxa"/>
            <w:gridSpan w:val="5"/>
            <w:vAlign w:val="center"/>
          </w:tcPr>
          <w:p>
            <w:pPr>
              <w:autoSpaceDE w:val="0"/>
              <w:autoSpaceDN w:val="0"/>
              <w:adjustRightInd w:val="0"/>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b/>
                <w:kern w:val="0"/>
                <w:sz w:val="28"/>
                <w:szCs w:val="28"/>
              </w:rPr>
              <w:t>赛项类别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780" w:type="dxa"/>
            <w:gridSpan w:val="5"/>
            <w:vAlign w:val="center"/>
          </w:tcPr>
          <w:p>
            <w:pPr>
              <w:autoSpaceDE w:val="0"/>
              <w:autoSpaceDN w:val="0"/>
              <w:adjustRightInd w:val="0"/>
              <w:snapToGrid w:val="0"/>
              <w:jc w:val="center"/>
              <w:rPr>
                <w:rFonts w:ascii="仿宋_GB2312" w:hAnsi="仿宋_GB2312" w:eastAsia="仿宋_GB2312" w:cs="仿宋_GB2312"/>
                <w:kern w:val="0"/>
                <w:sz w:val="24"/>
                <w:szCs w:val="24"/>
              </w:rPr>
            </w:pPr>
            <w:r>
              <w:rPr>
                <w:rFonts w:ascii="Segoe UI Symbol" w:hAnsi="Segoe UI Symbol" w:eastAsia="仿宋_GB2312" w:cs="Segoe UI Symbol"/>
                <w:kern w:val="0"/>
                <w:sz w:val="24"/>
                <w:szCs w:val="24"/>
              </w:rPr>
              <w:t>☑</w:t>
            </w:r>
            <w:r>
              <w:rPr>
                <w:rFonts w:ascii="仿宋_GB2312" w:hAnsi="仿宋_GB2312" w:eastAsia="仿宋_GB2312" w:cs="仿宋_GB2312"/>
                <w:kern w:val="0"/>
                <w:sz w:val="24"/>
                <w:szCs w:val="24"/>
              </w:rPr>
              <w:t>每年</w:t>
            </w:r>
            <w:r>
              <w:rPr>
                <w:rFonts w:hint="eastAsia" w:ascii="仿宋_GB2312" w:hAnsi="仿宋_GB2312" w:eastAsia="仿宋_GB2312" w:cs="仿宋_GB2312"/>
                <w:kern w:val="0"/>
                <w:sz w:val="24"/>
                <w:szCs w:val="24"/>
              </w:rPr>
              <w:t xml:space="preserve">赛    </w:t>
            </w:r>
            <w:r>
              <w:rPr>
                <w:rFonts w:hint="eastAsia" w:ascii="仿宋_GB2312" w:hAnsi="仿宋_GB2312" w:eastAsia="仿宋_GB2312" w:cs="仿宋_GB2312"/>
                <w:kern w:val="0"/>
                <w:sz w:val="24"/>
                <w:szCs w:val="24"/>
              </w:rPr>
              <w:sym w:font="Wingdings 2" w:char="00A3"/>
            </w:r>
            <w:r>
              <w:rPr>
                <w:rFonts w:ascii="仿宋_GB2312" w:hAnsi="仿宋_GB2312" w:eastAsia="仿宋_GB2312" w:cs="仿宋_GB2312"/>
                <w:kern w:val="0"/>
                <w:sz w:val="24"/>
                <w:szCs w:val="24"/>
              </w:rPr>
              <w:t>隔年</w:t>
            </w:r>
            <w:r>
              <w:rPr>
                <w:rFonts w:hint="eastAsia" w:ascii="仿宋_GB2312" w:hAnsi="仿宋_GB2312" w:eastAsia="仿宋_GB2312" w:cs="仿宋_GB2312"/>
                <w:kern w:val="0"/>
                <w:sz w:val="24"/>
                <w:szCs w:val="24"/>
              </w:rPr>
              <w:t>赛</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sym w:font="Wingdings 2" w:char="00A3"/>
            </w:r>
            <w:r>
              <w:rPr>
                <w:rFonts w:ascii="仿宋_GB2312" w:hAnsi="仿宋_GB2312" w:eastAsia="仿宋_GB2312" w:cs="仿宋_GB2312"/>
                <w:kern w:val="0"/>
                <w:sz w:val="24"/>
                <w:szCs w:val="24"/>
              </w:rPr>
              <w:t>奇数年/</w:t>
            </w:r>
            <w:r>
              <w:rPr>
                <w:rFonts w:hint="eastAsia" w:ascii="仿宋_GB2312" w:hAnsi="仿宋_GB2312" w:eastAsia="仿宋_GB2312" w:cs="仿宋_GB2312"/>
                <w:kern w:val="0"/>
                <w:sz w:val="24"/>
                <w:szCs w:val="24"/>
              </w:rPr>
              <w:sym w:font="Wingdings 2" w:char="00A3"/>
            </w:r>
            <w:r>
              <w:rPr>
                <w:rFonts w:ascii="仿宋_GB2312" w:hAnsi="仿宋_GB2312" w:eastAsia="仿宋_GB2312" w:cs="仿宋_GB2312"/>
                <w:kern w:val="0"/>
                <w:sz w:val="24"/>
                <w:szCs w:val="24"/>
              </w:rPr>
              <w:t>偶数年）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780" w:type="dxa"/>
            <w:gridSpan w:val="5"/>
            <w:vAlign w:val="center"/>
          </w:tcPr>
          <w:p>
            <w:pPr>
              <w:autoSpaceDE w:val="0"/>
              <w:autoSpaceDN w:val="0"/>
              <w:adjustRightInd w:val="0"/>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b/>
                <w:kern w:val="0"/>
                <w:sz w:val="28"/>
                <w:szCs w:val="28"/>
              </w:rPr>
              <w:t>赛项组别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780" w:type="dxa"/>
            <w:gridSpan w:val="5"/>
            <w:vAlign w:val="center"/>
          </w:tcPr>
          <w:p>
            <w:pPr>
              <w:autoSpaceDE w:val="0"/>
              <w:autoSpaceDN w:val="0"/>
              <w:adjustRightInd w:val="0"/>
              <w:snapToGrid w:val="0"/>
              <w:jc w:val="center"/>
              <w:rPr>
                <w:rFonts w:ascii="仿宋_GB2312" w:hAnsi="仿宋_GB2312" w:eastAsia="仿宋_GB2312" w:cs="仿宋_GB2312"/>
                <w:b/>
                <w:kern w:val="0"/>
                <w:sz w:val="28"/>
                <w:szCs w:val="28"/>
              </w:rPr>
            </w:pPr>
            <w:r>
              <w:rPr>
                <w:rFonts w:hint="eastAsia" w:ascii="仿宋_GB2312" w:hAnsi="仿宋_GB2312" w:eastAsia="仿宋_GB2312" w:cs="仿宋_GB2312"/>
                <w:kern w:val="0"/>
                <w:sz w:val="24"/>
                <w:szCs w:val="24"/>
              </w:rPr>
              <w:t xml:space="preserve">□中等职业教育   </w:t>
            </w:r>
            <w:r>
              <w:rPr>
                <w:rFonts w:ascii="Segoe UI Symbol" w:hAnsi="Segoe UI Symbol" w:eastAsia="仿宋_GB2312" w:cs="Segoe UI Symbol"/>
                <w:kern w:val="0"/>
                <w:sz w:val="24"/>
                <w:szCs w:val="24"/>
              </w:rPr>
              <w:t>☑</w:t>
            </w:r>
            <w:r>
              <w:rPr>
                <w:rFonts w:hint="eastAsia" w:ascii="仿宋_GB2312" w:hAnsi="仿宋_GB2312" w:eastAsia="仿宋_GB2312" w:cs="仿宋_GB2312"/>
                <w:kern w:val="0"/>
                <w:sz w:val="24"/>
                <w:szCs w:val="24"/>
              </w:rPr>
              <w:t>高等职业教育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780" w:type="dxa"/>
            <w:gridSpan w:val="5"/>
            <w:vAlign w:val="center"/>
          </w:tcPr>
          <w:p>
            <w:pPr>
              <w:autoSpaceDE w:val="0"/>
              <w:autoSpaceDN w:val="0"/>
              <w:adjustRightInd w:val="0"/>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  </w:t>
            </w:r>
          </w:p>
          <w:p>
            <w:pPr>
              <w:autoSpaceDE w:val="0"/>
              <w:autoSpaceDN w:val="0"/>
              <w:adjustRightInd w:val="0"/>
              <w:snapToGrid w:val="0"/>
              <w:jc w:val="center"/>
              <w:rPr>
                <w:rFonts w:ascii="仿宋_GB2312" w:hAnsi="仿宋_GB2312" w:eastAsia="仿宋_GB2312" w:cs="仿宋_GB2312"/>
                <w:kern w:val="0"/>
                <w:sz w:val="24"/>
                <w:szCs w:val="24"/>
              </w:rPr>
            </w:pPr>
            <w:r>
              <w:rPr>
                <w:rFonts w:ascii="Segoe UI Symbol" w:hAnsi="Segoe UI Symbol" w:eastAsia="仿宋_GB2312" w:cs="Segoe UI Symbol"/>
                <w:kern w:val="0"/>
                <w:sz w:val="24"/>
                <w:szCs w:val="24"/>
              </w:rPr>
              <w:t>☑</w:t>
            </w:r>
            <w:r>
              <w:rPr>
                <w:rFonts w:ascii="仿宋_GB2312" w:hAnsi="仿宋_GB2312" w:eastAsia="仿宋_GB2312" w:cs="仿宋_GB2312"/>
                <w:kern w:val="0"/>
                <w:sz w:val="24"/>
                <w:szCs w:val="24"/>
              </w:rPr>
              <w:t>学生赛（</w:t>
            </w: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个人/</w:t>
            </w:r>
            <w:r>
              <w:rPr>
                <w:rFonts w:ascii="Segoe UI Symbol" w:hAnsi="Segoe UI Symbol" w:eastAsia="仿宋_GB2312" w:cs="Segoe UI Symbol"/>
                <w:kern w:val="0"/>
                <w:sz w:val="24"/>
                <w:szCs w:val="24"/>
              </w:rPr>
              <w:t>☑</w:t>
            </w:r>
            <w:r>
              <w:rPr>
                <w:rFonts w:ascii="仿宋_GB2312" w:hAnsi="仿宋_GB2312" w:eastAsia="仿宋_GB2312" w:cs="仿宋_GB2312"/>
                <w:kern w:val="0"/>
                <w:sz w:val="24"/>
                <w:szCs w:val="24"/>
              </w:rPr>
              <w:t>团体）</w:t>
            </w:r>
            <w:r>
              <w:rPr>
                <w:rFonts w:hint="eastAsia" w:ascii="仿宋_GB2312" w:hAnsi="仿宋_GB2312" w:eastAsia="仿宋_GB2312" w:cs="仿宋_GB2312"/>
                <w:kern w:val="0"/>
                <w:sz w:val="24"/>
                <w:szCs w:val="24"/>
              </w:rPr>
              <w:t xml:space="preserve"> □教师赛</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试点</w:t>
            </w:r>
            <w:r>
              <w:rPr>
                <w:rFonts w:ascii="仿宋_GB2312" w:hAnsi="仿宋_GB2312" w:eastAsia="仿宋_GB2312" w:cs="仿宋_GB2312"/>
                <w:kern w:val="0"/>
                <w:sz w:val="24"/>
                <w:szCs w:val="24"/>
              </w:rPr>
              <w:t xml:space="preserve">） </w:t>
            </w:r>
            <w:r>
              <w:rPr>
                <w:rFonts w:hint="eastAsia" w:ascii="仿宋_GB2312" w:hAnsi="仿宋_GB2312" w:eastAsia="仿宋_GB2312" w:cs="仿宋_GB2312"/>
                <w:kern w:val="0"/>
                <w:sz w:val="24"/>
                <w:szCs w:val="24"/>
              </w:rPr>
              <w:t>□师生联队</w:t>
            </w:r>
            <w:r>
              <w:rPr>
                <w:rFonts w:ascii="仿宋_GB2312" w:hAnsi="仿宋_GB2312" w:eastAsia="仿宋_GB2312" w:cs="仿宋_GB2312"/>
                <w:kern w:val="0"/>
                <w:sz w:val="24"/>
                <w:szCs w:val="24"/>
              </w:rPr>
              <w:t>赛（</w:t>
            </w:r>
            <w:r>
              <w:rPr>
                <w:rFonts w:hint="eastAsia" w:ascii="仿宋_GB2312" w:hAnsi="仿宋_GB2312" w:eastAsia="仿宋_GB2312" w:cs="仿宋_GB2312"/>
                <w:kern w:val="0"/>
                <w:sz w:val="24"/>
                <w:szCs w:val="24"/>
              </w:rPr>
              <w:t>试点</w:t>
            </w:r>
            <w:r>
              <w:rPr>
                <w:rFonts w:ascii="仿宋_GB2312" w:hAnsi="仿宋_GB2312" w:eastAsia="仿宋_GB2312" w:cs="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780" w:type="dxa"/>
            <w:gridSpan w:val="5"/>
            <w:vAlign w:val="center"/>
          </w:tcPr>
          <w:p>
            <w:pPr>
              <w:autoSpaceDE w:val="0"/>
              <w:autoSpaceDN w:val="0"/>
              <w:adjustRightInd w:val="0"/>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b/>
                <w:kern w:val="0"/>
                <w:sz w:val="28"/>
                <w:szCs w:val="28"/>
              </w:rPr>
              <w:t>涉及专业大类、专业类、专业及核心课程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748" w:type="dxa"/>
            <w:vAlign w:val="center"/>
          </w:tcPr>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kern w:val="0"/>
                <w:sz w:val="24"/>
                <w:szCs w:val="24"/>
              </w:rPr>
              <w:t>专业大类</w:t>
            </w:r>
          </w:p>
        </w:tc>
        <w:tc>
          <w:tcPr>
            <w:tcW w:w="1559" w:type="dxa"/>
            <w:vAlign w:val="center"/>
          </w:tcPr>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kern w:val="0"/>
                <w:sz w:val="24"/>
                <w:szCs w:val="24"/>
              </w:rPr>
              <w:t>专业类</w:t>
            </w:r>
          </w:p>
        </w:tc>
        <w:tc>
          <w:tcPr>
            <w:tcW w:w="1801" w:type="dxa"/>
            <w:gridSpan w:val="2"/>
            <w:vAlign w:val="center"/>
          </w:tcPr>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kern w:val="0"/>
                <w:sz w:val="24"/>
                <w:szCs w:val="24"/>
              </w:rPr>
              <w:t>专业名称</w:t>
            </w:r>
          </w:p>
        </w:tc>
        <w:tc>
          <w:tcPr>
            <w:tcW w:w="4672" w:type="dxa"/>
            <w:vAlign w:val="center"/>
          </w:tcPr>
          <w:p>
            <w:pPr>
              <w:autoSpaceDE w:val="0"/>
              <w:autoSpaceDN w:val="0"/>
              <w:adjustRightInd w:val="0"/>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核心课程</w:t>
            </w:r>
          </w:p>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kern w:val="0"/>
                <w:szCs w:val="21"/>
              </w:rPr>
              <w:t>（对应每个专业，明确涉及的专业核心课程）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748" w:type="dxa"/>
            <w:vMerge w:val="restart"/>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ascii="仿宋_GB2312" w:hAnsi="仿宋_GB2312" w:eastAsia="仿宋_GB2312" w:cs="仿宋_GB2312"/>
                <w:bCs/>
                <w:kern w:val="0"/>
                <w:sz w:val="24"/>
                <w:szCs w:val="24"/>
              </w:rPr>
              <w:t>51</w:t>
            </w:r>
            <w:r>
              <w:rPr>
                <w:rFonts w:hint="eastAsia" w:ascii="仿宋_GB2312" w:hAnsi="仿宋_GB2312" w:eastAsia="仿宋_GB2312" w:cs="仿宋_GB2312"/>
                <w:bCs/>
                <w:kern w:val="0"/>
                <w:sz w:val="24"/>
                <w:szCs w:val="24"/>
              </w:rPr>
              <w:t>电子与信息大类</w:t>
            </w:r>
          </w:p>
        </w:tc>
        <w:tc>
          <w:tcPr>
            <w:tcW w:w="1559" w:type="dxa"/>
            <w:vMerge w:val="restart"/>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5</w:t>
            </w:r>
            <w:r>
              <w:rPr>
                <w:rFonts w:ascii="仿宋_GB2312" w:hAnsi="仿宋_GB2312" w:eastAsia="仿宋_GB2312" w:cs="仿宋_GB2312"/>
                <w:bCs/>
                <w:kern w:val="0"/>
                <w:sz w:val="24"/>
                <w:szCs w:val="24"/>
              </w:rPr>
              <w:t>101</w:t>
            </w:r>
            <w:r>
              <w:rPr>
                <w:rFonts w:hint="eastAsia" w:ascii="仿宋_GB2312" w:hAnsi="仿宋_GB2312" w:eastAsia="仿宋_GB2312" w:cs="仿宋_GB2312"/>
                <w:bCs/>
                <w:kern w:val="0"/>
                <w:sz w:val="24"/>
                <w:szCs w:val="24"/>
              </w:rPr>
              <w:t>电子信息类</w:t>
            </w:r>
          </w:p>
        </w:tc>
        <w:tc>
          <w:tcPr>
            <w:tcW w:w="1801" w:type="dxa"/>
            <w:gridSpan w:val="2"/>
            <w:vMerge w:val="restart"/>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ascii="仿宋_GB2312" w:hAnsi="仿宋_GB2312" w:eastAsia="仿宋_GB2312" w:cs="仿宋_GB2312"/>
                <w:bCs/>
                <w:kern w:val="0"/>
                <w:sz w:val="24"/>
                <w:szCs w:val="24"/>
              </w:rPr>
              <w:t>510102</w:t>
            </w:r>
          </w:p>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物联网应用</w:t>
            </w:r>
          </w:p>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bCs/>
                <w:kern w:val="0"/>
                <w:sz w:val="24"/>
                <w:szCs w:val="24"/>
              </w:rPr>
              <w:t>技术</w:t>
            </w:r>
          </w:p>
        </w:tc>
        <w:tc>
          <w:tcPr>
            <w:tcW w:w="4672" w:type="dxa"/>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传感器应用技术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559"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801"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4672" w:type="dxa"/>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无线传输技术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559"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801"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4672" w:type="dxa"/>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物联网设备装调与维护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559"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801"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4672" w:type="dxa"/>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物联网应用开发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559"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801" w:type="dxa"/>
            <w:gridSpan w:val="2"/>
            <w:vMerge w:val="restart"/>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ascii="仿宋_GB2312" w:hAnsi="仿宋_GB2312" w:eastAsia="仿宋_GB2312" w:cs="仿宋_GB2312"/>
                <w:bCs/>
                <w:kern w:val="0"/>
                <w:sz w:val="24"/>
                <w:szCs w:val="24"/>
              </w:rPr>
              <w:t>510108</w:t>
            </w:r>
          </w:p>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智能产品开</w:t>
            </w:r>
          </w:p>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发与应用</w:t>
            </w:r>
          </w:p>
        </w:tc>
        <w:tc>
          <w:tcPr>
            <w:tcW w:w="4672" w:type="dxa"/>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无线通信组网技术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559"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801"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4672" w:type="dxa"/>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嵌入式系统与应用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559"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801" w:type="dxa"/>
            <w:gridSpan w:val="2"/>
            <w:vMerge w:val="restart"/>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ascii="仿宋_GB2312" w:hAnsi="仿宋_GB2312" w:eastAsia="仿宋_GB2312" w:cs="仿宋_GB2312"/>
                <w:bCs/>
                <w:kern w:val="0"/>
                <w:sz w:val="24"/>
                <w:szCs w:val="24"/>
              </w:rPr>
              <w:t>510101</w:t>
            </w:r>
          </w:p>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电子信息工</w:t>
            </w:r>
          </w:p>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bCs/>
                <w:kern w:val="0"/>
                <w:sz w:val="24"/>
                <w:szCs w:val="24"/>
              </w:rPr>
              <w:t>程技术</w:t>
            </w:r>
          </w:p>
        </w:tc>
        <w:tc>
          <w:tcPr>
            <w:tcW w:w="4672" w:type="dxa"/>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单片机技术及应用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559"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1801"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4672" w:type="dxa"/>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嵌入式技术及应用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9780" w:type="dxa"/>
            <w:gridSpan w:val="5"/>
            <w:vAlign w:val="center"/>
          </w:tcPr>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b/>
                <w:kern w:val="0"/>
                <w:sz w:val="28"/>
                <w:szCs w:val="28"/>
              </w:rPr>
              <w:t>对接产业行业、对应岗位（群）及核心能力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748" w:type="dxa"/>
            <w:vAlign w:val="center"/>
          </w:tcPr>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kern w:val="0"/>
                <w:sz w:val="24"/>
                <w:szCs w:val="24"/>
              </w:rPr>
              <w:t>产业行业</w:t>
            </w:r>
          </w:p>
        </w:tc>
        <w:tc>
          <w:tcPr>
            <w:tcW w:w="2552" w:type="dxa"/>
            <w:gridSpan w:val="2"/>
            <w:vAlign w:val="center"/>
          </w:tcPr>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kern w:val="0"/>
                <w:sz w:val="24"/>
                <w:szCs w:val="24"/>
              </w:rPr>
              <w:t>岗位（群）</w:t>
            </w:r>
          </w:p>
        </w:tc>
        <w:tc>
          <w:tcPr>
            <w:tcW w:w="5480" w:type="dxa"/>
            <w:gridSpan w:val="2"/>
            <w:vAlign w:val="center"/>
          </w:tcPr>
          <w:p>
            <w:pPr>
              <w:autoSpaceDE w:val="0"/>
              <w:autoSpaceDN w:val="0"/>
              <w:adjustRightInd w:val="0"/>
              <w:snapToGrid w:val="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核心能力</w:t>
            </w:r>
          </w:p>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kern w:val="0"/>
                <w:szCs w:val="32"/>
              </w:rPr>
              <w:t>（对应每个岗位（群），明确核心能力要求）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1748" w:type="dxa"/>
            <w:vMerge w:val="restart"/>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电子信息</w:t>
            </w:r>
          </w:p>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产业、战略</w:t>
            </w:r>
          </w:p>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性新兴产</w:t>
            </w:r>
          </w:p>
          <w:p>
            <w:pPr>
              <w:autoSpaceDE w:val="0"/>
              <w:autoSpaceDN w:val="0"/>
              <w:adjustRightInd w:val="0"/>
              <w:snapToGrid w:val="0"/>
              <w:jc w:val="center"/>
              <w:rPr>
                <w:rFonts w:ascii="仿宋_GB2312" w:hAnsi="仿宋_GB2312" w:eastAsia="仿宋_GB2312" w:cs="仿宋_GB2312"/>
                <w:b/>
                <w:kern w:val="0"/>
                <w:sz w:val="24"/>
                <w:szCs w:val="24"/>
              </w:rPr>
            </w:pPr>
            <w:r>
              <w:rPr>
                <w:rFonts w:hint="eastAsia" w:ascii="仿宋_GB2312" w:hAnsi="仿宋_GB2312" w:eastAsia="仿宋_GB2312" w:cs="仿宋_GB2312"/>
                <w:bCs/>
                <w:kern w:val="0"/>
                <w:sz w:val="24"/>
                <w:szCs w:val="24"/>
              </w:rPr>
              <w:t>业</w:t>
            </w:r>
          </w:p>
        </w:tc>
        <w:tc>
          <w:tcPr>
            <w:tcW w:w="2552" w:type="dxa"/>
            <w:gridSpan w:val="2"/>
            <w:vMerge w:val="restart"/>
            <w:vAlign w:val="center"/>
          </w:tcPr>
          <w:p>
            <w:pPr>
              <w:autoSpaceDE w:val="0"/>
              <w:autoSpaceDN w:val="0"/>
              <w:spacing w:before="100" w:beforeAutospacing="1" w:after="100" w:afterAutospacing="1"/>
              <w:jc w:val="center"/>
              <w:outlineLvl w:val="2"/>
              <w:rPr>
                <w:rFonts w:ascii="宋体" w:hAnsi="宋体" w:eastAsia="宋体" w:cs="Times New Roman"/>
                <w:b/>
                <w:kern w:val="0"/>
                <w:sz w:val="27"/>
                <w:szCs w:val="27"/>
              </w:rPr>
            </w:pPr>
            <w:r>
              <w:rPr>
                <w:rFonts w:hint="eastAsia" w:ascii="仿宋_GB2312" w:hAnsi="仿宋_GB2312" w:eastAsia="仿宋_GB2312" w:cs="仿宋_GB2312"/>
                <w:bCs/>
                <w:kern w:val="0"/>
                <w:sz w:val="24"/>
                <w:szCs w:val="24"/>
              </w:rPr>
              <w:t>物联网工程技术</w:t>
            </w:r>
          </w:p>
        </w:tc>
        <w:tc>
          <w:tcPr>
            <w:tcW w:w="5480" w:type="dxa"/>
            <w:gridSpan w:val="2"/>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建立物联网设备与设备、设备与网络的连接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2552"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5480" w:type="dxa"/>
            <w:gridSpan w:val="2"/>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布设、检修、维护信息通信线缆和无线网络，进</w:t>
            </w:r>
          </w:p>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行网络系统的局部调整设计和组网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2552"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5480" w:type="dxa"/>
            <w:gridSpan w:val="2"/>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物联网应用开发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2552" w:type="dxa"/>
            <w:gridSpan w:val="2"/>
            <w:vMerge w:val="restart"/>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智能楼宇管理</w:t>
            </w:r>
          </w:p>
        </w:tc>
        <w:tc>
          <w:tcPr>
            <w:tcW w:w="5480" w:type="dxa"/>
            <w:gridSpan w:val="2"/>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建立物联网设备与设备、设备与网络的连接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2552"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5480" w:type="dxa"/>
            <w:gridSpan w:val="2"/>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布设、检修、维护信息通信线缆和无线网络，进</w:t>
            </w:r>
          </w:p>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行网络系统的局部调整设计和组网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2552"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5480" w:type="dxa"/>
            <w:gridSpan w:val="2"/>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安装测试、维护、管理综合布线系统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2552" w:type="dxa"/>
            <w:gridSpan w:val="2"/>
            <w:vMerge w:val="restart"/>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物联网系统应用软件开发</w:t>
            </w:r>
          </w:p>
        </w:tc>
        <w:tc>
          <w:tcPr>
            <w:tcW w:w="5480" w:type="dxa"/>
            <w:gridSpan w:val="2"/>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具备物联网系统的硬件、软件集成基础能力；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2552"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5480" w:type="dxa"/>
            <w:gridSpan w:val="2"/>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具备扎实的焊接技术、电子产品的制作能力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jc w:val="center"/>
        </w:trPr>
        <w:tc>
          <w:tcPr>
            <w:tcW w:w="1748" w:type="dxa"/>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2552" w:type="dxa"/>
            <w:gridSpan w:val="2"/>
            <w:vMerge w:val="continue"/>
            <w:vAlign w:val="center"/>
          </w:tcPr>
          <w:p>
            <w:pPr>
              <w:autoSpaceDE w:val="0"/>
              <w:autoSpaceDN w:val="0"/>
              <w:adjustRightInd w:val="0"/>
              <w:snapToGrid w:val="0"/>
              <w:jc w:val="center"/>
              <w:rPr>
                <w:rFonts w:ascii="仿宋_GB2312" w:hAnsi="仿宋_GB2312" w:eastAsia="仿宋_GB2312" w:cs="仿宋_GB2312"/>
                <w:b/>
                <w:kern w:val="0"/>
                <w:sz w:val="24"/>
                <w:szCs w:val="24"/>
              </w:rPr>
            </w:pPr>
          </w:p>
        </w:tc>
        <w:tc>
          <w:tcPr>
            <w:tcW w:w="5480" w:type="dxa"/>
            <w:gridSpan w:val="2"/>
            <w:vAlign w:val="center"/>
          </w:tcPr>
          <w:p>
            <w:pPr>
              <w:autoSpaceDE w:val="0"/>
              <w:autoSpaceDN w:val="0"/>
              <w:adjustRightInd w:val="0"/>
              <w:snapToGrid w:val="0"/>
              <w:jc w:val="center"/>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具备进行物联网系统及装置研发、设计、制造、运行与管理的能力。</w:t>
            </w:r>
          </w:p>
        </w:tc>
      </w:tr>
    </w:tbl>
    <w:p>
      <w:pPr>
        <w:autoSpaceDE w:val="0"/>
        <w:autoSpaceDN w:val="0"/>
        <w:jc w:val="left"/>
        <w:rPr>
          <w:rFonts w:ascii="宋体" w:hAnsi="宋体" w:eastAsia="宋体" w:cs="宋体"/>
          <w:kern w:val="0"/>
          <w:sz w:val="22"/>
        </w:rPr>
      </w:pPr>
      <w:r>
        <w:rPr>
          <w:rFonts w:hint="eastAsia" w:ascii="黑体" w:hAnsi="宋体" w:eastAsia="黑体" w:cs="宋体"/>
          <w:kern w:val="0"/>
          <w:sz w:val="32"/>
          <w:szCs w:val="32"/>
        </w:rPr>
        <w:t>二、竞赛目标</w:t>
      </w:r>
    </w:p>
    <w:tbl>
      <w:tblPr>
        <w:tblStyle w:val="4"/>
        <w:tblW w:w="9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573" w:type="dxa"/>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本次技能大赛以激发学生的创新精神并培养实践能力为宗旨，综合考察参赛团队的创意、设计和工程实现能力，为探索物联网技术专业人才培养模式提供有力支持。</w:t>
            </w:r>
          </w:p>
          <w:p>
            <w:pPr>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次技能大赛以本校大学生为主体，通过本校专兼职教师的共同指导，促进物联网专业教学实践体系的完善与发展，提升分析和解决问题的能力，为高质量的物联网专业人才培养搭建交流、展示、合作的平台，并推动物联网技术在相关领域的应用与发展。</w:t>
            </w:r>
          </w:p>
          <w:p>
            <w:pPr>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竞赛结果可以检验物联网应用技术及相关专业改革成果，有助于将物联网行业的最新技术和企业的最新标准转化为职业教育的内容标准和能力标准，为行业和企业选拔优秀人才。</w:t>
            </w:r>
          </w:p>
          <w:p>
            <w:pPr>
              <w:keepNext w:val="0"/>
              <w:keepLines w:val="0"/>
              <w:pageBreakBefore w:val="0"/>
              <w:widowControl w:val="0"/>
              <w:kinsoku/>
              <w:wordWrap/>
              <w:overflowPunct/>
              <w:topLinePunct w:val="0"/>
              <w:autoSpaceDE w:val="0"/>
              <w:autoSpaceDN w:val="0"/>
              <w:bidi w:val="0"/>
              <w:adjustRightInd/>
              <w:snapToGrid/>
              <w:spacing w:before="157" w:beforeLines="50" w:after="157" w:afterLines="50" w:line="360" w:lineRule="auto"/>
              <w:ind w:right="0" w:rightChars="0" w:firstLine="480" w:firstLineChars="200"/>
              <w:jc w:val="left"/>
              <w:textAlignment w:val="auto"/>
              <w:rPr>
                <w:rFonts w:ascii="仿宋_GB2312" w:hAnsi="仿宋_GB2312" w:eastAsia="仿宋_GB2312" w:cs="仿宋_GB2312"/>
                <w:kern w:val="0"/>
                <w:szCs w:val="20"/>
              </w:rPr>
            </w:pPr>
            <w:r>
              <w:rPr>
                <w:rFonts w:hint="eastAsia" w:ascii="仿宋_GB2312" w:hAnsi="仿宋_GB2312" w:eastAsia="仿宋_GB2312" w:cs="仿宋_GB2312"/>
                <w:kern w:val="0"/>
                <w:sz w:val="24"/>
                <w:szCs w:val="24"/>
              </w:rPr>
              <w:t>本赛项贯彻落实国家发展要求，为职业院校的人才培养提供新的学习、实践、合作平台。通过竞赛的方式鼓励教师深入产业，从而不断优化课程设置，提高人才培养的适应性和竞争力。</w:t>
            </w:r>
          </w:p>
        </w:tc>
      </w:tr>
    </w:tbl>
    <w:p>
      <w:pPr>
        <w:autoSpaceDE w:val="0"/>
        <w:autoSpaceDN w:val="0"/>
        <w:jc w:val="left"/>
        <w:rPr>
          <w:rFonts w:ascii="黑体" w:hAnsi="黑体" w:eastAsia="黑体" w:cs="宋体"/>
          <w:kern w:val="0"/>
          <w:sz w:val="32"/>
          <w:szCs w:val="32"/>
        </w:rPr>
      </w:pPr>
      <w:r>
        <w:rPr>
          <w:rFonts w:hint="eastAsia" w:ascii="黑体" w:hAnsi="黑体" w:eastAsia="黑体" w:cs="宋体"/>
          <w:kern w:val="0"/>
          <w:sz w:val="32"/>
          <w:szCs w:val="32"/>
        </w:rPr>
        <w:t>三、竞赛内容</w:t>
      </w:r>
    </w:p>
    <w:tbl>
      <w:tblPr>
        <w:tblStyle w:val="4"/>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3" w:hRule="atLeast"/>
          <w:jc w:val="center"/>
        </w:trPr>
        <w:tc>
          <w:tcPr>
            <w:tcW w:w="9568" w:type="dxa"/>
            <w:tcBorders>
              <w:top w:val="single" w:color="000000" w:sz="2" w:space="0"/>
              <w:left w:val="single" w:color="000000" w:sz="2" w:space="0"/>
              <w:bottom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right="0" w:rightChars="0" w:firstLine="482" w:firstLineChars="200"/>
              <w:jc w:val="left"/>
              <w:textAlignment w:val="auto"/>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（一）赛项考查的技术技能和涵盖的职业典型工作任务</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赛项考察选手对于物联网技术应用的基础知识、综合技能和职业素养，包括：传感器应用、网络通信、物联网项目工程实施等方面的知识；物联网生产施工、物联技术服务、系统运维等方面的能力；职业道德、团队合作等方面的素养。</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本赛项分为三个模块，A</w:t>
            </w:r>
            <w:r>
              <w:rPr>
                <w:rFonts w:ascii="仿宋_GB2312" w:hAnsi="仿宋_GB2312" w:eastAsia="仿宋_GB2312" w:cs="仿宋_GB2312"/>
                <w:kern w:val="0"/>
                <w:sz w:val="24"/>
                <w:szCs w:val="24"/>
              </w:rPr>
              <w:t>模块物联网方案设计模块、B模块物联网应用开发与调试、C模块物联网设备侧开发模块3个模块，其中A模块占总成绩20%，B模块占总成绩40%，C模块占总成绩40%，竞赛时间为90分钟。</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涵盖的职业典型工作任务：</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1.建立物联网设备与设备、设备与网络的连接；</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2.操作、调试、维护</w:t>
            </w:r>
            <w:r>
              <w:rPr>
                <w:rFonts w:hint="eastAsia" w:ascii="仿宋_GB2312" w:hAnsi="仿宋_GB2312" w:eastAsia="仿宋_GB2312" w:cs="仿宋_GB2312"/>
                <w:kern w:val="0"/>
                <w:sz w:val="24"/>
                <w:szCs w:val="24"/>
              </w:rPr>
              <w:t>、集成</w:t>
            </w:r>
            <w:r>
              <w:rPr>
                <w:rFonts w:ascii="仿宋_GB2312" w:hAnsi="仿宋_GB2312" w:eastAsia="仿宋_GB2312" w:cs="仿宋_GB2312"/>
                <w:kern w:val="0"/>
                <w:sz w:val="24"/>
                <w:szCs w:val="24"/>
              </w:rPr>
              <w:t>物联网系统；</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3.物联网应用开发。</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r>
              <w:rPr>
                <w:rFonts w:ascii="仿宋_GB2312" w:hAnsi="仿宋_GB2312" w:eastAsia="仿宋_GB2312" w:cs="仿宋_GB2312"/>
                <w:kern w:val="0"/>
                <w:sz w:val="24"/>
                <w:szCs w:val="24"/>
              </w:rPr>
              <w:t>.</w:t>
            </w:r>
            <w:r>
              <w:rPr>
                <w:rFonts w:hint="eastAsia" w:ascii="仿宋_GB2312" w:hAnsi="仿宋_GB2312" w:eastAsia="仿宋_GB2312" w:cs="仿宋_GB2312"/>
                <w:kern w:val="0"/>
                <w:sz w:val="24"/>
                <w:szCs w:val="24"/>
              </w:rPr>
              <w:t>物联网设备侧开发。</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2" w:firstLineChars="200"/>
              <w:jc w:val="left"/>
              <w:textAlignment w:val="auto"/>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（二）赛项检验选手专业知识、实践技能和开发技能</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2" w:firstLineChars="200"/>
              <w:jc w:val="left"/>
              <w:textAlignment w:val="auto"/>
              <w:rPr>
                <w:rFonts w:ascii="仿宋_GB2312" w:hAnsi="仿宋_GB2312" w:eastAsia="仿宋_GB2312" w:cs="仿宋_GB2312"/>
                <w:b/>
                <w:bCs/>
                <w:kern w:val="0"/>
                <w:sz w:val="24"/>
                <w:szCs w:val="24"/>
              </w:rPr>
            </w:pPr>
            <w:r>
              <w:rPr>
                <w:rFonts w:ascii="仿宋_GB2312" w:hAnsi="仿宋_GB2312" w:eastAsia="仿宋_GB2312" w:cs="仿宋_GB2312"/>
                <w:b/>
                <w:bCs/>
                <w:kern w:val="0"/>
                <w:sz w:val="24"/>
                <w:szCs w:val="24"/>
              </w:rPr>
              <w:t>1.专业知识</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物联网基础知识、物联网设备认知、物联网技术认知、物联网应用认知。</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2" w:firstLineChars="200"/>
              <w:jc w:val="left"/>
              <w:textAlignment w:val="auto"/>
              <w:rPr>
                <w:rFonts w:ascii="仿宋_GB2312" w:hAnsi="仿宋_GB2312" w:eastAsia="仿宋_GB2312" w:cs="仿宋_GB2312"/>
                <w:b/>
                <w:bCs/>
                <w:kern w:val="0"/>
                <w:sz w:val="24"/>
                <w:szCs w:val="24"/>
              </w:rPr>
            </w:pPr>
            <w:r>
              <w:rPr>
                <w:rFonts w:ascii="仿宋_GB2312" w:hAnsi="仿宋_GB2312" w:eastAsia="仿宋_GB2312" w:cs="仿宋_GB2312"/>
                <w:b/>
                <w:bCs/>
                <w:kern w:val="0"/>
                <w:sz w:val="24"/>
                <w:szCs w:val="24"/>
              </w:rPr>
              <w:t>2.实践技能</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硬件设备安装调试、网络设备连接配置、软件系统部署维护、物联网项目应用操作。</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1）硬件设备安装调试</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基于物联网竞赛工位，按照要求将竞赛相关设备，如传感器、执行器件、传感网络节点等进行安装，完成连接及供电，并按照要求对各个设备进行配置，保证设备正常工作。</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2）网络设备连接配置</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按照要求，完成设备网络的搭建，包括网络连接布线，无线路由器设定配置，传感网设备、计算机、智能网关等终端设备进行网络配置。</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3）软件系统部署维护</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对系统软件的运行环境进行部署安装；对产品配套的应用软件进行部署安装配置等；对产品配套软件系统的维护等；对物联网项目工程通过仿真系统进行搭建、配置及部署；对物联网平台应用部署；对接物联网设备及系统。</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4）物联网项目应用操作</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对智慧农业、智慧工厂、智能门店等物联网项目应用及功能的使用操作、业务流程进行熟悉和了解，能够操作和演示各个场景子功能的业务环节。</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2" w:firstLineChars="200"/>
              <w:jc w:val="left"/>
              <w:textAlignment w:val="auto"/>
              <w:rPr>
                <w:rFonts w:ascii="仿宋_GB2312" w:hAnsi="仿宋_GB2312" w:eastAsia="仿宋_GB2312" w:cs="仿宋_GB2312"/>
                <w:b/>
                <w:bCs/>
                <w:kern w:val="0"/>
                <w:sz w:val="24"/>
                <w:szCs w:val="24"/>
              </w:rPr>
            </w:pPr>
            <w:r>
              <w:rPr>
                <w:rFonts w:ascii="仿宋_GB2312" w:hAnsi="仿宋_GB2312" w:eastAsia="仿宋_GB2312" w:cs="仿宋_GB2312"/>
                <w:b/>
                <w:bCs/>
                <w:kern w:val="0"/>
                <w:sz w:val="24"/>
                <w:szCs w:val="24"/>
              </w:rPr>
              <w:t>3.开发技能</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传感网应用开发、物联网应用软件开发和程序调试能力。</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1）传感网应用开发</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根据相关功能子模块的要求，开发和实现协议转换。</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2）物联网应用软件开发</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根据相关功能子模块的要求，开发物联网应用软件，完成物联网传感数据、设备状态展示、设备控制、管理等功能。</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r>
              <w:rPr>
                <w:rFonts w:ascii="仿宋_GB2312" w:hAnsi="仿宋_GB2312" w:eastAsia="仿宋_GB2312" w:cs="仿宋_GB2312"/>
                <w:kern w:val="0"/>
                <w:sz w:val="24"/>
                <w:szCs w:val="24"/>
              </w:rPr>
              <w:t>3）程序调试</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根据相关功能子模块的要求，进行物联网应用程序联调。</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2.逐项说明赛项模块、比赛时长及分值配比（赛项模块应根据赛项目标进行合理设计，对每个任务内容进行说明）。</w:t>
            </w:r>
          </w:p>
          <w:p>
            <w:pPr>
              <w:autoSpaceDE w:val="0"/>
              <w:autoSpaceDN w:val="0"/>
              <w:spacing w:line="360" w:lineRule="auto"/>
              <w:ind w:right="210" w:rightChars="100" w:firstLine="442" w:firstLineChars="200"/>
              <w:jc w:val="left"/>
              <w:rPr>
                <w:rFonts w:ascii="宋体" w:hAnsi="宋体" w:eastAsia="宋体" w:cs="宋体"/>
                <w:b/>
                <w:kern w:val="0"/>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28" w:hRule="atLeast"/>
          <w:jc w:val="center"/>
        </w:trPr>
        <w:tc>
          <w:tcPr>
            <w:tcW w:w="9568" w:type="dxa"/>
            <w:tcBorders>
              <w:top w:val="single" w:color="000000" w:sz="2" w:space="0"/>
              <w:left w:val="single" w:color="000000" w:sz="2" w:space="0"/>
              <w:bottom w:val="single" w:color="000000" w:sz="2" w:space="0"/>
              <w:right w:val="single" w:color="000000" w:sz="2" w:space="0"/>
            </w:tcBorders>
          </w:tcPr>
          <w:tbl>
            <w:tblPr>
              <w:tblStyle w:val="9"/>
              <w:tblW w:w="8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8"/>
              <w:gridCol w:w="1417"/>
              <w:gridCol w:w="4536"/>
              <w:gridCol w:w="1055"/>
              <w:gridCol w:w="14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7" w:hRule="atLeast"/>
                <w:jc w:val="center"/>
              </w:trPr>
              <w:tc>
                <w:tcPr>
                  <w:tcW w:w="1975" w:type="dxa"/>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模块</w:t>
                  </w:r>
                </w:p>
              </w:tc>
              <w:tc>
                <w:tcPr>
                  <w:tcW w:w="4536"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主要内容</w:t>
                  </w:r>
                </w:p>
              </w:tc>
              <w:tc>
                <w:tcPr>
                  <w:tcW w:w="1055"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比赛</w:t>
                  </w:r>
                  <w:r>
                    <w:rPr>
                      <w:rFonts w:hint="eastAsia" w:ascii="仿宋_GB2312" w:hAnsi="仿宋_GB2312" w:eastAsia="仿宋_GB2312" w:cs="仿宋_GB2312"/>
                      <w:b/>
                      <w:kern w:val="0"/>
                      <w:sz w:val="24"/>
                      <w:szCs w:val="24"/>
                      <w:lang w:val="en-US" w:eastAsia="zh-CN"/>
                    </w:rPr>
                    <w:t xml:space="preserve"> </w:t>
                  </w:r>
                  <w:r>
                    <w:rPr>
                      <w:rFonts w:hint="eastAsia" w:ascii="仿宋_GB2312" w:hAnsi="仿宋_GB2312" w:eastAsia="仿宋_GB2312" w:cs="仿宋_GB2312"/>
                      <w:b/>
                      <w:kern w:val="0"/>
                      <w:sz w:val="24"/>
                      <w:szCs w:val="24"/>
                    </w:rPr>
                    <w:t>时长</w:t>
                  </w:r>
                </w:p>
              </w:tc>
              <w:tc>
                <w:tcPr>
                  <w:tcW w:w="141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55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模块一</w:t>
                  </w:r>
                </w:p>
              </w:tc>
              <w:tc>
                <w:tcPr>
                  <w:tcW w:w="1417"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物联网方案设计模块</w:t>
                  </w:r>
                </w:p>
              </w:tc>
              <w:tc>
                <w:tcPr>
                  <w:tcW w:w="4536"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both"/>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本模块需要选手以智慧城市路灯为例，依托华为云物联网平台完成物联网设备端、通信技术选择、端云互通组件选择及物联网应用侧的设计，基于博赛智能物联开发实训箱完成华为轻量级物联网操作系统</w:t>
                  </w:r>
                  <w:r>
                    <w:rPr>
                      <w:rFonts w:ascii="仿宋_GB2312" w:hAnsi="仿宋_GB2312" w:eastAsia="仿宋_GB2312" w:cs="仿宋_GB2312"/>
                      <w:bCs/>
                      <w:kern w:val="0"/>
                      <w:sz w:val="24"/>
                      <w:szCs w:val="24"/>
                    </w:rPr>
                    <w:t xml:space="preserve"> LiteOS 端侧集成，最终完成端云互通调测（模拟），实现华为云IoTDA平台对智慧城市路灯的实时监控及补光操作的远程自动化控制</w:t>
                  </w:r>
                </w:p>
              </w:tc>
              <w:tc>
                <w:tcPr>
                  <w:tcW w:w="1055"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9</w:t>
                  </w:r>
                  <w:r>
                    <w:rPr>
                      <w:rFonts w:ascii="仿宋_GB2312" w:hAnsi="仿宋_GB2312" w:eastAsia="仿宋_GB2312" w:cs="仿宋_GB2312"/>
                      <w:bCs/>
                      <w:kern w:val="0"/>
                      <w:sz w:val="24"/>
                      <w:szCs w:val="24"/>
                    </w:rPr>
                    <w:t>0</w:t>
                  </w:r>
                </w:p>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分钟</w:t>
                  </w:r>
                </w:p>
              </w:tc>
              <w:tc>
                <w:tcPr>
                  <w:tcW w:w="141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2</w:t>
                  </w:r>
                  <w:r>
                    <w:rPr>
                      <w:rFonts w:ascii="仿宋_GB2312" w:hAnsi="仿宋_GB2312" w:eastAsia="仿宋_GB2312" w:cs="仿宋_GB2312"/>
                      <w:bCs/>
                      <w:kern w:val="0"/>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55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模块二</w:t>
                  </w:r>
                </w:p>
              </w:tc>
              <w:tc>
                <w:tcPr>
                  <w:tcW w:w="1417"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物联网应用开发与调试</w:t>
                  </w:r>
                </w:p>
              </w:tc>
              <w:tc>
                <w:tcPr>
                  <w:tcW w:w="4536"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both"/>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本模块需要选手完成产品模型的开发及编解码插件开发。</w:t>
                  </w:r>
                </w:p>
              </w:tc>
              <w:tc>
                <w:tcPr>
                  <w:tcW w:w="105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
                      <w:kern w:val="0"/>
                      <w:sz w:val="24"/>
                      <w:szCs w:val="24"/>
                    </w:rPr>
                  </w:pPr>
                </w:p>
              </w:tc>
              <w:tc>
                <w:tcPr>
                  <w:tcW w:w="141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4</w:t>
                  </w:r>
                  <w:r>
                    <w:rPr>
                      <w:rFonts w:ascii="仿宋_GB2312" w:hAnsi="仿宋_GB2312" w:eastAsia="仿宋_GB2312" w:cs="仿宋_GB2312"/>
                      <w:bCs/>
                      <w:kern w:val="0"/>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2" w:hRule="atLeast"/>
                <w:jc w:val="center"/>
              </w:trPr>
              <w:tc>
                <w:tcPr>
                  <w:tcW w:w="558"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
                      <w:kern w:val="0"/>
                      <w:sz w:val="24"/>
                      <w:szCs w:val="24"/>
                    </w:rPr>
                  </w:pPr>
                  <w:r>
                    <w:rPr>
                      <w:rFonts w:hint="eastAsia" w:ascii="仿宋_GB2312" w:hAnsi="仿宋_GB2312" w:eastAsia="仿宋_GB2312" w:cs="仿宋_GB2312"/>
                      <w:b/>
                      <w:kern w:val="0"/>
                      <w:sz w:val="24"/>
                      <w:szCs w:val="24"/>
                    </w:rPr>
                    <w:t>模块三</w:t>
                  </w:r>
                </w:p>
              </w:tc>
              <w:tc>
                <w:tcPr>
                  <w:tcW w:w="1417"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物联网设备侧开发</w:t>
                  </w:r>
                </w:p>
              </w:tc>
              <w:tc>
                <w:tcPr>
                  <w:tcW w:w="4536"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both"/>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本模块需要选手使用相应的代码编辑软件打开计算机</w:t>
                  </w:r>
                  <w:r>
                    <w:rPr>
                      <w:rFonts w:ascii="仿宋_GB2312" w:hAnsi="仿宋_GB2312" w:eastAsia="仿宋_GB2312" w:cs="仿宋_GB2312"/>
                      <w:bCs/>
                      <w:kern w:val="0"/>
                      <w:sz w:val="24"/>
                      <w:szCs w:val="24"/>
                    </w:rPr>
                    <w:t>D盘根目录下的项目代码，根据代码注释提示，将智慧城市路灯案例代码根据模块一中的设计方案补充完整</w:t>
                  </w:r>
                  <w:r>
                    <w:rPr>
                      <w:rFonts w:hint="eastAsia" w:ascii="仿宋_GB2312" w:hAnsi="仿宋_GB2312" w:eastAsia="仿宋_GB2312" w:cs="仿宋_GB2312"/>
                      <w:bCs/>
                      <w:kern w:val="0"/>
                      <w:sz w:val="24"/>
                      <w:szCs w:val="24"/>
                    </w:rPr>
                    <w:t>。</w:t>
                  </w:r>
                </w:p>
              </w:tc>
              <w:tc>
                <w:tcPr>
                  <w:tcW w:w="105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
                      <w:kern w:val="0"/>
                      <w:sz w:val="24"/>
                      <w:szCs w:val="24"/>
                    </w:rPr>
                  </w:pPr>
                </w:p>
              </w:tc>
              <w:tc>
                <w:tcPr>
                  <w:tcW w:w="1412" w:type="dxa"/>
                  <w:vAlign w:val="center"/>
                </w:tcPr>
                <w:p>
                  <w:pPr>
                    <w:keepNext w:val="0"/>
                    <w:keepLines w:val="0"/>
                    <w:pageBreakBefore w:val="0"/>
                    <w:widowControl w:val="0"/>
                    <w:kinsoku/>
                    <w:wordWrap/>
                    <w:overflowPunct/>
                    <w:topLinePunct w:val="0"/>
                    <w:autoSpaceDE w:val="0"/>
                    <w:autoSpaceDN w:val="0"/>
                    <w:bidi w:val="0"/>
                    <w:adjustRightInd w:val="0"/>
                    <w:snapToGrid w:val="0"/>
                    <w:spacing w:line="400" w:lineRule="exact"/>
                    <w:ind w:right="0" w:rightChars="0"/>
                    <w:jc w:val="center"/>
                    <w:textAlignment w:val="auto"/>
                    <w:rPr>
                      <w:rFonts w:ascii="仿宋_GB2312" w:hAnsi="仿宋_GB2312" w:eastAsia="仿宋_GB2312" w:cs="仿宋_GB2312"/>
                      <w:bCs/>
                      <w:kern w:val="0"/>
                      <w:sz w:val="24"/>
                      <w:szCs w:val="24"/>
                    </w:rPr>
                  </w:pPr>
                  <w:r>
                    <w:rPr>
                      <w:rFonts w:hint="eastAsia" w:ascii="仿宋_GB2312" w:hAnsi="仿宋_GB2312" w:eastAsia="仿宋_GB2312" w:cs="仿宋_GB2312"/>
                      <w:bCs/>
                      <w:kern w:val="0"/>
                      <w:sz w:val="24"/>
                      <w:szCs w:val="24"/>
                    </w:rPr>
                    <w:t>4</w:t>
                  </w:r>
                  <w:r>
                    <w:rPr>
                      <w:rFonts w:ascii="仿宋_GB2312" w:hAnsi="仿宋_GB2312" w:eastAsia="仿宋_GB2312" w:cs="仿宋_GB2312"/>
                      <w:bCs/>
                      <w:kern w:val="0"/>
                      <w:sz w:val="24"/>
                      <w:szCs w:val="24"/>
                    </w:rPr>
                    <w:t>0</w:t>
                  </w:r>
                </w:p>
              </w:tc>
            </w:tr>
          </w:tbl>
          <w:p>
            <w:pPr>
              <w:autoSpaceDE w:val="0"/>
              <w:autoSpaceDN w:val="0"/>
              <w:spacing w:line="360" w:lineRule="auto"/>
              <w:ind w:right="210" w:rightChars="100"/>
              <w:jc w:val="left"/>
              <w:rPr>
                <w:rFonts w:ascii="黑体" w:hAnsi="黑体" w:eastAsia="黑体" w:cs="宋体"/>
                <w:kern w:val="0"/>
                <w:sz w:val="24"/>
              </w:rPr>
            </w:pPr>
          </w:p>
        </w:tc>
      </w:tr>
    </w:tbl>
    <w:p>
      <w:pPr>
        <w:keepNext w:val="0"/>
        <w:keepLines w:val="0"/>
        <w:pageBreakBefore w:val="0"/>
        <w:widowControl w:val="0"/>
        <w:kinsoku/>
        <w:wordWrap/>
        <w:overflowPunct/>
        <w:topLinePunct w:val="0"/>
        <w:autoSpaceDE w:val="0"/>
        <w:autoSpaceDN w:val="0"/>
        <w:bidi w:val="0"/>
        <w:adjustRightInd/>
        <w:snapToGrid/>
        <w:spacing w:before="157" w:beforeLines="50" w:after="157" w:afterLines="50"/>
        <w:jc w:val="left"/>
        <w:textAlignment w:val="auto"/>
        <w:rPr>
          <w:rFonts w:ascii="黑体" w:hAnsi="黑体" w:eastAsia="黑体" w:cs="宋体"/>
          <w:kern w:val="0"/>
          <w:sz w:val="32"/>
          <w:szCs w:val="32"/>
        </w:rPr>
      </w:pPr>
      <w:r>
        <w:rPr>
          <w:rFonts w:ascii="黑体" w:hAnsi="黑体" w:eastAsia="黑体" w:cs="宋体"/>
          <w:kern w:val="0"/>
          <w:sz w:val="32"/>
          <w:szCs w:val="32"/>
        </w:rPr>
        <w:t>四</w:t>
      </w:r>
      <w:r>
        <w:rPr>
          <w:rFonts w:hint="eastAsia" w:ascii="黑体" w:hAnsi="黑体" w:eastAsia="黑体" w:cs="宋体"/>
          <w:kern w:val="0"/>
          <w:sz w:val="32"/>
          <w:szCs w:val="32"/>
        </w:rPr>
        <w:t>、</w:t>
      </w:r>
      <w:r>
        <w:rPr>
          <w:rFonts w:ascii="黑体" w:hAnsi="黑体" w:eastAsia="黑体" w:cs="宋体"/>
          <w:kern w:val="0"/>
          <w:sz w:val="32"/>
          <w:szCs w:val="32"/>
        </w:rPr>
        <w:t>竞赛方式</w:t>
      </w:r>
    </w:p>
    <w:tbl>
      <w:tblPr>
        <w:tblStyle w:val="4"/>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6" w:hRule="atLeast"/>
          <w:jc w:val="center"/>
        </w:trPr>
        <w:tc>
          <w:tcPr>
            <w:tcW w:w="9518"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leftChars="0" w:right="0" w:rightChars="0" w:firstLine="480" w:firstLineChars="200"/>
              <w:jc w:val="left"/>
              <w:textAlignment w:val="auto"/>
              <w:rPr>
                <w:rFonts w:ascii="宋体" w:hAnsi="宋体" w:eastAsia="宋体" w:cs="宋体"/>
                <w:b/>
                <w:kern w:val="0"/>
                <w:sz w:val="24"/>
                <w:szCs w:val="24"/>
              </w:rPr>
            </w:pPr>
            <w:r>
              <w:rPr>
                <w:rFonts w:hint="eastAsia" w:ascii="仿宋_GB2312" w:hAnsi="仿宋_GB2312" w:eastAsia="仿宋_GB2312" w:cs="仿宋_GB2312"/>
                <w:kern w:val="0"/>
                <w:sz w:val="24"/>
                <w:szCs w:val="24"/>
              </w:rPr>
              <w:t>本赛项为团体技能赛，每队</w:t>
            </w:r>
            <w:r>
              <w:rPr>
                <w:rFonts w:ascii="仿宋_GB2312" w:hAnsi="仿宋_GB2312" w:eastAsia="仿宋_GB2312" w:cs="仿宋_GB2312"/>
                <w:kern w:val="0"/>
                <w:sz w:val="24"/>
                <w:szCs w:val="24"/>
              </w:rPr>
              <w:t>2人，参赛队伍选手必须为信息工程系在籍学生。指导教师须为本校专兼职教师，每个参赛队伍可配置2名指导老师。</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五、竞赛流程</w:t>
      </w:r>
    </w:p>
    <w:tbl>
      <w:tblPr>
        <w:tblStyle w:val="4"/>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5" w:hRule="atLeast"/>
          <w:jc w:val="center"/>
        </w:trPr>
        <w:tc>
          <w:tcPr>
            <w:tcW w:w="9458"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本赛项在实训室</w:t>
            </w:r>
            <w:r>
              <w:rPr>
                <w:rFonts w:ascii="仿宋_GB2312" w:hAnsi="仿宋_GB2312" w:eastAsia="仿宋_GB2312" w:cs="仿宋_GB2312"/>
                <w:kern w:val="0"/>
                <w:sz w:val="24"/>
                <w:szCs w:val="24"/>
              </w:rPr>
              <w:t>3303举行，具体时间安排如下：</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0"/>
              <w:gridCol w:w="4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tcPr>
                <w:p>
                  <w:pPr>
                    <w:snapToGrid w:val="0"/>
                    <w:spacing w:line="580" w:lineRule="exact"/>
                    <w:jc w:val="center"/>
                    <w:rPr>
                      <w:rFonts w:ascii="仿宋_GB2312" w:eastAsia="仿宋_GB2312"/>
                      <w:spacing w:val="-8"/>
                      <w:sz w:val="24"/>
                      <w:szCs w:val="24"/>
                    </w:rPr>
                  </w:pPr>
                  <w:r>
                    <w:rPr>
                      <w:rFonts w:hint="eastAsia" w:ascii="仿宋_GB2312" w:eastAsia="仿宋_GB2312"/>
                      <w:spacing w:val="-8"/>
                      <w:sz w:val="24"/>
                      <w:szCs w:val="24"/>
                    </w:rPr>
                    <w:t>比赛时间</w:t>
                  </w:r>
                </w:p>
              </w:tc>
              <w:tc>
                <w:tcPr>
                  <w:tcW w:w="4150" w:type="dxa"/>
                </w:tcPr>
                <w:p>
                  <w:pPr>
                    <w:snapToGrid w:val="0"/>
                    <w:spacing w:line="580" w:lineRule="exact"/>
                    <w:jc w:val="center"/>
                    <w:rPr>
                      <w:rFonts w:ascii="仿宋_GB2312" w:eastAsia="仿宋_GB2312"/>
                      <w:spacing w:val="-8"/>
                      <w:sz w:val="24"/>
                      <w:szCs w:val="24"/>
                    </w:rPr>
                  </w:pPr>
                  <w:r>
                    <w:rPr>
                      <w:rFonts w:hint="eastAsia" w:ascii="仿宋_GB2312" w:eastAsia="仿宋_GB2312"/>
                      <w:spacing w:val="-8"/>
                      <w:sz w:val="24"/>
                      <w:szCs w:val="24"/>
                    </w:rPr>
                    <w:t>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tcPr>
                <w:p>
                  <w:pPr>
                    <w:snapToGrid w:val="0"/>
                    <w:spacing w:line="580" w:lineRule="exact"/>
                    <w:jc w:val="center"/>
                    <w:rPr>
                      <w:rFonts w:ascii="仿宋_GB2312" w:eastAsia="仿宋_GB2312"/>
                      <w:spacing w:val="-8"/>
                      <w:sz w:val="24"/>
                      <w:szCs w:val="24"/>
                    </w:rPr>
                  </w:pPr>
                  <w:r>
                    <w:rPr>
                      <w:rFonts w:ascii="仿宋_GB2312" w:eastAsia="仿宋_GB2312"/>
                      <w:spacing w:val="-8"/>
                      <w:sz w:val="24"/>
                      <w:szCs w:val="24"/>
                    </w:rPr>
                    <w:t>13</w:t>
                  </w:r>
                  <w:r>
                    <w:rPr>
                      <w:rFonts w:hint="eastAsia" w:ascii="仿宋_GB2312" w:eastAsia="仿宋_GB2312"/>
                      <w:spacing w:val="-8"/>
                      <w:sz w:val="24"/>
                      <w:szCs w:val="24"/>
                    </w:rPr>
                    <w:t>:</w:t>
                  </w:r>
                  <w:r>
                    <w:rPr>
                      <w:rFonts w:ascii="仿宋_GB2312" w:eastAsia="仿宋_GB2312"/>
                      <w:spacing w:val="-8"/>
                      <w:sz w:val="24"/>
                      <w:szCs w:val="24"/>
                    </w:rPr>
                    <w:t>0</w:t>
                  </w:r>
                  <w:r>
                    <w:rPr>
                      <w:rFonts w:hint="eastAsia" w:ascii="仿宋_GB2312" w:eastAsia="仿宋_GB2312"/>
                      <w:spacing w:val="-8"/>
                      <w:sz w:val="24"/>
                      <w:szCs w:val="24"/>
                    </w:rPr>
                    <w:t>0-</w:t>
                  </w:r>
                  <w:r>
                    <w:rPr>
                      <w:rFonts w:ascii="仿宋_GB2312" w:eastAsia="仿宋_GB2312"/>
                      <w:spacing w:val="-8"/>
                      <w:sz w:val="24"/>
                      <w:szCs w:val="24"/>
                    </w:rPr>
                    <w:t>13</w:t>
                  </w:r>
                  <w:r>
                    <w:rPr>
                      <w:rFonts w:hint="eastAsia" w:ascii="仿宋_GB2312" w:eastAsia="仿宋_GB2312"/>
                      <w:spacing w:val="-8"/>
                      <w:sz w:val="24"/>
                      <w:szCs w:val="24"/>
                    </w:rPr>
                    <w:t>:</w:t>
                  </w:r>
                  <w:r>
                    <w:rPr>
                      <w:rFonts w:ascii="仿宋_GB2312" w:eastAsia="仿宋_GB2312"/>
                      <w:spacing w:val="-8"/>
                      <w:sz w:val="24"/>
                      <w:szCs w:val="24"/>
                    </w:rPr>
                    <w:t>3</w:t>
                  </w:r>
                  <w:r>
                    <w:rPr>
                      <w:rFonts w:hint="eastAsia" w:ascii="仿宋_GB2312" w:eastAsia="仿宋_GB2312"/>
                      <w:spacing w:val="-8"/>
                      <w:sz w:val="24"/>
                      <w:szCs w:val="24"/>
                    </w:rPr>
                    <w:t>0</w:t>
                  </w:r>
                </w:p>
              </w:tc>
              <w:tc>
                <w:tcPr>
                  <w:tcW w:w="4150" w:type="dxa"/>
                </w:tcPr>
                <w:p>
                  <w:pPr>
                    <w:snapToGrid w:val="0"/>
                    <w:spacing w:line="580" w:lineRule="exact"/>
                    <w:jc w:val="center"/>
                    <w:rPr>
                      <w:rFonts w:ascii="仿宋_GB2312" w:eastAsia="仿宋_GB2312"/>
                      <w:spacing w:val="-8"/>
                      <w:sz w:val="24"/>
                      <w:szCs w:val="24"/>
                    </w:rPr>
                  </w:pPr>
                  <w:r>
                    <w:rPr>
                      <w:rFonts w:hint="eastAsia" w:ascii="仿宋_GB2312" w:eastAsia="仿宋_GB2312"/>
                      <w:spacing w:val="-8"/>
                      <w:sz w:val="24"/>
                      <w:szCs w:val="24"/>
                    </w:rPr>
                    <w:t>参赛选手赛前准备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tcPr>
                <w:p>
                  <w:pPr>
                    <w:snapToGrid w:val="0"/>
                    <w:spacing w:line="580" w:lineRule="exact"/>
                    <w:jc w:val="center"/>
                    <w:rPr>
                      <w:rFonts w:ascii="仿宋_GB2312" w:eastAsia="仿宋_GB2312"/>
                      <w:spacing w:val="-8"/>
                      <w:sz w:val="24"/>
                      <w:szCs w:val="24"/>
                    </w:rPr>
                  </w:pPr>
                  <w:r>
                    <w:rPr>
                      <w:rFonts w:ascii="仿宋_GB2312" w:eastAsia="仿宋_GB2312"/>
                      <w:spacing w:val="-8"/>
                      <w:sz w:val="24"/>
                      <w:szCs w:val="24"/>
                    </w:rPr>
                    <w:t>13</w:t>
                  </w:r>
                  <w:r>
                    <w:rPr>
                      <w:rFonts w:hint="eastAsia" w:ascii="仿宋_GB2312" w:eastAsia="仿宋_GB2312"/>
                      <w:spacing w:val="-8"/>
                      <w:sz w:val="24"/>
                      <w:szCs w:val="24"/>
                    </w:rPr>
                    <w:t>:</w:t>
                  </w:r>
                  <w:r>
                    <w:rPr>
                      <w:rFonts w:ascii="仿宋_GB2312" w:eastAsia="仿宋_GB2312"/>
                      <w:spacing w:val="-8"/>
                      <w:sz w:val="24"/>
                      <w:szCs w:val="24"/>
                    </w:rPr>
                    <w:t>3</w:t>
                  </w:r>
                  <w:r>
                    <w:rPr>
                      <w:rFonts w:hint="eastAsia" w:ascii="仿宋_GB2312" w:eastAsia="仿宋_GB2312"/>
                      <w:spacing w:val="-8"/>
                      <w:sz w:val="24"/>
                      <w:szCs w:val="24"/>
                    </w:rPr>
                    <w:t>0-</w:t>
                  </w:r>
                  <w:r>
                    <w:rPr>
                      <w:rFonts w:ascii="仿宋_GB2312" w:eastAsia="仿宋_GB2312"/>
                      <w:spacing w:val="-8"/>
                      <w:sz w:val="24"/>
                      <w:szCs w:val="24"/>
                    </w:rPr>
                    <w:t>15:00</w:t>
                  </w:r>
                </w:p>
              </w:tc>
              <w:tc>
                <w:tcPr>
                  <w:tcW w:w="4150" w:type="dxa"/>
                </w:tcPr>
                <w:p>
                  <w:pPr>
                    <w:snapToGrid w:val="0"/>
                    <w:spacing w:line="580" w:lineRule="exact"/>
                    <w:jc w:val="center"/>
                    <w:rPr>
                      <w:rFonts w:ascii="仿宋_GB2312" w:eastAsia="仿宋_GB2312"/>
                      <w:spacing w:val="-8"/>
                      <w:sz w:val="24"/>
                      <w:szCs w:val="24"/>
                    </w:rPr>
                  </w:pPr>
                  <w:r>
                    <w:rPr>
                      <w:rFonts w:hint="eastAsia" w:ascii="仿宋_GB2312" w:eastAsia="仿宋_GB2312"/>
                      <w:spacing w:val="-8"/>
                      <w:sz w:val="24"/>
                      <w:szCs w:val="24"/>
                    </w:rPr>
                    <w:t>参赛选手比赛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0" w:type="dxa"/>
                </w:tcPr>
                <w:p>
                  <w:pPr>
                    <w:snapToGrid w:val="0"/>
                    <w:spacing w:line="580" w:lineRule="exact"/>
                    <w:jc w:val="center"/>
                    <w:rPr>
                      <w:rFonts w:ascii="仿宋_GB2312" w:eastAsia="仿宋_GB2312"/>
                      <w:spacing w:val="-8"/>
                      <w:sz w:val="24"/>
                      <w:szCs w:val="24"/>
                    </w:rPr>
                  </w:pPr>
                  <w:r>
                    <w:rPr>
                      <w:rFonts w:hint="eastAsia" w:ascii="仿宋_GB2312" w:eastAsia="仿宋_GB2312"/>
                      <w:spacing w:val="-8"/>
                      <w:sz w:val="24"/>
                      <w:szCs w:val="24"/>
                    </w:rPr>
                    <w:t>15:00-</w:t>
                  </w:r>
                  <w:r>
                    <w:rPr>
                      <w:rFonts w:ascii="仿宋_GB2312" w:eastAsia="仿宋_GB2312"/>
                      <w:spacing w:val="-8"/>
                      <w:sz w:val="24"/>
                      <w:szCs w:val="24"/>
                    </w:rPr>
                    <w:t>20</w:t>
                  </w:r>
                  <w:r>
                    <w:rPr>
                      <w:rFonts w:hint="eastAsia" w:ascii="仿宋_GB2312" w:eastAsia="仿宋_GB2312"/>
                      <w:spacing w:val="-8"/>
                      <w:sz w:val="24"/>
                      <w:szCs w:val="24"/>
                    </w:rPr>
                    <w:t>:</w:t>
                  </w:r>
                  <w:r>
                    <w:rPr>
                      <w:rFonts w:ascii="仿宋_GB2312" w:eastAsia="仿宋_GB2312"/>
                      <w:spacing w:val="-8"/>
                      <w:sz w:val="24"/>
                      <w:szCs w:val="24"/>
                    </w:rPr>
                    <w:t>0</w:t>
                  </w:r>
                  <w:r>
                    <w:rPr>
                      <w:rFonts w:hint="eastAsia" w:ascii="仿宋_GB2312" w:eastAsia="仿宋_GB2312"/>
                      <w:spacing w:val="-8"/>
                      <w:sz w:val="24"/>
                      <w:szCs w:val="24"/>
                    </w:rPr>
                    <w:t>0</w:t>
                  </w:r>
                </w:p>
              </w:tc>
              <w:tc>
                <w:tcPr>
                  <w:tcW w:w="4150" w:type="dxa"/>
                </w:tcPr>
                <w:p>
                  <w:pPr>
                    <w:snapToGrid w:val="0"/>
                    <w:spacing w:line="580" w:lineRule="exact"/>
                    <w:jc w:val="center"/>
                    <w:rPr>
                      <w:rFonts w:ascii="仿宋_GB2312" w:eastAsia="仿宋_GB2312"/>
                      <w:spacing w:val="-8"/>
                      <w:sz w:val="24"/>
                      <w:szCs w:val="24"/>
                    </w:rPr>
                  </w:pPr>
                  <w:r>
                    <w:rPr>
                      <w:rFonts w:hint="eastAsia" w:ascii="仿宋_GB2312" w:eastAsia="仿宋_GB2312"/>
                      <w:spacing w:val="-8"/>
                      <w:sz w:val="24"/>
                      <w:szCs w:val="24"/>
                    </w:rPr>
                    <w:t>成绩评定</w:t>
                  </w:r>
                </w:p>
              </w:tc>
            </w:tr>
          </w:tbl>
          <w:p>
            <w:pPr>
              <w:autoSpaceDE w:val="0"/>
              <w:autoSpaceDN w:val="0"/>
              <w:adjustRightInd w:val="0"/>
              <w:snapToGrid w:val="0"/>
              <w:spacing w:line="360" w:lineRule="auto"/>
              <w:ind w:right="210" w:rightChars="100"/>
              <w:jc w:val="left"/>
              <w:rPr>
                <w:rFonts w:ascii="宋体" w:hAnsi="宋体" w:eastAsia="宋体" w:cs="宋体"/>
                <w:b/>
                <w:kern w:val="0"/>
                <w:sz w:val="22"/>
                <w:szCs w:val="21"/>
              </w:rPr>
            </w:pPr>
          </w:p>
        </w:tc>
      </w:tr>
    </w:tbl>
    <w:p>
      <w:pPr>
        <w:keepNext w:val="0"/>
        <w:keepLines w:val="0"/>
        <w:pageBreakBefore w:val="0"/>
        <w:widowControl/>
        <w:kinsoku/>
        <w:wordWrap/>
        <w:overflowPunct/>
        <w:topLinePunct w:val="0"/>
        <w:autoSpaceDE w:val="0"/>
        <w:autoSpaceDN w:val="0"/>
        <w:bidi w:val="0"/>
        <w:adjustRightInd/>
        <w:snapToGrid/>
        <w:spacing w:before="157" w:beforeLines="50" w:after="157" w:afterLines="50"/>
        <w:jc w:val="left"/>
        <w:textAlignment w:val="auto"/>
        <w:rPr>
          <w:rFonts w:ascii="黑体" w:hAnsi="宋体" w:eastAsia="黑体" w:cs="宋体"/>
          <w:kern w:val="0"/>
          <w:sz w:val="32"/>
          <w:szCs w:val="32"/>
        </w:rPr>
      </w:pPr>
      <w:r>
        <w:rPr>
          <w:rFonts w:hint="eastAsia" w:ascii="黑体" w:hAnsi="宋体" w:eastAsia="黑体" w:cs="宋体"/>
          <w:kern w:val="0"/>
          <w:sz w:val="32"/>
          <w:szCs w:val="32"/>
        </w:rPr>
        <w:t>六、竞赛规则</w:t>
      </w:r>
    </w:p>
    <w:tbl>
      <w:tblPr>
        <w:tblStyle w:val="4"/>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82" w:hRule="atLeast"/>
          <w:jc w:val="center"/>
        </w:trPr>
        <w:tc>
          <w:tcPr>
            <w:tcW w:w="9398"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1.参赛选手资格。参赛选手须为信息工程系在籍注册学生。</w:t>
            </w:r>
          </w:p>
          <w:p>
            <w:pPr>
              <w:keepNext w:val="0"/>
              <w:keepLines w:val="0"/>
              <w:pageBreakBefore w:val="0"/>
              <w:widowControl w:val="0"/>
              <w:kinsoku/>
              <w:wordWrap/>
              <w:overflowPunct/>
              <w:topLinePunct w:val="0"/>
              <w:autoSpaceDE w:val="0"/>
              <w:autoSpaceDN w:val="0"/>
              <w:bidi w:val="0"/>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2.比赛期间参赛选手原则上不得离开比赛场地。</w:t>
            </w:r>
          </w:p>
          <w:p>
            <w:pPr>
              <w:keepNext w:val="0"/>
              <w:keepLines w:val="0"/>
              <w:pageBreakBefore w:val="0"/>
              <w:widowControl w:val="0"/>
              <w:kinsoku/>
              <w:wordWrap/>
              <w:overflowPunct/>
              <w:topLinePunct w:val="0"/>
              <w:autoSpaceDE w:val="0"/>
              <w:autoSpaceDN w:val="0"/>
              <w:bidi w:val="0"/>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3.参赛选手在赛前30分钟，到达赛场等候，并凭学生证、身份证检录，不得迟到早退，未按照规定时间到场并检录者视为自动放弃比赛。比赛正式开始后方可进行相关操作。</w:t>
            </w:r>
          </w:p>
          <w:p>
            <w:pPr>
              <w:keepNext w:val="0"/>
              <w:keepLines w:val="0"/>
              <w:pageBreakBefore w:val="0"/>
              <w:widowControl w:val="0"/>
              <w:kinsoku/>
              <w:wordWrap/>
              <w:overflowPunct/>
              <w:topLinePunct w:val="0"/>
              <w:autoSpaceDE w:val="0"/>
              <w:autoSpaceDN w:val="0"/>
              <w:bidi w:val="0"/>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4.在比赛过程中，参赛选手如有疑问，应举手示意，现场裁判应按要求及时予以答疑。</w:t>
            </w:r>
          </w:p>
          <w:p>
            <w:pPr>
              <w:keepNext w:val="0"/>
              <w:keepLines w:val="0"/>
              <w:pageBreakBefore w:val="0"/>
              <w:widowControl w:val="0"/>
              <w:kinsoku/>
              <w:wordWrap/>
              <w:overflowPunct/>
              <w:topLinePunct w:val="0"/>
              <w:autoSpaceDE w:val="0"/>
              <w:autoSpaceDN w:val="0"/>
              <w:bidi w:val="0"/>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5.比赛时间结束，选手应结束操作，提交竞赛答题文档。</w:t>
            </w:r>
          </w:p>
          <w:p>
            <w:pPr>
              <w:keepNext w:val="0"/>
              <w:keepLines w:val="0"/>
              <w:pageBreakBefore w:val="0"/>
              <w:widowControl w:val="0"/>
              <w:kinsoku/>
              <w:wordWrap/>
              <w:overflowPunct/>
              <w:topLinePunct w:val="0"/>
              <w:autoSpaceDE w:val="0"/>
              <w:autoSpaceDN w:val="0"/>
              <w:bidi w:val="0"/>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6.赛项裁判应严格遵守赛项各项规章制度，确保比赛公平、公正、公开。比赛当天13:00起，赛项裁判应上交所有通信设备，由赛项执委会统一保管。</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ascii="宋体" w:hAnsi="宋体" w:eastAsia="宋体" w:cs="宋体"/>
                <w:b/>
                <w:kern w:val="0"/>
                <w:sz w:val="22"/>
                <w:szCs w:val="21"/>
              </w:rPr>
            </w:pPr>
            <w:r>
              <w:rPr>
                <w:rFonts w:ascii="仿宋_GB2312" w:hAnsi="仿宋_GB2312" w:eastAsia="仿宋_GB2312" w:cs="仿宋_GB2312"/>
                <w:kern w:val="0"/>
                <w:sz w:val="24"/>
                <w:szCs w:val="24"/>
              </w:rPr>
              <w:t xml:space="preserve">7.比赛结束，评分裁判进行成绩评判。最终竞赛成绩经复核无误，由裁判长、监督长签字确认后，以纸质形式向全体参赛人员进行公布。  </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七、技术规范</w:t>
      </w:r>
    </w:p>
    <w:tbl>
      <w:tblPr>
        <w:tblStyle w:val="4"/>
        <w:tblW w:w="9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5" w:hRule="atLeast"/>
          <w:jc w:val="center"/>
        </w:trPr>
        <w:tc>
          <w:tcPr>
            <w:tcW w:w="9278"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snapToGrid/>
              <w:spacing w:before="157" w:beforeLines="50" w:line="360" w:lineRule="auto"/>
              <w:ind w:left="0"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竞赛项目的命题结合企业职业岗位对人才培养需求，并参照以下相关标准制定：</w:t>
            </w:r>
          </w:p>
          <w:p>
            <w:pPr>
              <w:pStyle w:val="10"/>
              <w:keepNext w:val="0"/>
              <w:keepLines w:val="0"/>
              <w:pageBreakBefore w:val="0"/>
              <w:widowControl w:val="0"/>
              <w:numPr>
                <w:ilvl w:val="0"/>
                <w:numId w:val="1"/>
              </w:numPr>
              <w:kinsoku/>
              <w:wordWrap/>
              <w:overflowPunct/>
              <w:topLinePunct w:val="0"/>
              <w:autoSpaceDE w:val="0"/>
              <w:autoSpaceDN w:val="0"/>
              <w:bidi w:val="0"/>
              <w:spacing w:line="360" w:lineRule="auto"/>
              <w:ind w:left="0"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 xml:space="preserve">ISO/IEC 29182-5-2013 信息技术-传感器网络：传感器网络参考体系结构《物联网安装调试员国家职业技能标准》； </w:t>
            </w:r>
          </w:p>
          <w:p>
            <w:pPr>
              <w:pStyle w:val="10"/>
              <w:keepNext w:val="0"/>
              <w:keepLines w:val="0"/>
              <w:pageBreakBefore w:val="0"/>
              <w:widowControl w:val="0"/>
              <w:numPr>
                <w:ilvl w:val="0"/>
                <w:numId w:val="1"/>
              </w:numPr>
              <w:kinsoku/>
              <w:wordWrap/>
              <w:overflowPunct/>
              <w:topLinePunct w:val="0"/>
              <w:autoSpaceDE w:val="0"/>
              <w:autoSpaceDN w:val="0"/>
              <w:bidi w:val="0"/>
              <w:spacing w:line="360" w:lineRule="auto"/>
              <w:ind w:left="0"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 xml:space="preserve">GB/T 33474-2016 物联网参考体系结构； </w:t>
            </w:r>
          </w:p>
          <w:p>
            <w:pPr>
              <w:pStyle w:val="10"/>
              <w:keepNext w:val="0"/>
              <w:keepLines w:val="0"/>
              <w:pageBreakBefore w:val="0"/>
              <w:widowControl w:val="0"/>
              <w:numPr>
                <w:ilvl w:val="0"/>
                <w:numId w:val="1"/>
              </w:numPr>
              <w:kinsoku/>
              <w:wordWrap/>
              <w:overflowPunct/>
              <w:topLinePunct w:val="0"/>
              <w:autoSpaceDE w:val="0"/>
              <w:autoSpaceDN w:val="0"/>
              <w:bidi w:val="0"/>
              <w:spacing w:line="360" w:lineRule="auto"/>
              <w:ind w:left="0"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GB 50311-2016 综合布线系统工程设计规范；</w:t>
            </w:r>
          </w:p>
          <w:p>
            <w:pPr>
              <w:pStyle w:val="10"/>
              <w:keepNext w:val="0"/>
              <w:keepLines w:val="0"/>
              <w:pageBreakBefore w:val="0"/>
              <w:widowControl w:val="0"/>
              <w:numPr>
                <w:ilvl w:val="0"/>
                <w:numId w:val="1"/>
              </w:numPr>
              <w:kinsoku/>
              <w:wordWrap/>
              <w:overflowPunct/>
              <w:topLinePunct w:val="0"/>
              <w:autoSpaceDE w:val="0"/>
              <w:autoSpaceDN w:val="0"/>
              <w:bidi w:val="0"/>
              <w:spacing w:line="360" w:lineRule="auto"/>
              <w:ind w:left="0"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GB21671-2008基于以太网技术的局域网系统验收测评规范；</w:t>
            </w:r>
          </w:p>
          <w:p>
            <w:pPr>
              <w:pStyle w:val="10"/>
              <w:keepNext w:val="0"/>
              <w:keepLines w:val="0"/>
              <w:pageBreakBefore w:val="0"/>
              <w:widowControl w:val="0"/>
              <w:numPr>
                <w:ilvl w:val="0"/>
                <w:numId w:val="1"/>
              </w:numPr>
              <w:kinsoku/>
              <w:wordWrap/>
              <w:overflowPunct/>
              <w:topLinePunct w:val="0"/>
              <w:autoSpaceDE w:val="0"/>
              <w:autoSpaceDN w:val="0"/>
              <w:bidi w:val="0"/>
              <w:spacing w:line="360" w:lineRule="auto"/>
              <w:ind w:left="0"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GB/T 34068-2017 物联网总体技术智能传感器接口规范；</w:t>
            </w:r>
          </w:p>
          <w:p>
            <w:pPr>
              <w:pStyle w:val="10"/>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left="0"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GB/T 33745-2017 物联网术语。</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八、技术环境</w:t>
      </w:r>
    </w:p>
    <w:tbl>
      <w:tblPr>
        <w:tblStyle w:val="4"/>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5" w:hRule="atLeast"/>
          <w:jc w:val="center"/>
        </w:trPr>
        <w:tc>
          <w:tcPr>
            <w:tcW w:w="9468" w:type="dxa"/>
            <w:tcBorders>
              <w:top w:val="single" w:color="000000" w:sz="2" w:space="0"/>
              <w:left w:val="single" w:color="000000" w:sz="2" w:space="0"/>
              <w:right w:val="single" w:color="000000" w:sz="2" w:space="0"/>
            </w:tcBorders>
          </w:tcPr>
          <w:p>
            <w:pPr>
              <w:autoSpaceDE w:val="0"/>
              <w:autoSpaceDN w:val="0"/>
              <w:adjustRightInd w:val="0"/>
              <w:snapToGrid w:val="0"/>
              <w:spacing w:line="360" w:lineRule="auto"/>
              <w:ind w:right="210" w:rightChars="100" w:firstLine="480" w:firstLineChars="200"/>
              <w:jc w:val="left"/>
              <w:rPr>
                <w:rFonts w:hint="eastAsia" w:ascii="仿宋_GB2312" w:hAnsi="仿宋_GB2312" w:eastAsia="仿宋_GB2312" w:cs="仿宋_GB2312"/>
                <w:kern w:val="0"/>
                <w:sz w:val="24"/>
                <w:szCs w:val="24"/>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竞赛设备：笔记本电脑或实训室电脑。</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网络环境：互联网。</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竞赛场地包括参赛选手竞赛区域、裁判及技术支持区域。</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参赛选手竞赛区域。每个竞赛工位标有醒目的工位编号，确保参赛选手之间互不干扰。</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裁判及技术支持区域。供裁判、技术支持人员休息及工作场地。</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九、竞赛样题</w:t>
      </w:r>
    </w:p>
    <w:tbl>
      <w:tblPr>
        <w:tblStyle w:val="4"/>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6" w:hRule="atLeast"/>
          <w:jc w:val="center"/>
        </w:trPr>
        <w:tc>
          <w:tcPr>
            <w:tcW w:w="9357"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仿宋_GB2312" w:hAnsi="仿宋_GB2312" w:eastAsia="仿宋_GB2312" w:cs="仿宋_GB2312"/>
                <w:sz w:val="24"/>
                <w:szCs w:val="24"/>
              </w:rPr>
            </w:pPr>
            <w:r>
              <w:rPr>
                <w:rFonts w:ascii="仿宋_GB2312" w:hAnsi="仿宋_GB2312" w:eastAsia="仿宋_GB2312" w:cs="仿宋_GB2312"/>
                <w:sz w:val="24"/>
                <w:szCs w:val="24"/>
              </w:rPr>
              <w:t>本赛项的命题工作由</w:t>
            </w:r>
            <w:r>
              <w:rPr>
                <w:rFonts w:hint="eastAsia" w:ascii="仿宋_GB2312" w:hAnsi="仿宋_GB2312" w:eastAsia="仿宋_GB2312" w:cs="仿宋_GB2312"/>
                <w:sz w:val="24"/>
                <w:szCs w:val="24"/>
              </w:rPr>
              <w:t>院校内一线教师组成赛项组</w:t>
            </w:r>
            <w:r>
              <w:rPr>
                <w:rFonts w:ascii="仿宋_GB2312" w:hAnsi="仿宋_GB2312" w:eastAsia="仿宋_GB2312" w:cs="仿宋_GB2312"/>
                <w:sz w:val="24"/>
                <w:szCs w:val="24"/>
              </w:rPr>
              <w:t>负责，按照赛项规程的内容要求，依据教育部颁发的职业院校相关专业人才培养标准和国家职业标准确定方向和难度，结合高职物联网人才培养要求和物联网企业岗位需要进行设计。</w:t>
            </w:r>
          </w:p>
          <w:p>
            <w:pPr>
              <w:spacing w:line="360" w:lineRule="auto"/>
              <w:ind w:firstLine="482" w:firstLineChars="200"/>
              <w:rPr>
                <w:rFonts w:ascii="黑体" w:hAnsi="黑体" w:eastAsia="黑体" w:cs="黑体"/>
                <w:b/>
                <w:bCs/>
                <w:sz w:val="24"/>
                <w:szCs w:val="24"/>
              </w:rPr>
            </w:pPr>
            <w:r>
              <w:rPr>
                <w:rFonts w:hint="eastAsia" w:ascii="黑体" w:hAnsi="黑体" w:eastAsia="黑体" w:cs="黑体"/>
                <w:b/>
                <w:bCs/>
                <w:sz w:val="24"/>
                <w:szCs w:val="24"/>
              </w:rPr>
              <w:t>模块一：物联网方案设计模块（2</w:t>
            </w:r>
            <w:r>
              <w:rPr>
                <w:rFonts w:ascii="黑体" w:hAnsi="黑体" w:eastAsia="黑体" w:cs="黑体"/>
                <w:b/>
                <w:bCs/>
                <w:sz w:val="24"/>
                <w:szCs w:val="24"/>
              </w:rPr>
              <w:t>0</w:t>
            </w:r>
            <w:r>
              <w:rPr>
                <w:rFonts w:hint="eastAsia" w:ascii="黑体" w:hAnsi="黑体" w:eastAsia="黑体" w:cs="黑体"/>
                <w:b/>
                <w:bCs/>
                <w:sz w:val="24"/>
                <w:szCs w:val="24"/>
              </w:rPr>
              <w:t>分）</w:t>
            </w:r>
          </w:p>
          <w:p>
            <w:pPr>
              <w:spacing w:line="360" w:lineRule="auto"/>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本模块需要选手以智慧城市路灯为例，依托华为云物联网平台完成物联网设备端、通信技术选择、端云互通组件选择及物联网应用侧的设计，基于博赛智能物联开发实训箱完成</w:t>
            </w:r>
            <w:r>
              <w:rPr>
                <w:rFonts w:hint="eastAsia" w:ascii="仿宋_GB2312" w:hAnsi="仿宋_GB2312" w:eastAsia="仿宋_GB2312" w:cs="仿宋_GB2312"/>
                <w:sz w:val="24"/>
                <w:szCs w:val="24"/>
              </w:rPr>
              <w:t>华为轻量级物联网操作系统</w:t>
            </w:r>
            <w:r>
              <w:rPr>
                <w:rFonts w:ascii="仿宋_GB2312" w:hAnsi="仿宋_GB2312" w:eastAsia="仿宋_GB2312" w:cs="仿宋_GB2312"/>
                <w:sz w:val="24"/>
                <w:szCs w:val="24"/>
              </w:rPr>
              <w:t xml:space="preserve"> LiteOS 端侧集成，最终完成端云互通调测（模拟），实现华为云IoTDA平台对智慧城市路灯的实时监控及补光操作的远程自动化控制</w:t>
            </w:r>
            <w:r>
              <w:rPr>
                <w:rFonts w:hint="eastAsia" w:ascii="仿宋_GB2312" w:hAnsi="仿宋_GB2312" w:eastAsia="仿宋_GB2312" w:cs="仿宋_GB2312"/>
                <w:sz w:val="24"/>
                <w:szCs w:val="24"/>
              </w:rPr>
              <w:t>，设计方案通过流程图形式绘制在word文档中。</w:t>
            </w:r>
          </w:p>
          <w:p>
            <w:pPr>
              <w:spacing w:line="360" w:lineRule="auto"/>
              <w:ind w:firstLine="482" w:firstLineChars="200"/>
              <w:rPr>
                <w:rFonts w:ascii="黑体" w:hAnsi="黑体" w:eastAsia="黑体" w:cs="黑体"/>
                <w:b/>
                <w:bCs/>
                <w:sz w:val="24"/>
                <w:szCs w:val="24"/>
              </w:rPr>
            </w:pPr>
            <w:r>
              <w:rPr>
                <w:rFonts w:hint="eastAsia" w:ascii="黑体" w:hAnsi="黑体" w:eastAsia="黑体" w:cs="黑体"/>
                <w:b/>
                <w:bCs/>
                <w:sz w:val="24"/>
                <w:szCs w:val="24"/>
              </w:rPr>
              <w:t>模块二：物联网应用开发与调试（</w:t>
            </w:r>
            <w:r>
              <w:rPr>
                <w:rFonts w:ascii="黑体" w:hAnsi="黑体" w:eastAsia="黑体" w:cs="黑体"/>
                <w:b/>
                <w:bCs/>
                <w:sz w:val="24"/>
                <w:szCs w:val="24"/>
              </w:rPr>
              <w:t>4</w:t>
            </w:r>
            <w:r>
              <w:rPr>
                <w:rFonts w:hint="eastAsia" w:ascii="黑体" w:hAnsi="黑体" w:eastAsia="黑体" w:cs="黑体"/>
                <w:b/>
                <w:bCs/>
                <w:sz w:val="24"/>
                <w:szCs w:val="24"/>
              </w:rPr>
              <w:t>0分）</w:t>
            </w:r>
          </w:p>
          <w:p>
            <w:pPr>
              <w:spacing w:line="360" w:lineRule="auto"/>
              <w:ind w:firstLine="480" w:firstLineChars="200"/>
              <w:rPr>
                <w:rFonts w:ascii="仿宋_GB2312" w:hAnsi="仿宋_GB2312" w:eastAsia="仿宋_GB2312" w:cs="仿宋_GB2312"/>
                <w:sz w:val="24"/>
                <w:szCs w:val="24"/>
              </w:rPr>
            </w:pPr>
            <w:r>
              <w:rPr>
                <w:rFonts w:ascii="仿宋_GB2312" w:hAnsi="仿宋_GB2312" w:eastAsia="仿宋_GB2312" w:cs="仿宋_GB2312"/>
                <w:sz w:val="24"/>
                <w:szCs w:val="24"/>
              </w:rPr>
              <w:t>在华为云物联网平台IoTDA中完成产品模型的开发及编解码插件开发的内容，并通过以下设备模拟器完成应用-</w:t>
            </w:r>
            <w:r>
              <w:rPr>
                <w:rFonts w:hint="eastAsia" w:ascii="仿宋_GB2312" w:hAnsi="仿宋_GB2312" w:eastAsia="仿宋_GB2312" w:cs="仿宋_GB2312"/>
                <w:sz w:val="24"/>
                <w:szCs w:val="24"/>
              </w:rPr>
              <w:t>平台</w:t>
            </w:r>
            <w:r>
              <w:rPr>
                <w:rFonts w:ascii="仿宋_GB2312" w:hAnsi="仿宋_GB2312" w:eastAsia="仿宋_GB2312" w:cs="仿宋_GB2312"/>
                <w:sz w:val="24"/>
                <w:szCs w:val="24"/>
              </w:rPr>
              <w:t>-</w:t>
            </w:r>
            <w:r>
              <w:rPr>
                <w:rFonts w:hint="eastAsia" w:ascii="仿宋_GB2312" w:hAnsi="仿宋_GB2312" w:eastAsia="仿宋_GB2312" w:cs="仿宋_GB2312"/>
                <w:sz w:val="24"/>
                <w:szCs w:val="24"/>
              </w:rPr>
              <w:t>设备的</w:t>
            </w:r>
            <w:r>
              <w:rPr>
                <w:rFonts w:ascii="仿宋_GB2312" w:hAnsi="仿宋_GB2312" w:eastAsia="仿宋_GB2312" w:cs="仿宋_GB2312"/>
                <w:sz w:val="24"/>
                <w:szCs w:val="24"/>
              </w:rPr>
              <w:t>端云互通调测。</w:t>
            </w:r>
          </w:p>
          <w:p>
            <w:pPr>
              <w:keepNext/>
              <w:keepLines/>
              <w:spacing w:before="260" w:after="260" w:line="416" w:lineRule="auto"/>
              <w:jc w:val="center"/>
              <w:outlineLvl w:val="2"/>
              <w:rPr>
                <w:rFonts w:ascii="等线" w:hAnsi="等线" w:eastAsia="等线" w:cs="Times New Roman"/>
                <w:b/>
                <w:bCs/>
                <w:sz w:val="32"/>
                <w:szCs w:val="32"/>
              </w:rPr>
            </w:pPr>
            <w:r>
              <w:rPr>
                <w:rFonts w:ascii="等线" w:hAnsi="等线" w:eastAsia="等线" w:cs="Times New Roman"/>
                <w:b/>
                <w:bCs/>
                <w:sz w:val="24"/>
                <w:szCs w:val="24"/>
              </w:rPr>
              <w:object>
                <v:shape id="_x0000_i1025" o:spt="75" type="#_x0000_t75" style="height:42pt;width:160pt;" o:ole="t" filled="f" o:preferrelative="t" stroked="f" coordsize="21600,21600">
                  <v:path/>
                  <v:fill on="f" focussize="0,0"/>
                  <v:stroke on="f"/>
                  <v:imagedata r:id="rId5" o:title=""/>
                  <o:lock v:ext="edit" aspectratio="t"/>
                  <w10:wrap type="none"/>
                  <w10:anchorlock/>
                </v:shape>
                <o:OLEObject Type="Embed" ProgID="Package" ShapeID="_x0000_i1025" DrawAspect="Content" ObjectID="_1468075725" r:id="rId4">
                  <o:LockedField>false</o:LockedField>
                </o:OLEObject>
              </w:object>
            </w:r>
          </w:p>
          <w:p>
            <w:pPr>
              <w:spacing w:line="360" w:lineRule="auto"/>
              <w:ind w:firstLine="482" w:firstLineChars="200"/>
              <w:rPr>
                <w:rFonts w:ascii="黑体" w:hAnsi="黑体" w:eastAsia="黑体" w:cs="黑体"/>
                <w:b/>
                <w:bCs/>
                <w:sz w:val="24"/>
                <w:szCs w:val="24"/>
              </w:rPr>
            </w:pPr>
            <w:r>
              <w:rPr>
                <w:rFonts w:hint="eastAsia" w:ascii="黑体" w:hAnsi="黑体" w:eastAsia="黑体" w:cs="黑体"/>
                <w:b/>
                <w:bCs/>
                <w:sz w:val="24"/>
                <w:szCs w:val="24"/>
              </w:rPr>
              <w:t>模块三：物联网设备侧开发（</w:t>
            </w:r>
            <w:r>
              <w:rPr>
                <w:rFonts w:ascii="黑体" w:hAnsi="黑体" w:eastAsia="黑体" w:cs="黑体"/>
                <w:b/>
                <w:bCs/>
                <w:sz w:val="24"/>
                <w:szCs w:val="24"/>
              </w:rPr>
              <w:t>4</w:t>
            </w:r>
            <w:r>
              <w:rPr>
                <w:rFonts w:hint="eastAsia" w:ascii="黑体" w:hAnsi="黑体" w:eastAsia="黑体" w:cs="黑体"/>
                <w:b/>
                <w:bCs/>
                <w:sz w:val="24"/>
                <w:szCs w:val="24"/>
              </w:rPr>
              <w:t>0分）</w:t>
            </w:r>
          </w:p>
          <w:p>
            <w:pPr>
              <w:spacing w:line="360" w:lineRule="auto"/>
              <w:ind w:firstLine="480" w:firstLineChars="200"/>
              <w:rPr>
                <w:rFonts w:ascii="宋体" w:hAnsi="宋体" w:eastAsia="宋体" w:cs="宋体"/>
                <w:b/>
                <w:kern w:val="0"/>
                <w:sz w:val="22"/>
                <w:szCs w:val="21"/>
              </w:rPr>
            </w:pPr>
            <w:r>
              <w:rPr>
                <w:rFonts w:hint="eastAsia" w:ascii="仿宋_GB2312" w:hAnsi="仿宋_GB2312" w:eastAsia="仿宋_GB2312" w:cs="仿宋_GB2312"/>
                <w:sz w:val="24"/>
                <w:szCs w:val="24"/>
              </w:rPr>
              <w:t>使用相应的代码编辑软件打开计算机D盘根目录下的项目代码，根据代码注释提示，将智慧城市路灯案例代码根据模块一中的设计方案补充完整。</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十、赛项安全</w:t>
      </w:r>
    </w:p>
    <w:tbl>
      <w:tblPr>
        <w:tblStyle w:val="4"/>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9293"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成立赛项安全保障小组，由</w:t>
            </w:r>
            <w:r>
              <w:rPr>
                <w:rFonts w:hint="eastAsia" w:ascii="仿宋_GB2312" w:hAnsi="仿宋_GB2312" w:eastAsia="仿宋_GB2312" w:cs="仿宋_GB2312"/>
                <w:sz w:val="24"/>
                <w:szCs w:val="24"/>
                <w:lang w:val="en-US" w:eastAsia="zh-CN"/>
              </w:rPr>
              <w:t>系</w:t>
            </w:r>
            <w:r>
              <w:rPr>
                <w:rFonts w:hint="eastAsia" w:ascii="仿宋_GB2312" w:hAnsi="仿宋_GB2312" w:eastAsia="仿宋_GB2312" w:cs="仿宋_GB2312"/>
                <w:sz w:val="24"/>
                <w:szCs w:val="24"/>
              </w:rPr>
              <w:t>领导担任组长，确保责任到人。赛场周围设立警戒线，所有参赛人员必须凭有效证件进入场地。安全保障小组随时对赛场进行巡查、监督，确保安全。</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十一、成绩评定</w:t>
      </w:r>
    </w:p>
    <w:tbl>
      <w:tblPr>
        <w:tblStyle w:val="4"/>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1" w:hRule="atLeast"/>
          <w:jc w:val="center"/>
        </w:trPr>
        <w:tc>
          <w:tcPr>
            <w:tcW w:w="9263"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竞赛评分本着公平、公正、公开的原则，评分标准以技能考核为主，兼顾对参赛选手价值观与态度、应变能力、团队协作精神和职业素养综合评定。</w:t>
            </w:r>
          </w:p>
          <w:p>
            <w:pPr>
              <w:keepNext w:val="0"/>
              <w:keepLines w:val="0"/>
              <w:pageBreakBefore w:val="0"/>
              <w:widowControl w:val="0"/>
              <w:kinsoku/>
              <w:wordWrap/>
              <w:overflowPunct/>
              <w:topLinePunct w:val="0"/>
              <w:bidi w:val="0"/>
              <w:spacing w:line="360" w:lineRule="auto"/>
              <w:ind w:right="0" w:rightChars="0" w:firstLine="480" w:firstLineChars="200"/>
              <w:textAlignment w:val="auto"/>
              <w:rPr>
                <w:rFonts w:hint="eastAsia" w:ascii="Times New Roman" w:hAnsi="Times New Roman" w:eastAsia="仿宋_GB2312" w:cs="Times New Roman"/>
                <w:sz w:val="24"/>
                <w:szCs w:val="24"/>
              </w:rPr>
            </w:pPr>
            <w:r>
              <w:rPr>
                <w:rFonts w:hint="eastAsia" w:ascii="Times New Roman" w:hAnsi="Times New Roman" w:eastAsia="仿宋_GB2312" w:cs="Times New Roman"/>
                <w:sz w:val="24"/>
                <w:szCs w:val="24"/>
              </w:rPr>
              <w:t>竞赛满分为100分。</w:t>
            </w:r>
            <w:bookmarkStart w:id="0" w:name="_GoBack"/>
            <w:bookmarkEnd w:id="0"/>
          </w:p>
          <w:p>
            <w:pPr>
              <w:keepNext w:val="0"/>
              <w:keepLines w:val="0"/>
              <w:pageBreakBefore w:val="0"/>
              <w:widowControl w:val="0"/>
              <w:kinsoku/>
              <w:wordWrap/>
              <w:overflowPunct/>
              <w:topLinePunct w:val="0"/>
              <w:bidi w:val="0"/>
              <w:spacing w:line="360" w:lineRule="auto"/>
              <w:ind w:right="0" w:rightChars="0" w:firstLine="480" w:firstLineChars="200"/>
              <w:textAlignment w:val="auto"/>
              <w:rPr>
                <w:rFonts w:hint="eastAsia" w:ascii="仿宋_GB2312" w:hAnsi="仿宋_GB2312" w:eastAsia="仿宋_GB2312" w:cs="仿宋_GB2312"/>
                <w:kern w:val="0"/>
                <w:sz w:val="24"/>
                <w:szCs w:val="24"/>
              </w:rPr>
            </w:pPr>
            <w:r>
              <w:rPr>
                <w:rFonts w:hint="eastAsia" w:ascii="Times New Roman" w:hAnsi="Times New Roman" w:eastAsia="仿宋_GB2312" w:cs="Times New Roman"/>
                <w:sz w:val="24"/>
                <w:szCs w:val="24"/>
              </w:rPr>
              <w:t>评分成绩=A模块</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20分）</w:t>
            </w:r>
            <w:r>
              <w:rPr>
                <w:rFonts w:hint="eastAsia" w:ascii="Times New Roman" w:hAnsi="Times New Roman" w:eastAsia="仿宋_GB2312" w:cs="Times New Roman"/>
                <w:sz w:val="24"/>
                <w:szCs w:val="24"/>
              </w:rPr>
              <w:t>+B模块</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40分）+C模块（40分）</w:t>
            </w:r>
            <w:r>
              <w:rPr>
                <w:rFonts w:hint="eastAsia" w:ascii="Times New Roman" w:hAnsi="Times New Roman" w:eastAsia="仿宋_GB2312" w:cs="Times New Roman"/>
                <w:sz w:val="24"/>
                <w:szCs w:val="24"/>
              </w:rPr>
              <w:t>。</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十二、奖项设置</w:t>
      </w:r>
    </w:p>
    <w:tbl>
      <w:tblPr>
        <w:tblStyle w:val="4"/>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9" w:hRule="atLeast"/>
          <w:jc w:val="center"/>
        </w:trPr>
        <w:tc>
          <w:tcPr>
            <w:tcW w:w="9323"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before="157" w:beforeLines="50" w:line="360" w:lineRule="auto"/>
              <w:ind w:right="0" w:rightChars="0" w:firstLine="480" w:firstLineChars="200"/>
              <w:textAlignment w:val="auto"/>
              <w:rPr>
                <w:rFonts w:ascii="Times New Roman" w:hAnsi="Times New Roman" w:eastAsia="仿宋_GB2312"/>
                <w:sz w:val="28"/>
                <w:szCs w:val="28"/>
              </w:rPr>
            </w:pPr>
            <w:r>
              <w:rPr>
                <w:rFonts w:hint="eastAsia" w:ascii="仿宋_GB2312" w:hAnsi="仿宋_GB2312" w:eastAsia="仿宋_GB2312" w:cs="仿宋_GB2312"/>
                <w:kern w:val="0"/>
                <w:sz w:val="24"/>
                <w:szCs w:val="24"/>
              </w:rPr>
              <w:t>竞赛设参赛选手团体奖，以赛项实际参赛队总数为基数，其中，设奖比例为：</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一等奖占比</w:t>
            </w:r>
            <w:r>
              <w:rPr>
                <w:rFonts w:ascii="仿宋_GB2312" w:hAnsi="仿宋_GB2312" w:eastAsia="仿宋_GB2312" w:cs="仿宋_GB2312"/>
                <w:kern w:val="0"/>
                <w:sz w:val="24"/>
                <w:szCs w:val="24"/>
              </w:rPr>
              <w:t xml:space="preserve"> 10%，二等奖占比 20%，三等奖占比 30%，小数点后四舍五入。</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获得一等奖的参赛队指导教师获“优秀指导教师奖”，授予荣誉证书。</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十三、赛项预案</w:t>
      </w:r>
    </w:p>
    <w:tbl>
      <w:tblPr>
        <w:tblStyle w:val="4"/>
        <w:tblW w:w="9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2" w:hRule="atLeast"/>
          <w:jc w:val="center"/>
        </w:trPr>
        <w:tc>
          <w:tcPr>
            <w:tcW w:w="9263"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right="0" w:rightChars="0" w:firstLine="480" w:firstLineChars="200"/>
              <w:jc w:val="left"/>
              <w:textAlignment w:val="auto"/>
              <w:rPr>
                <w:rFonts w:ascii="Times New Roman" w:hAnsi="Times New Roman" w:eastAsia="仿宋_GB2312"/>
                <w:sz w:val="24"/>
                <w:szCs w:val="24"/>
              </w:rPr>
            </w:pPr>
            <w:r>
              <w:rPr>
                <w:rFonts w:hint="eastAsia" w:ascii="Times New Roman" w:hAnsi="Times New Roman" w:eastAsia="仿宋_GB2312"/>
                <w:sz w:val="24"/>
                <w:szCs w:val="24"/>
                <w:lang w:val="en-US" w:eastAsia="zh-CN"/>
              </w:rPr>
              <w:t>1.</w:t>
            </w:r>
            <w:r>
              <w:rPr>
                <w:rFonts w:ascii="Times New Roman" w:hAnsi="Times New Roman" w:eastAsia="仿宋_GB2312"/>
                <w:sz w:val="24"/>
                <w:szCs w:val="24"/>
              </w:rPr>
              <w:t>比赛期间发生意外事故</w:t>
            </w:r>
            <w:r>
              <w:rPr>
                <w:rFonts w:ascii="仿宋_GB2312" w:hAnsi="仿宋_GB2312" w:eastAsia="仿宋_GB2312" w:cs="仿宋_GB2312"/>
                <w:kern w:val="0"/>
                <w:sz w:val="24"/>
                <w:szCs w:val="24"/>
              </w:rPr>
              <w:t>和安全问题</w:t>
            </w:r>
            <w:r>
              <w:rPr>
                <w:rFonts w:ascii="Times New Roman" w:hAnsi="Times New Roman" w:eastAsia="仿宋_GB2312"/>
                <w:sz w:val="24"/>
                <w:szCs w:val="24"/>
              </w:rPr>
              <w:t>，应第一时间报告赛项执委会，</w:t>
            </w:r>
            <w:r>
              <w:rPr>
                <w:rFonts w:ascii="仿宋_GB2312" w:hAnsi="仿宋_GB2312" w:eastAsia="仿宋_GB2312" w:cs="仿宋_GB2312"/>
                <w:kern w:val="0"/>
                <w:sz w:val="24"/>
                <w:szCs w:val="24"/>
              </w:rPr>
              <w:t>赛项执委会应采取中止比赛、快速疏散人群等措施避免事态扩大</w:t>
            </w:r>
            <w:r>
              <w:rPr>
                <w:rFonts w:ascii="Times New Roman" w:hAnsi="Times New Roman" w:eastAsia="仿宋_GB2312"/>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hint="default" w:ascii="Times New Roman" w:hAnsi="Times New Roman" w:eastAsia="仿宋_GB2312"/>
                <w:sz w:val="24"/>
                <w:szCs w:val="24"/>
                <w:lang w:val="en-US" w:eastAsia="zh-CN"/>
              </w:rPr>
            </w:pPr>
            <w:r>
              <w:rPr>
                <w:rFonts w:hint="eastAsia" w:ascii="Times New Roman" w:hAnsi="Times New Roman" w:eastAsia="仿宋_GB2312"/>
                <w:sz w:val="24"/>
                <w:szCs w:val="24"/>
                <w:lang w:val="en-US" w:eastAsia="zh-CN"/>
              </w:rPr>
              <w:t>2.</w:t>
            </w:r>
            <w:r>
              <w:rPr>
                <w:rFonts w:ascii="仿宋_GB2312" w:hAnsi="仿宋_GB2312" w:eastAsia="仿宋_GB2312" w:cs="仿宋_GB2312"/>
                <w:kern w:val="0"/>
                <w:sz w:val="24"/>
                <w:szCs w:val="24"/>
              </w:rPr>
              <w:t>竞赛过程中出现设备掉电、故障等意外时，现场裁判需及时确认情况，安排赛场技术支持人员进行处理，现场裁判登记详细情况，填写补时登记表，报裁判长批准后，可安排延长补足相应选手的比赛时间。</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十四、竞赛须知</w:t>
      </w:r>
    </w:p>
    <w:tbl>
      <w:tblPr>
        <w:tblStyle w:val="4"/>
        <w:tblW w:w="9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6" w:hRule="atLeast"/>
          <w:jc w:val="center"/>
        </w:trPr>
        <w:tc>
          <w:tcPr>
            <w:tcW w:w="9418"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right="0" w:rightChars="0" w:firstLine="480" w:firstLineChars="200"/>
              <w:jc w:val="left"/>
              <w:textAlignment w:val="auto"/>
              <w:rPr>
                <w:rFonts w:ascii="Times New Roman" w:hAnsi="Times New Roman" w:eastAsia="仿宋_GB2312"/>
                <w:sz w:val="24"/>
                <w:szCs w:val="24"/>
              </w:rPr>
            </w:pPr>
            <w:r>
              <w:rPr>
                <w:rFonts w:ascii="Times New Roman" w:hAnsi="Times New Roman" w:eastAsia="仿宋_GB2312"/>
                <w:sz w:val="24"/>
                <w:szCs w:val="24"/>
              </w:rPr>
              <w:t>1.参赛选手及指导教师在报名获得确认后，原则上不再更换。</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ascii="Times New Roman" w:hAnsi="Times New Roman" w:eastAsia="仿宋_GB2312"/>
                <w:sz w:val="24"/>
                <w:szCs w:val="24"/>
              </w:rPr>
            </w:pPr>
            <w:r>
              <w:rPr>
                <w:rFonts w:hint="eastAsia" w:ascii="Times New Roman" w:hAnsi="Times New Roman" w:eastAsia="仿宋_GB2312"/>
                <w:sz w:val="24"/>
                <w:szCs w:val="24"/>
                <w:lang w:val="en-US" w:eastAsia="zh-CN"/>
              </w:rPr>
              <w:t>2</w:t>
            </w:r>
            <w:r>
              <w:rPr>
                <w:rFonts w:ascii="Times New Roman" w:hAnsi="Times New Roman" w:eastAsia="仿宋_GB2312"/>
                <w:sz w:val="24"/>
                <w:szCs w:val="24"/>
              </w:rPr>
              <w:t>.竞赛选手严格遵守赛场规章、操作规程和工艺准则，保证人身及设备安全，接受裁判员的监督和警示，文明竞赛。</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ascii="Times New Roman" w:hAnsi="Times New Roman" w:eastAsia="仿宋_GB2312"/>
                <w:sz w:val="24"/>
                <w:szCs w:val="24"/>
              </w:rPr>
            </w:pPr>
            <w:r>
              <w:rPr>
                <w:rFonts w:ascii="Times New Roman" w:hAnsi="Times New Roman" w:eastAsia="仿宋_GB2312"/>
                <w:sz w:val="24"/>
                <w:szCs w:val="24"/>
              </w:rPr>
              <w:t>3.参赛选手进入赛场，不允许携带任何书籍和其他纸质资料（相关技术资料的电子文档由组委会提供），不允许携带通信工具和存储设备（如U盘）。竞赛统一提供计算机以及应用软件。</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hint="eastAsia" w:ascii="仿宋_GB2312" w:hAnsi="仿宋_GB2312" w:eastAsia="仿宋_GB2312" w:cs="仿宋_GB2312"/>
                <w:kern w:val="0"/>
                <w:sz w:val="24"/>
                <w:szCs w:val="24"/>
              </w:rPr>
            </w:pPr>
            <w:r>
              <w:rPr>
                <w:rFonts w:hint="eastAsia" w:ascii="Times New Roman" w:hAnsi="Times New Roman" w:eastAsia="仿宋_GB2312"/>
                <w:sz w:val="24"/>
                <w:szCs w:val="24"/>
                <w:lang w:val="en-US" w:eastAsia="zh-CN"/>
              </w:rPr>
              <w:t>4</w:t>
            </w:r>
            <w:r>
              <w:rPr>
                <w:rFonts w:ascii="Times New Roman" w:hAnsi="Times New Roman" w:eastAsia="仿宋_GB2312"/>
                <w:sz w:val="24"/>
                <w:szCs w:val="24"/>
              </w:rPr>
              <w:t>.指导老师应及时查看大赛专用网页有关赛项的通知和内容，认真研究和掌握本赛项竞赛的规程、技术规范和赛场要求，指导选手做好赛前的一切技术准备和竞赛准备。</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十五、申诉与仲裁</w:t>
      </w:r>
    </w:p>
    <w:tbl>
      <w:tblPr>
        <w:tblStyle w:val="4"/>
        <w:tblW w:w="9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8" w:hRule="atLeast"/>
          <w:jc w:val="center"/>
        </w:trPr>
        <w:tc>
          <w:tcPr>
            <w:tcW w:w="9268"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宋体" w:hAnsi="宋体" w:eastAsia="宋体" w:cs="宋体"/>
                <w:b/>
                <w:kern w:val="0"/>
                <w:sz w:val="22"/>
                <w:szCs w:val="21"/>
              </w:rPr>
            </w:pPr>
            <w:r>
              <w:rPr>
                <w:rFonts w:hint="eastAsia" w:ascii="Times New Roman" w:hAnsi="Times New Roman" w:eastAsia="仿宋_GB2312"/>
                <w:sz w:val="24"/>
                <w:szCs w:val="24"/>
              </w:rPr>
              <w:t>各参赛选手对不符合大赛和赛项规程规定的竞赛使用工具、用品，竞赛执裁、赛场管理，以及工作人员的不规范行为等，可向赛项仲裁工作组提出书面申诉。</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十六、竞赛观摩</w:t>
      </w:r>
    </w:p>
    <w:tbl>
      <w:tblPr>
        <w:tblStyle w:val="4"/>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5" w:hRule="atLeast"/>
          <w:jc w:val="center"/>
        </w:trPr>
        <w:tc>
          <w:tcPr>
            <w:tcW w:w="9308"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eastAsia="仿宋_GB2312"/>
                <w:sz w:val="24"/>
                <w:szCs w:val="24"/>
              </w:rPr>
            </w:pPr>
            <w:r>
              <w:rPr>
                <w:rFonts w:ascii="Times New Roman" w:hAnsi="Times New Roman" w:eastAsia="仿宋_GB2312"/>
                <w:sz w:val="24"/>
                <w:szCs w:val="24"/>
              </w:rPr>
              <w:t>本赛项将提供公开观摩区，竞赛环境依据竞赛需求和职业特点设计，在竞赛不被干扰的前提下安全开放部分赛场。</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left"/>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观摩团成员在赛场需保持安静，不可接触设备，影响选手比赛。观摩者不可携带手机、平板电脑等通讯工具进入赛场，不可与选手讲话、传递信息等，需遵守赛场纪律。</w:t>
            </w:r>
          </w:p>
        </w:tc>
      </w:tr>
    </w:tbl>
    <w:p>
      <w:pPr>
        <w:autoSpaceDE w:val="0"/>
        <w:autoSpaceDN w:val="0"/>
        <w:spacing w:before="156" w:beforeLines="50" w:after="156" w:afterLines="50"/>
        <w:jc w:val="left"/>
        <w:rPr>
          <w:rFonts w:ascii="黑体" w:hAnsi="宋体" w:eastAsia="黑体" w:cs="宋体"/>
          <w:kern w:val="0"/>
          <w:sz w:val="32"/>
          <w:szCs w:val="32"/>
        </w:rPr>
      </w:pPr>
      <w:r>
        <w:rPr>
          <w:rFonts w:hint="eastAsia" w:ascii="黑体" w:hAnsi="宋体" w:eastAsia="黑体" w:cs="宋体"/>
          <w:kern w:val="0"/>
          <w:sz w:val="32"/>
          <w:szCs w:val="32"/>
        </w:rPr>
        <w:t>十七、竞赛直播</w:t>
      </w:r>
    </w:p>
    <w:tbl>
      <w:tblPr>
        <w:tblStyle w:val="4"/>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2" w:hRule="atLeast"/>
          <w:jc w:val="center"/>
        </w:trPr>
        <w:tc>
          <w:tcPr>
            <w:tcW w:w="9160"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right="0" w:rightChars="0" w:firstLine="480" w:firstLineChars="200"/>
              <w:jc w:val="left"/>
              <w:textAlignment w:val="auto"/>
              <w:rPr>
                <w:rFonts w:ascii="宋体" w:hAnsi="宋体" w:eastAsia="宋体" w:cs="宋体"/>
                <w:b/>
                <w:kern w:val="0"/>
                <w:sz w:val="24"/>
                <w:szCs w:val="24"/>
              </w:rPr>
            </w:pPr>
            <w:r>
              <w:rPr>
                <w:rFonts w:hint="eastAsia" w:ascii="仿宋_GB2312" w:hAnsi="仿宋_GB2312" w:eastAsia="仿宋_GB2312" w:cs="仿宋_GB2312"/>
                <w:kern w:val="0"/>
                <w:sz w:val="24"/>
                <w:szCs w:val="24"/>
              </w:rPr>
              <w:t>本赛项暂未设置竞赛直播形式。</w:t>
            </w:r>
          </w:p>
        </w:tc>
      </w:tr>
    </w:tbl>
    <w:p>
      <w:pPr>
        <w:autoSpaceDE w:val="0"/>
        <w:autoSpaceDN w:val="0"/>
        <w:spacing w:before="156" w:beforeLines="50" w:after="156" w:afterLines="50"/>
        <w:jc w:val="left"/>
        <w:rPr>
          <w:rFonts w:ascii="黑体" w:hAnsi="宋体" w:eastAsia="黑体" w:cs="宋体"/>
          <w:kern w:val="0"/>
          <w:sz w:val="24"/>
        </w:rPr>
      </w:pPr>
      <w:r>
        <w:rPr>
          <w:rFonts w:hint="eastAsia" w:ascii="黑体" w:hAnsi="宋体" w:eastAsia="黑体" w:cs="宋体"/>
          <w:kern w:val="0"/>
          <w:sz w:val="32"/>
          <w:szCs w:val="32"/>
        </w:rPr>
        <w:t>十八、</w:t>
      </w:r>
      <w:r>
        <w:rPr>
          <w:rFonts w:ascii="黑体" w:hAnsi="宋体" w:eastAsia="黑体" w:cs="宋体"/>
          <w:kern w:val="0"/>
          <w:sz w:val="32"/>
          <w:szCs w:val="32"/>
        </w:rPr>
        <w:t>赛项成果</w:t>
      </w:r>
    </w:p>
    <w:tbl>
      <w:tblPr>
        <w:tblStyle w:val="4"/>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1" w:hRule="atLeast"/>
          <w:jc w:val="center"/>
        </w:trPr>
        <w:tc>
          <w:tcPr>
            <w:tcW w:w="9180" w:type="dxa"/>
            <w:tcBorders>
              <w:top w:val="single" w:color="000000" w:sz="2" w:space="0"/>
              <w:left w:val="single" w:color="000000" w:sz="2" w:space="0"/>
              <w:right w:val="single" w:color="000000" w:sz="2" w:space="0"/>
            </w:tcBorders>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right="0" w:rightChars="0" w:firstLine="480" w:firstLineChars="200"/>
              <w:jc w:val="left"/>
              <w:textAlignment w:val="auto"/>
              <w:rPr>
                <w:rFonts w:ascii="仿宋_GB2312" w:hAnsi="仿宋_GB2312" w:eastAsia="仿宋_GB2312" w:cs="仿宋_GB2312"/>
                <w:kern w:val="0"/>
                <w:sz w:val="24"/>
                <w:szCs w:val="24"/>
              </w:rPr>
            </w:pPr>
            <w:r>
              <w:rPr>
                <w:rFonts w:ascii="仿宋_GB2312" w:hAnsi="仿宋_GB2312" w:eastAsia="仿宋_GB2312" w:cs="仿宋_GB2312"/>
                <w:kern w:val="0"/>
                <w:sz w:val="24"/>
                <w:szCs w:val="24"/>
              </w:rPr>
              <w:t>2023</w:t>
            </w:r>
            <w:r>
              <w:rPr>
                <w:rFonts w:hint="eastAsia" w:ascii="仿宋_GB2312" w:hAnsi="仿宋_GB2312" w:eastAsia="仿宋_GB2312" w:cs="仿宋_GB2312"/>
                <w:kern w:val="0"/>
                <w:sz w:val="24"/>
                <w:szCs w:val="24"/>
                <w:lang w:val="en-US" w:eastAsia="zh-CN"/>
              </w:rPr>
              <w:t>年山东传媒</w:t>
            </w:r>
            <w:r>
              <w:rPr>
                <w:rFonts w:ascii="仿宋_GB2312" w:hAnsi="仿宋_GB2312" w:eastAsia="仿宋_GB2312" w:cs="仿宋_GB2312"/>
                <w:kern w:val="0"/>
                <w:sz w:val="24"/>
                <w:szCs w:val="24"/>
              </w:rPr>
              <w:t>职业院校技能大赛物联网技术应用</w:t>
            </w:r>
            <w:r>
              <w:rPr>
                <w:rFonts w:hint="eastAsia" w:ascii="仿宋_GB2312" w:hAnsi="仿宋_GB2312" w:eastAsia="仿宋_GB2312" w:cs="仿宋_GB2312"/>
                <w:kern w:val="0"/>
                <w:sz w:val="24"/>
                <w:szCs w:val="24"/>
                <w:lang w:val="en-US" w:eastAsia="zh-CN"/>
              </w:rPr>
              <w:t>赛项</w:t>
            </w:r>
            <w:r>
              <w:rPr>
                <w:rFonts w:ascii="仿宋_GB2312" w:hAnsi="仿宋_GB2312" w:eastAsia="仿宋_GB2312" w:cs="仿宋_GB2312"/>
                <w:kern w:val="0"/>
                <w:sz w:val="24"/>
                <w:szCs w:val="24"/>
              </w:rPr>
              <w:t>资源转化工作</w:t>
            </w:r>
            <w:r>
              <w:rPr>
                <w:rFonts w:hint="eastAsia" w:ascii="仿宋_GB2312" w:hAnsi="仿宋_GB2312" w:eastAsia="仿宋_GB2312" w:cs="仿宋_GB2312"/>
                <w:kern w:val="0"/>
                <w:sz w:val="24"/>
                <w:szCs w:val="24"/>
              </w:rPr>
              <w:t>由赛项执委会负责，通过多手段、全方位对赛项资源优秀成果进行转换，半年内完成资源转化工作。</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626AB6"/>
    <w:multiLevelType w:val="multilevel"/>
    <w:tmpl w:val="0E626AB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1ZGY4ZDVlYWRlMzU4MTU4OGEyNzgwOTI5MWNlNTEifQ=="/>
  </w:docVars>
  <w:rsids>
    <w:rsidRoot w:val="00EB4220"/>
    <w:rsid w:val="00057AE7"/>
    <w:rsid w:val="00094B28"/>
    <w:rsid w:val="000F1806"/>
    <w:rsid w:val="00101B02"/>
    <w:rsid w:val="00123DD9"/>
    <w:rsid w:val="001359EE"/>
    <w:rsid w:val="001828BF"/>
    <w:rsid w:val="001F1955"/>
    <w:rsid w:val="00221184"/>
    <w:rsid w:val="00275FD6"/>
    <w:rsid w:val="0029730E"/>
    <w:rsid w:val="002D07CB"/>
    <w:rsid w:val="003C6119"/>
    <w:rsid w:val="003E5DF5"/>
    <w:rsid w:val="00400B4C"/>
    <w:rsid w:val="005025D2"/>
    <w:rsid w:val="00527612"/>
    <w:rsid w:val="005326D9"/>
    <w:rsid w:val="00557D59"/>
    <w:rsid w:val="005C3C4E"/>
    <w:rsid w:val="005C531E"/>
    <w:rsid w:val="005E56DB"/>
    <w:rsid w:val="005E6097"/>
    <w:rsid w:val="006245DC"/>
    <w:rsid w:val="006756C8"/>
    <w:rsid w:val="00690147"/>
    <w:rsid w:val="006C5AD7"/>
    <w:rsid w:val="00707E65"/>
    <w:rsid w:val="00713431"/>
    <w:rsid w:val="007606C1"/>
    <w:rsid w:val="007C1EDA"/>
    <w:rsid w:val="007C3426"/>
    <w:rsid w:val="00862239"/>
    <w:rsid w:val="00903DA8"/>
    <w:rsid w:val="00926EBB"/>
    <w:rsid w:val="009C1632"/>
    <w:rsid w:val="00A27B62"/>
    <w:rsid w:val="00AD6B0E"/>
    <w:rsid w:val="00AF08AC"/>
    <w:rsid w:val="00B2738B"/>
    <w:rsid w:val="00B376A5"/>
    <w:rsid w:val="00BF3A12"/>
    <w:rsid w:val="00BF5169"/>
    <w:rsid w:val="00BF6CC8"/>
    <w:rsid w:val="00C117E6"/>
    <w:rsid w:val="00C253B5"/>
    <w:rsid w:val="00C77042"/>
    <w:rsid w:val="00C974A6"/>
    <w:rsid w:val="00D042B1"/>
    <w:rsid w:val="00D40517"/>
    <w:rsid w:val="00D9369A"/>
    <w:rsid w:val="00DD148A"/>
    <w:rsid w:val="00DD2598"/>
    <w:rsid w:val="00E124F3"/>
    <w:rsid w:val="00E26905"/>
    <w:rsid w:val="00E647A2"/>
    <w:rsid w:val="00E6719F"/>
    <w:rsid w:val="00EA3009"/>
    <w:rsid w:val="00EB3E8B"/>
    <w:rsid w:val="00EB4220"/>
    <w:rsid w:val="00EF4E31"/>
    <w:rsid w:val="00FA6DDF"/>
    <w:rsid w:val="0B8C6697"/>
    <w:rsid w:val="22E318F4"/>
    <w:rsid w:val="5015592D"/>
    <w:rsid w:val="59C104D2"/>
    <w:rsid w:val="79E37736"/>
    <w:rsid w:val="7D5A3E70"/>
    <w:rsid w:val="7E685E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tabs>
        <w:tab w:val="center" w:pos="4153"/>
        <w:tab w:val="right" w:pos="8306"/>
      </w:tabs>
      <w:snapToGrid w:val="0"/>
      <w:jc w:val="center"/>
    </w:pPr>
    <w:rPr>
      <w:sz w:val="18"/>
      <w:szCs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table" w:customStyle="1" w:styleId="9">
    <w:name w:val="网格型1"/>
    <w:basedOn w:val="4"/>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4347</Words>
  <Characters>4585</Characters>
  <Lines>61</Lines>
  <Paragraphs>17</Paragraphs>
  <TotalTime>3</TotalTime>
  <ScaleCrop>false</ScaleCrop>
  <LinksUpToDate>false</LinksUpToDate>
  <CharactersWithSpaces>4683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2023-06-01T05:22:00Z</dcterms:created>
  <dc:creator>Meng Fancheng</dc:creator>
  <cp:lastModifiedBy>杨老师</cp:lastModifiedBy>
  <dcterms:modified xsi:type="dcterms:W3CDTF">2023-06-02T01:24:40Z</dcterms:modified>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2A3E8753A4E0435CAFDAE4E5474B8C13_12</vt:lpwstr>
  </property>
</Properties>
</file>