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widowControl w:val="0"/>
        <w:kinsoku/>
        <w:overflowPunct/>
        <w:topLinePunct w:val="0"/>
        <w:autoSpaceDE w:val="0"/>
        <w:autoSpaceDN w:val="0"/>
        <w:bidi w:val="0"/>
        <w:adjustRightInd/>
        <w:spacing w:line="360" w:lineRule="auto"/>
        <w:jc w:val="center"/>
        <w:textAlignment w:val="auto"/>
        <w:rPr>
          <w:rFonts w:ascii="方正小标宋简体" w:eastAsia="方正小标宋简体"/>
          <w:sz w:val="32"/>
          <w:szCs w:val="32"/>
        </w:rPr>
      </w:pPr>
      <w:r>
        <w:rPr>
          <w:rFonts w:hint="eastAsia" w:ascii="方正小标宋简体" w:eastAsia="方正小标宋简体" w:cs="方正小标宋简体"/>
          <w:sz w:val="32"/>
          <w:szCs w:val="32"/>
        </w:rPr>
        <w:t>2021年</w:t>
      </w:r>
      <w:r>
        <w:rPr>
          <w:rFonts w:hint="eastAsia" w:ascii="方正小标宋简体" w:eastAsia="方正小标宋简体" w:cs="方正小标宋简体"/>
          <w:sz w:val="32"/>
          <w:szCs w:val="32"/>
          <w:lang w:val="en-US" w:eastAsia="zh-CN"/>
        </w:rPr>
        <w:t>山东传媒职业学院</w:t>
      </w:r>
      <w:r>
        <w:rPr>
          <w:rFonts w:hint="eastAsia" w:ascii="方正小标宋简体" w:eastAsia="方正小标宋简体" w:cs="方正小标宋简体"/>
          <w:sz w:val="32"/>
          <w:szCs w:val="32"/>
        </w:rPr>
        <w:t>技能大赛</w:t>
      </w:r>
    </w:p>
    <w:p>
      <w:pPr>
        <w:keepLines w:val="0"/>
        <w:pageBreakBefore w:val="0"/>
        <w:widowControl w:val="0"/>
        <w:kinsoku/>
        <w:overflowPunct/>
        <w:topLinePunct w:val="0"/>
        <w:autoSpaceDE w:val="0"/>
        <w:autoSpaceDN w:val="0"/>
        <w:bidi w:val="0"/>
        <w:adjustRightInd/>
        <w:snapToGrid w:val="0"/>
        <w:spacing w:line="360" w:lineRule="auto"/>
        <w:jc w:val="center"/>
        <w:textAlignment w:val="auto"/>
        <w:rPr>
          <w:rFonts w:ascii="方正小标宋简体" w:eastAsia="方正小标宋简体"/>
          <w:sz w:val="32"/>
          <w:szCs w:val="32"/>
        </w:rPr>
      </w:pPr>
      <w:r>
        <w:rPr>
          <w:rFonts w:hint="eastAsia" w:ascii="方正小标宋简体" w:eastAsia="方正小标宋简体" w:cs="方正小标宋简体"/>
          <w:sz w:val="32"/>
          <w:szCs w:val="32"/>
          <w:lang w:val="en-US" w:eastAsia="zh-CN"/>
        </w:rPr>
        <w:t>高</w:t>
      </w:r>
      <w:r>
        <w:rPr>
          <w:rFonts w:hint="eastAsia" w:ascii="方正小标宋简体" w:eastAsia="方正小标宋简体" w:cs="方正小标宋简体"/>
          <w:sz w:val="32"/>
          <w:szCs w:val="32"/>
        </w:rPr>
        <w:t>职组“</w:t>
      </w:r>
      <w:r>
        <w:rPr>
          <w:rFonts w:hint="eastAsia" w:ascii="方正小标宋简体" w:eastAsia="方正小标宋简体" w:cs="方正小标宋简体"/>
          <w:sz w:val="32"/>
          <w:szCs w:val="32"/>
          <w:lang w:eastAsia="zh-CN"/>
        </w:rPr>
        <w:t>软件测试</w:t>
      </w:r>
      <w:r>
        <w:rPr>
          <w:rFonts w:hint="eastAsia" w:ascii="方正小标宋简体" w:eastAsia="方正小标宋简体" w:cs="方正小标宋简体"/>
          <w:sz w:val="32"/>
          <w:szCs w:val="32"/>
        </w:rPr>
        <w:t>”赛项规程</w:t>
      </w:r>
    </w:p>
    <w:p>
      <w:pPr>
        <w:keepLines w:val="0"/>
        <w:pageBreakBefore w:val="0"/>
        <w:widowControl w:val="0"/>
        <w:kinsoku/>
        <w:overflowPunct/>
        <w:topLinePunct w:val="0"/>
        <w:autoSpaceDE w:val="0"/>
        <w:autoSpaceDN w:val="0"/>
        <w:bidi w:val="0"/>
        <w:adjustRightInd/>
        <w:snapToGrid w:val="0"/>
        <w:spacing w:line="360" w:lineRule="auto"/>
        <w:ind w:firstLine="640" w:firstLineChars="200"/>
        <w:jc w:val="center"/>
        <w:textAlignment w:val="auto"/>
        <w:rPr>
          <w:rFonts w:ascii="仿宋_GB2312" w:eastAsia="仿宋_GB2312"/>
          <w:sz w:val="32"/>
          <w:szCs w:val="32"/>
        </w:rPr>
      </w:pP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ascii="黑体" w:hAnsi="黑体" w:eastAsia="黑体"/>
          <w:spacing w:val="-8"/>
          <w:sz w:val="24"/>
          <w:szCs w:val="24"/>
        </w:rPr>
      </w:pPr>
      <w:r>
        <w:rPr>
          <w:rFonts w:hint="eastAsia" w:ascii="黑体" w:hAnsi="黑体" w:eastAsia="黑体"/>
          <w:sz w:val="24"/>
          <w:szCs w:val="24"/>
        </w:rPr>
        <w:t>一、</w:t>
      </w:r>
      <w:r>
        <w:rPr>
          <w:rFonts w:hint="eastAsia" w:ascii="黑体" w:hAnsi="黑体" w:eastAsia="黑体"/>
          <w:spacing w:val="-8"/>
          <w:sz w:val="24"/>
          <w:szCs w:val="24"/>
        </w:rPr>
        <w:t>赛项名称</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赛项名称：软件测试</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赛项组别：高职组</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赛项归属产业：电子信息大类</w:t>
      </w: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二、竞赛目的</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本赛项竞赛内容以《国家职业教育改革实施方案》为设计方针，按照行业企业软件测试岗位真实工作过程设计竞赛内容，促进教学过程与生产过程对接、课程内容与职业标准对接、专业设置与产业需求对接、学历证书与职业资格证书对接，最大限度匹配与适应人才培养供给侧和产业需求侧。通过“以赛促学、以赛促教、以赛促改、以赛促建”，持续推进专业目录、专业教学标准、课程标准、顶岗实习标准、实训条件建设标准建设，从而提高人才培养的针对性、有效性和专业建设水平</w:t>
      </w:r>
      <w:r>
        <w:rPr>
          <w:rFonts w:hint="eastAsia" w:ascii="仿宋_GB2312" w:hAnsi="Arial Narrow" w:eastAsia="仿宋_GB2312" w:cs="宋体"/>
          <w:kern w:val="2"/>
          <w:sz w:val="24"/>
          <w:szCs w:val="24"/>
          <w:lang w:eastAsia="zh-Hans"/>
        </w:rPr>
        <w:t>，</w:t>
      </w:r>
      <w:r>
        <w:rPr>
          <w:rFonts w:hint="eastAsia" w:ascii="仿宋_GB2312" w:hAnsi="Arial Narrow" w:eastAsia="仿宋_GB2312" w:cs="宋体"/>
          <w:kern w:val="2"/>
          <w:sz w:val="24"/>
          <w:szCs w:val="24"/>
        </w:rPr>
        <w:t>营造尊敬技能人才的社会氛围，激励广大职工和青年走技能成才、技能报国之路，为国家高质量发展添砖加瓦。</w:t>
      </w:r>
    </w:p>
    <w:p>
      <w:pPr>
        <w:keepLines w:val="0"/>
        <w:pageBreakBefore w:val="0"/>
        <w:widowControl w:val="0"/>
        <w:numPr>
          <w:ilvl w:val="0"/>
          <w:numId w:val="1"/>
        </w:numPr>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竞赛内容</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竞赛以“</w:t>
      </w:r>
      <w:r>
        <w:rPr>
          <w:rFonts w:hint="eastAsia" w:ascii="仿宋_GB2312" w:hAnsi="Arial Narrow" w:eastAsia="仿宋_GB2312" w:cs="宋体"/>
          <w:kern w:val="2"/>
          <w:sz w:val="24"/>
          <w:szCs w:val="24"/>
          <w:lang w:eastAsia="zh-CN"/>
        </w:rPr>
        <w:t>学生书籍系统</w:t>
      </w:r>
      <w:r>
        <w:rPr>
          <w:rFonts w:hint="eastAsia" w:ascii="仿宋_GB2312" w:hAnsi="Arial Narrow" w:eastAsia="仿宋_GB2312" w:cs="宋体"/>
          <w:kern w:val="2"/>
          <w:sz w:val="24"/>
          <w:szCs w:val="24"/>
        </w:rPr>
        <w:t>”为被测对象，采用实际操作形式，完成软件测试工作。竞赛突出实战过程，既满足软件产业对高素质技能人才的需求特点，又符合高等职业院校</w:t>
      </w:r>
      <w:r>
        <w:rPr>
          <w:rFonts w:hint="eastAsia" w:ascii="仿宋_GB2312" w:hAnsi="Arial Narrow" w:eastAsia="仿宋_GB2312" w:cs="宋体"/>
          <w:kern w:val="2"/>
          <w:sz w:val="24"/>
          <w:szCs w:val="24"/>
          <w:lang w:eastAsia="zh-Hans"/>
        </w:rPr>
        <w:t>重视实践实训</w:t>
      </w:r>
      <w:r>
        <w:rPr>
          <w:rFonts w:hint="eastAsia" w:ascii="仿宋_GB2312" w:hAnsi="Arial Narrow" w:eastAsia="仿宋_GB2312" w:cs="宋体"/>
          <w:kern w:val="2"/>
          <w:sz w:val="24"/>
          <w:szCs w:val="24"/>
        </w:rPr>
        <w:t>课程教学特点。</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比赛围绕软件测试应用领域的主流技术及应用，考察选手面对实际问题的综合分析能力，对测试用例、测试方法的设计能力，对软件测试相关技术的掌握程度。考核内容包括：功能测试计划制定、测试用例设计、测试执行和提交Bug、测试总结报告编写</w:t>
      </w:r>
      <w:r>
        <w:rPr>
          <w:rFonts w:hint="eastAsia" w:ascii="仿宋_GB2312" w:hAnsi="Arial Narrow" w:eastAsia="仿宋_GB2312" w:cs="宋体"/>
          <w:kern w:val="2"/>
          <w:sz w:val="24"/>
          <w:szCs w:val="24"/>
          <w:lang w:eastAsia="zh-CN"/>
        </w:rPr>
        <w:t>以及</w:t>
      </w:r>
      <w:r>
        <w:rPr>
          <w:rFonts w:hint="eastAsia" w:ascii="仿宋_GB2312" w:hAnsi="Arial Narrow" w:eastAsia="仿宋_GB2312" w:cs="宋体"/>
          <w:kern w:val="2"/>
          <w:sz w:val="24"/>
          <w:szCs w:val="24"/>
        </w:rPr>
        <w:t>团队合作能力以及应用创新能力等职业素养。</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竞赛过程包括以下任务：</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Arial Narrow" w:eastAsia="仿宋_GB2312" w:cs="宋体"/>
          <w:kern w:val="2"/>
          <w:sz w:val="24"/>
          <w:szCs w:val="24"/>
          <w:lang w:eastAsia="zh-Hans"/>
        </w:rPr>
      </w:pPr>
      <w:r>
        <w:rPr>
          <w:rFonts w:hint="eastAsia" w:ascii="仿宋_GB2312" w:hAnsi="Arial Narrow" w:eastAsia="仿宋_GB2312" w:cs="宋体"/>
          <w:kern w:val="2"/>
          <w:sz w:val="24"/>
          <w:szCs w:val="24"/>
          <w:lang w:eastAsia="zh-Hans"/>
        </w:rPr>
        <w:t>表</w:t>
      </w:r>
      <w:r>
        <w:rPr>
          <w:rFonts w:ascii="仿宋_GB2312" w:hAnsi="Arial Narrow" w:eastAsia="仿宋_GB2312" w:cs="宋体"/>
          <w:kern w:val="2"/>
          <w:sz w:val="24"/>
          <w:szCs w:val="24"/>
          <w:lang w:eastAsia="zh-Hans"/>
        </w:rPr>
        <w:t xml:space="preserve">1 </w:t>
      </w:r>
      <w:r>
        <w:rPr>
          <w:rFonts w:hint="eastAsia" w:ascii="仿宋_GB2312" w:hAnsi="Arial Narrow" w:eastAsia="仿宋_GB2312" w:cs="宋体"/>
          <w:kern w:val="2"/>
          <w:sz w:val="24"/>
          <w:szCs w:val="24"/>
        </w:rPr>
        <w:t>竞赛</w:t>
      </w:r>
      <w:r>
        <w:rPr>
          <w:rFonts w:hint="eastAsia" w:ascii="仿宋_GB2312" w:hAnsi="Arial Narrow" w:eastAsia="仿宋_GB2312" w:cs="宋体"/>
          <w:kern w:val="2"/>
          <w:sz w:val="24"/>
          <w:szCs w:val="24"/>
          <w:lang w:eastAsia="zh-Hans"/>
        </w:rPr>
        <w:t>任务列表</w:t>
      </w:r>
    </w:p>
    <w:tbl>
      <w:tblPr>
        <w:tblStyle w:val="6"/>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841"/>
        <w:gridCol w:w="5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textAlignment w:val="auto"/>
              <w:rPr>
                <w:rFonts w:ascii="仿宋_GB2312" w:hAnsi="宋体" w:eastAsia="仿宋_GB2312"/>
                <w:b/>
                <w:sz w:val="24"/>
              </w:rPr>
            </w:pPr>
            <w:r>
              <w:rPr>
                <w:rFonts w:hint="eastAsia" w:ascii="仿宋_GB2312" w:hAnsi="宋体" w:eastAsia="仿宋_GB2312"/>
                <w:b/>
                <w:sz w:val="24"/>
              </w:rPr>
              <w:t>序号</w:t>
            </w:r>
          </w:p>
        </w:tc>
        <w:tc>
          <w:tcPr>
            <w:tcW w:w="1276"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jc w:val="center"/>
              <w:textAlignment w:val="auto"/>
              <w:rPr>
                <w:rFonts w:ascii="仿宋_GB2312" w:hAnsi="宋体" w:eastAsia="仿宋_GB2312"/>
                <w:b/>
                <w:sz w:val="24"/>
              </w:rPr>
            </w:pPr>
            <w:r>
              <w:rPr>
                <w:rFonts w:hint="eastAsia" w:ascii="仿宋_GB2312" w:hAnsi="宋体" w:eastAsia="仿宋_GB2312"/>
                <w:b/>
                <w:sz w:val="24"/>
              </w:rPr>
              <w:t>内容模块</w:t>
            </w:r>
          </w:p>
        </w:tc>
        <w:tc>
          <w:tcPr>
            <w:tcW w:w="1841"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jc w:val="center"/>
              <w:textAlignment w:val="auto"/>
              <w:rPr>
                <w:rFonts w:ascii="仿宋_GB2312" w:hAnsi="宋体" w:eastAsia="仿宋_GB2312"/>
                <w:b/>
                <w:sz w:val="24"/>
              </w:rPr>
            </w:pPr>
            <w:r>
              <w:rPr>
                <w:rFonts w:hint="eastAsia" w:ascii="仿宋_GB2312" w:hAnsi="宋体" w:eastAsia="仿宋_GB2312"/>
                <w:b/>
                <w:sz w:val="24"/>
              </w:rPr>
              <w:t>具体内容</w:t>
            </w:r>
          </w:p>
        </w:tc>
        <w:tc>
          <w:tcPr>
            <w:tcW w:w="5105"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jc w:val="center"/>
              <w:textAlignment w:val="auto"/>
              <w:rPr>
                <w:rFonts w:ascii="仿宋_GB2312" w:hAnsi="宋体" w:eastAsia="仿宋_GB2312"/>
                <w:b/>
                <w:sz w:val="24"/>
              </w:rPr>
            </w:pPr>
            <w:r>
              <w:rPr>
                <w:rFonts w:hint="eastAsia" w:ascii="仿宋_GB2312" w:hAnsi="宋体" w:eastAsia="仿宋_GB2312"/>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shd w:val="clear" w:color="auto" w:fill="auto"/>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rPr>
            </w:pPr>
            <w:r>
              <w:rPr>
                <w:rFonts w:hint="eastAsia" w:ascii="仿宋_GB2312" w:hAnsi="宋体" w:eastAsia="仿宋_GB2312"/>
                <w:sz w:val="24"/>
              </w:rPr>
              <w:t>任务一</w:t>
            </w:r>
          </w:p>
        </w:tc>
        <w:tc>
          <w:tcPr>
            <w:tcW w:w="1276" w:type="dxa"/>
            <w:shd w:val="clear" w:color="auto" w:fill="auto"/>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rPr>
            </w:pPr>
            <w:r>
              <w:rPr>
                <w:rFonts w:hint="eastAsia" w:ascii="仿宋_GB2312" w:hAnsi="宋体" w:eastAsia="仿宋_GB2312"/>
                <w:sz w:val="24"/>
              </w:rPr>
              <w:t>制定功能测试计划</w:t>
            </w:r>
          </w:p>
        </w:tc>
        <w:tc>
          <w:tcPr>
            <w:tcW w:w="1841" w:type="dxa"/>
            <w:shd w:val="clear" w:color="auto" w:fill="FFFFFF"/>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rPr>
            </w:pPr>
            <w:r>
              <w:rPr>
                <w:rFonts w:hint="eastAsia" w:ascii="仿宋_GB2312" w:hAnsi="宋体" w:eastAsia="仿宋_GB2312"/>
                <w:sz w:val="24"/>
              </w:rPr>
              <w:t>根据软件测试竞赛项目需求，制定功能测试计划</w:t>
            </w:r>
          </w:p>
        </w:tc>
        <w:tc>
          <w:tcPr>
            <w:tcW w:w="5105"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能够根据需求文档进行需求理解和分析。</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功能测试范围划分和界定。</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功能测试任务分解。</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对功能测试难度进行预估。</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能够对功能测试工作量和进度进行预估。</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文档编写规范等。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rPr>
            </w:pPr>
          </w:p>
        </w:tc>
        <w:tc>
          <w:tcPr>
            <w:tcW w:w="1276" w:type="dxa"/>
            <w:shd w:val="clear" w:color="auto" w:fill="auto"/>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rPr>
            </w:pPr>
            <w:r>
              <w:rPr>
                <w:rFonts w:hint="eastAsia" w:ascii="仿宋_GB2312" w:hAnsi="宋体" w:eastAsia="仿宋_GB2312"/>
                <w:sz w:val="24"/>
              </w:rPr>
              <w:t>设计功能测试用例</w:t>
            </w:r>
          </w:p>
        </w:tc>
        <w:tc>
          <w:tcPr>
            <w:tcW w:w="1841" w:type="dxa"/>
            <w:shd w:val="clear" w:color="auto" w:fill="FFFFFF"/>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textAlignment w:val="auto"/>
              <w:rPr>
                <w:rFonts w:hint="eastAsia" w:ascii="仿宋_GB2312" w:hAnsi="宋体" w:eastAsia="仿宋_GB2312"/>
                <w:sz w:val="24"/>
                <w:szCs w:val="22"/>
              </w:rPr>
            </w:pPr>
            <w:r>
              <w:rPr>
                <w:rFonts w:hint="eastAsia" w:ascii="仿宋_GB2312" w:hAnsi="宋体" w:eastAsia="仿宋_GB2312"/>
                <w:sz w:val="24"/>
                <w:szCs w:val="22"/>
              </w:rPr>
              <w:t>根据软件测试竞赛项目需求，设计功能测试用例</w:t>
            </w:r>
          </w:p>
        </w:tc>
        <w:tc>
          <w:tcPr>
            <w:tcW w:w="5105"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能使用典型测试方法进行功能测试用例设计。</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对功能测试用例的输入、预计输出、实际输出等规范描述。</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文档编写规范等。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rPr>
            </w:pPr>
          </w:p>
        </w:tc>
        <w:tc>
          <w:tcPr>
            <w:tcW w:w="1276" w:type="dxa"/>
            <w:shd w:val="clear" w:color="auto" w:fill="auto"/>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rPr>
            </w:pPr>
            <w:r>
              <w:rPr>
                <w:rFonts w:hint="eastAsia" w:ascii="仿宋_GB2312" w:hAnsi="宋体" w:eastAsia="仿宋_GB2312"/>
                <w:sz w:val="24"/>
              </w:rPr>
              <w:t>执行功能测试用例</w:t>
            </w:r>
          </w:p>
        </w:tc>
        <w:tc>
          <w:tcPr>
            <w:tcW w:w="1841" w:type="dxa"/>
            <w:shd w:val="clear" w:color="auto" w:fill="FFFFFF"/>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textAlignment w:val="auto"/>
              <w:rPr>
                <w:rFonts w:hint="eastAsia" w:ascii="仿宋_GB2312" w:hAnsi="宋体" w:eastAsia="仿宋_GB2312"/>
                <w:sz w:val="24"/>
                <w:szCs w:val="22"/>
              </w:rPr>
            </w:pPr>
            <w:r>
              <w:rPr>
                <w:rFonts w:hint="eastAsia" w:ascii="仿宋_GB2312" w:hAnsi="宋体" w:eastAsia="仿宋_GB2312"/>
                <w:sz w:val="24"/>
                <w:szCs w:val="22"/>
              </w:rPr>
              <w:t>执行功能测试用例，提交缺陷报告</w:t>
            </w:r>
          </w:p>
        </w:tc>
        <w:tc>
          <w:tcPr>
            <w:tcW w:w="5105"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根据功能测试用例进行测试，发现并记录Bug。</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对Bug描述、输入、预计输出、实际输出等规范描述，并对Bug截图。</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文档编写规范等。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shd w:val="clear" w:color="auto" w:fill="auto"/>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rPr>
            </w:pPr>
          </w:p>
        </w:tc>
        <w:tc>
          <w:tcPr>
            <w:tcW w:w="1276" w:type="dxa"/>
            <w:shd w:val="clear" w:color="auto" w:fill="auto"/>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rPr>
            </w:pPr>
            <w:r>
              <w:rPr>
                <w:rFonts w:hint="eastAsia" w:ascii="仿宋_GB2312" w:hAnsi="宋体" w:eastAsia="仿宋_GB2312"/>
                <w:sz w:val="24"/>
              </w:rPr>
              <w:t>编写功能测试总结报告</w:t>
            </w:r>
          </w:p>
        </w:tc>
        <w:tc>
          <w:tcPr>
            <w:tcW w:w="1841" w:type="dxa"/>
            <w:shd w:val="clear" w:color="auto" w:fill="FFFFFF"/>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textAlignment w:val="auto"/>
              <w:rPr>
                <w:rFonts w:hint="eastAsia" w:ascii="仿宋_GB2312" w:hAnsi="宋体" w:eastAsia="仿宋_GB2312"/>
                <w:sz w:val="24"/>
                <w:szCs w:val="22"/>
              </w:rPr>
            </w:pPr>
            <w:r>
              <w:rPr>
                <w:rFonts w:hint="eastAsia" w:ascii="仿宋_GB2312" w:hAnsi="宋体" w:eastAsia="仿宋_GB2312"/>
                <w:sz w:val="24"/>
                <w:szCs w:val="22"/>
              </w:rPr>
              <w:t>编写功能测试总结报告</w:t>
            </w:r>
          </w:p>
        </w:tc>
        <w:tc>
          <w:tcPr>
            <w:tcW w:w="5105" w:type="dxa"/>
            <w:noWrap w:val="0"/>
            <w:vAlign w:val="center"/>
          </w:tcPr>
          <w:p>
            <w:pPr>
              <w:pStyle w:val="14"/>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根据功能测试用例执行结果编写功能测试总结报告。</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Bug汇总统计等。</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仿宋_GB2312" w:hAnsi="宋体" w:eastAsia="仿宋_GB2312"/>
                <w:sz w:val="24"/>
              </w:rPr>
            </w:pPr>
            <w:r>
              <w:rPr>
                <w:rFonts w:hint="eastAsia" w:ascii="仿宋_GB2312" w:hAnsi="宋体" w:eastAsia="仿宋_GB2312"/>
                <w:sz w:val="24"/>
              </w:rPr>
              <w:t>Bug分类、Bug严重等级分析统计等。</w:t>
            </w:r>
          </w:p>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hint="eastAsia" w:ascii="仿宋_GB2312" w:hAnsi="宋体" w:eastAsia="仿宋_GB2312"/>
                <w:sz w:val="24"/>
                <w:szCs w:val="22"/>
              </w:rPr>
            </w:pPr>
            <w:r>
              <w:rPr>
                <w:rFonts w:hint="eastAsia" w:ascii="仿宋_GB2312" w:hAnsi="宋体" w:eastAsia="仿宋_GB2312"/>
                <w:sz w:val="24"/>
              </w:rPr>
              <w:t>文档编写规范等。</w:t>
            </w:r>
          </w:p>
        </w:tc>
      </w:tr>
    </w:tbl>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竞赛各任务分值权重和时间分布如下：</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Arial Narrow" w:eastAsia="仿宋_GB2312" w:cs="宋体"/>
          <w:kern w:val="2"/>
          <w:sz w:val="24"/>
          <w:szCs w:val="24"/>
          <w:lang w:eastAsia="zh-Hans"/>
        </w:rPr>
      </w:pPr>
      <w:r>
        <w:rPr>
          <w:rFonts w:hint="eastAsia" w:ascii="仿宋_GB2312" w:hAnsi="Arial Narrow" w:eastAsia="仿宋_GB2312" w:cs="宋体"/>
          <w:kern w:val="2"/>
          <w:sz w:val="24"/>
          <w:szCs w:val="24"/>
          <w:lang w:eastAsia="zh-Hans"/>
        </w:rPr>
        <w:t>表</w:t>
      </w:r>
      <w:r>
        <w:rPr>
          <w:rFonts w:ascii="仿宋_GB2312" w:hAnsi="Arial Narrow" w:eastAsia="仿宋_GB2312" w:cs="宋体"/>
          <w:kern w:val="2"/>
          <w:sz w:val="24"/>
          <w:szCs w:val="24"/>
          <w:lang w:eastAsia="zh-Hans"/>
        </w:rPr>
        <w:t xml:space="preserve">2 </w:t>
      </w:r>
      <w:r>
        <w:rPr>
          <w:rFonts w:hint="eastAsia" w:ascii="仿宋_GB2312" w:hAnsi="Arial Narrow" w:eastAsia="仿宋_GB2312" w:cs="宋体"/>
          <w:kern w:val="2"/>
          <w:sz w:val="24"/>
          <w:szCs w:val="24"/>
        </w:rPr>
        <w:t>竞赛各任务分值权重和时间分布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5397"/>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55"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jc w:val="center"/>
              <w:textAlignment w:val="auto"/>
              <w:rPr>
                <w:rFonts w:hint="eastAsia" w:ascii="仿宋_GB2312" w:hAnsi="宋体" w:eastAsia="仿宋_GB2312"/>
                <w:b/>
                <w:bCs/>
                <w:sz w:val="24"/>
                <w:szCs w:val="22"/>
              </w:rPr>
            </w:pPr>
            <w:r>
              <w:rPr>
                <w:rFonts w:hint="eastAsia" w:ascii="仿宋_GB2312" w:hAnsi="宋体" w:eastAsia="仿宋_GB2312"/>
                <w:b/>
                <w:bCs/>
                <w:sz w:val="24"/>
                <w:szCs w:val="22"/>
              </w:rPr>
              <w:t>序号</w:t>
            </w:r>
          </w:p>
        </w:tc>
        <w:tc>
          <w:tcPr>
            <w:tcW w:w="539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jc w:val="center"/>
              <w:textAlignment w:val="auto"/>
              <w:rPr>
                <w:rFonts w:hint="eastAsia" w:ascii="仿宋_GB2312" w:hAnsi="宋体" w:eastAsia="仿宋_GB2312"/>
                <w:b/>
                <w:bCs/>
                <w:sz w:val="24"/>
                <w:szCs w:val="22"/>
              </w:rPr>
            </w:pPr>
            <w:r>
              <w:rPr>
                <w:rFonts w:hint="eastAsia" w:ascii="仿宋_GB2312" w:hAnsi="宋体" w:eastAsia="仿宋_GB2312"/>
                <w:b/>
                <w:bCs/>
                <w:sz w:val="24"/>
                <w:szCs w:val="22"/>
              </w:rPr>
              <w:t>任务名称</w:t>
            </w:r>
          </w:p>
        </w:tc>
        <w:tc>
          <w:tcPr>
            <w:tcW w:w="2006"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jc w:val="center"/>
              <w:textAlignment w:val="auto"/>
              <w:rPr>
                <w:rFonts w:hint="eastAsia" w:ascii="仿宋_GB2312" w:hAnsi="宋体" w:eastAsia="仿宋_GB2312"/>
                <w:b/>
                <w:bCs/>
                <w:sz w:val="24"/>
                <w:szCs w:val="22"/>
              </w:rPr>
            </w:pPr>
            <w:r>
              <w:rPr>
                <w:rFonts w:hint="eastAsia" w:ascii="仿宋_GB2312" w:hAnsi="宋体" w:eastAsia="仿宋_GB2312"/>
                <w:b/>
                <w:bCs/>
                <w:sz w:val="24"/>
                <w:szCs w:val="22"/>
              </w:rPr>
              <w:t>竞赛时间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55" w:type="dxa"/>
            <w:vMerge w:val="restart"/>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2"/>
              </w:rPr>
            </w:pPr>
            <w:r>
              <w:rPr>
                <w:rFonts w:hint="eastAsia" w:ascii="仿宋_GB2312" w:hAnsi="宋体" w:eastAsia="仿宋_GB2312"/>
                <w:sz w:val="24"/>
                <w:szCs w:val="22"/>
              </w:rPr>
              <w:t>任务</w:t>
            </w:r>
          </w:p>
        </w:tc>
        <w:tc>
          <w:tcPr>
            <w:tcW w:w="539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hint="eastAsia" w:ascii="仿宋_GB2312" w:hAnsi="宋体" w:eastAsia="仿宋_GB2312"/>
                <w:sz w:val="24"/>
                <w:szCs w:val="22"/>
              </w:rPr>
            </w:pPr>
            <w:r>
              <w:rPr>
                <w:rFonts w:hint="eastAsia" w:ascii="仿宋_GB2312" w:hAnsi="宋体" w:eastAsia="仿宋_GB2312"/>
                <w:sz w:val="24"/>
                <w:szCs w:val="22"/>
              </w:rPr>
              <w:t>制定测试计划，权重</w:t>
            </w:r>
            <w:r>
              <w:rPr>
                <w:rFonts w:hint="eastAsia" w:ascii="仿宋_GB2312" w:hAnsi="宋体" w:eastAsia="仿宋_GB2312"/>
                <w:sz w:val="24"/>
                <w:szCs w:val="22"/>
                <w:lang w:val="en-US" w:eastAsia="zh-CN"/>
              </w:rPr>
              <w:t>1</w:t>
            </w:r>
            <w:r>
              <w:rPr>
                <w:rFonts w:hint="eastAsia" w:ascii="仿宋_GB2312" w:hAnsi="宋体" w:eastAsia="仿宋_GB2312"/>
                <w:sz w:val="24"/>
                <w:szCs w:val="22"/>
              </w:rPr>
              <w:t>5%</w:t>
            </w:r>
          </w:p>
        </w:tc>
        <w:tc>
          <w:tcPr>
            <w:tcW w:w="2006" w:type="dxa"/>
            <w:vMerge w:val="restart"/>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2"/>
              </w:rPr>
            </w:pPr>
            <w:r>
              <w:rPr>
                <w:rFonts w:hint="eastAsia" w:ascii="仿宋_GB2312" w:hAnsi="宋体" w:eastAsia="仿宋_GB2312"/>
                <w:sz w:val="24"/>
                <w:szCs w:val="22"/>
                <w:lang w:val="en-US" w:eastAsia="zh-CN"/>
              </w:rPr>
              <w:t>150</w:t>
            </w:r>
            <w:r>
              <w:rPr>
                <w:rFonts w:hint="eastAsia" w:ascii="仿宋_GB2312" w:hAnsi="宋体" w:eastAsia="仿宋_GB2312"/>
                <w:sz w:val="24"/>
                <w:szCs w:val="22"/>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55" w:type="dxa"/>
            <w:vMerge w:val="continue"/>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2"/>
              </w:rPr>
            </w:pPr>
          </w:p>
        </w:tc>
        <w:tc>
          <w:tcPr>
            <w:tcW w:w="539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hint="eastAsia" w:ascii="仿宋_GB2312" w:hAnsi="宋体" w:eastAsia="仿宋_GB2312"/>
                <w:sz w:val="24"/>
                <w:szCs w:val="22"/>
              </w:rPr>
            </w:pPr>
            <w:r>
              <w:rPr>
                <w:rFonts w:hint="eastAsia" w:ascii="仿宋_GB2312" w:hAnsi="宋体" w:eastAsia="仿宋_GB2312"/>
                <w:sz w:val="24"/>
                <w:szCs w:val="22"/>
              </w:rPr>
              <w:t>设计测试用例，权重</w:t>
            </w:r>
            <w:r>
              <w:rPr>
                <w:rFonts w:hint="eastAsia" w:ascii="仿宋_GB2312" w:hAnsi="宋体" w:eastAsia="仿宋_GB2312"/>
                <w:sz w:val="24"/>
                <w:szCs w:val="22"/>
                <w:lang w:val="en-US" w:eastAsia="zh-CN"/>
              </w:rPr>
              <w:t>3</w:t>
            </w:r>
            <w:r>
              <w:rPr>
                <w:rFonts w:hint="eastAsia" w:ascii="仿宋_GB2312" w:hAnsi="宋体" w:eastAsia="仿宋_GB2312"/>
                <w:sz w:val="24"/>
                <w:szCs w:val="22"/>
              </w:rPr>
              <w:t>5%</w:t>
            </w:r>
          </w:p>
        </w:tc>
        <w:tc>
          <w:tcPr>
            <w:tcW w:w="2006" w:type="dxa"/>
            <w:vMerge w:val="continue"/>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55" w:type="dxa"/>
            <w:vMerge w:val="continue"/>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2"/>
              </w:rPr>
            </w:pPr>
          </w:p>
        </w:tc>
        <w:tc>
          <w:tcPr>
            <w:tcW w:w="539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hint="eastAsia" w:ascii="仿宋_GB2312" w:hAnsi="宋体" w:eastAsia="仿宋_GB2312"/>
                <w:sz w:val="24"/>
                <w:szCs w:val="22"/>
              </w:rPr>
            </w:pPr>
            <w:r>
              <w:rPr>
                <w:rFonts w:hint="eastAsia" w:ascii="仿宋_GB2312" w:hAnsi="宋体" w:eastAsia="仿宋_GB2312"/>
                <w:sz w:val="24"/>
                <w:szCs w:val="22"/>
              </w:rPr>
              <w:t>执行测试用例，权重</w:t>
            </w:r>
            <w:r>
              <w:rPr>
                <w:rFonts w:hint="eastAsia" w:ascii="仿宋_GB2312" w:hAnsi="宋体" w:eastAsia="仿宋_GB2312"/>
                <w:sz w:val="24"/>
                <w:szCs w:val="22"/>
                <w:lang w:val="en-US" w:eastAsia="zh-CN"/>
              </w:rPr>
              <w:t>30</w:t>
            </w:r>
            <w:r>
              <w:rPr>
                <w:rFonts w:hint="eastAsia" w:ascii="仿宋_GB2312" w:hAnsi="宋体" w:eastAsia="仿宋_GB2312"/>
                <w:sz w:val="24"/>
                <w:szCs w:val="22"/>
              </w:rPr>
              <w:t>%</w:t>
            </w:r>
          </w:p>
        </w:tc>
        <w:tc>
          <w:tcPr>
            <w:tcW w:w="2006" w:type="dxa"/>
            <w:vMerge w:val="continue"/>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755" w:type="dxa"/>
            <w:vMerge w:val="continue"/>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2"/>
              </w:rPr>
            </w:pPr>
          </w:p>
        </w:tc>
        <w:tc>
          <w:tcPr>
            <w:tcW w:w="539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hint="eastAsia" w:ascii="仿宋_GB2312" w:hAnsi="宋体" w:eastAsia="仿宋_GB2312"/>
                <w:sz w:val="24"/>
                <w:szCs w:val="22"/>
              </w:rPr>
            </w:pPr>
            <w:r>
              <w:rPr>
                <w:rFonts w:hint="eastAsia" w:ascii="仿宋_GB2312" w:hAnsi="宋体" w:eastAsia="仿宋_GB2312"/>
                <w:sz w:val="24"/>
                <w:szCs w:val="22"/>
              </w:rPr>
              <w:t>编写测试总结报告，权重</w:t>
            </w:r>
            <w:r>
              <w:rPr>
                <w:rFonts w:hint="eastAsia" w:ascii="仿宋_GB2312" w:hAnsi="宋体" w:eastAsia="仿宋_GB2312"/>
                <w:sz w:val="24"/>
                <w:szCs w:val="22"/>
                <w:lang w:val="en-US" w:eastAsia="zh-CN"/>
              </w:rPr>
              <w:t>20</w:t>
            </w:r>
            <w:r>
              <w:rPr>
                <w:rFonts w:hint="eastAsia" w:ascii="仿宋_GB2312" w:hAnsi="宋体" w:eastAsia="仿宋_GB2312"/>
                <w:sz w:val="24"/>
                <w:szCs w:val="22"/>
              </w:rPr>
              <w:t>%</w:t>
            </w:r>
          </w:p>
        </w:tc>
        <w:tc>
          <w:tcPr>
            <w:tcW w:w="2006" w:type="dxa"/>
            <w:vMerge w:val="continue"/>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2"/>
              </w:rPr>
            </w:pPr>
          </w:p>
        </w:tc>
      </w:tr>
    </w:tbl>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四、竞赛方式</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本赛项为团体赛。</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每支参赛队由</w:t>
      </w:r>
      <w:r>
        <w:rPr>
          <w:rFonts w:hint="eastAsia" w:ascii="仿宋_GB2312" w:hAnsi="Arial Narrow" w:eastAsia="仿宋_GB2312" w:cs="宋体"/>
          <w:kern w:val="2"/>
          <w:sz w:val="24"/>
          <w:szCs w:val="24"/>
          <w:lang w:val="en-US" w:eastAsia="zh-CN"/>
        </w:rPr>
        <w:t>2-</w:t>
      </w:r>
      <w:r>
        <w:rPr>
          <w:rFonts w:hint="eastAsia" w:ascii="仿宋_GB2312" w:hAnsi="Arial Narrow" w:eastAsia="仿宋_GB2312" w:cs="宋体"/>
          <w:kern w:val="2"/>
          <w:sz w:val="24"/>
          <w:szCs w:val="24"/>
        </w:rPr>
        <w:t>3名选手组成。团体赛参赛队可配指导教师，指导教师须为本校专兼职教师，每队限报2名指导教师，竞赛期间不允</w:t>
      </w:r>
      <w:bookmarkStart w:id="0" w:name="_GoBack"/>
      <w:bookmarkEnd w:id="0"/>
      <w:r>
        <w:rPr>
          <w:rFonts w:hint="eastAsia" w:ascii="仿宋_GB2312" w:hAnsi="Arial Narrow" w:eastAsia="仿宋_GB2312" w:cs="宋体"/>
          <w:kern w:val="2"/>
          <w:sz w:val="24"/>
          <w:szCs w:val="24"/>
        </w:rPr>
        <w:t>许指导教师进入赛场进行现场指导。参赛选手和指导教师报名获得确认后不得随意更换。</w:t>
      </w: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五、竞赛流程</w:t>
      </w:r>
    </w:p>
    <w:p>
      <w:pPr>
        <w:keepNext/>
        <w:keepLines w:val="0"/>
        <w:pageBreakBefore w:val="0"/>
        <w:widowControl w:val="0"/>
        <w:numPr>
          <w:ilvl w:val="0"/>
          <w:numId w:val="0"/>
        </w:numPr>
        <w:kinsoku/>
        <w:wordWrap w:val="0"/>
        <w:overflowPunct/>
        <w:topLinePunct w:val="0"/>
        <w:autoSpaceDE w:val="0"/>
        <w:autoSpaceDN w:val="0"/>
        <w:bidi w:val="0"/>
        <w:adjustRightInd/>
        <w:snapToGrid w:val="0"/>
        <w:spacing w:line="360" w:lineRule="auto"/>
        <w:ind w:leftChars="200" w:right="0" w:rightChars="0"/>
        <w:jc w:val="both"/>
        <w:textAlignment w:val="auto"/>
        <w:rPr>
          <w:rFonts w:hint="eastAsia" w:ascii="Arial Narrow" w:hAnsi="Arial Narrow" w:eastAsia="仿宋_GB2312" w:cs="Arial"/>
          <w:b/>
          <w:bCs/>
        </w:rPr>
      </w:pPr>
      <w:r>
        <w:rPr>
          <w:rFonts w:hint="eastAsia" w:ascii="Arial Narrow" w:hAnsi="Arial Narrow" w:eastAsia="仿宋_GB2312" w:cs="Arial"/>
          <w:b/>
          <w:bCs/>
          <w:lang w:eastAsia="zh-CN"/>
        </w:rPr>
        <w:t>（一）</w:t>
      </w:r>
      <w:r>
        <w:rPr>
          <w:rFonts w:hint="eastAsia" w:ascii="Arial Narrow" w:hAnsi="Arial Narrow" w:eastAsia="仿宋_GB2312" w:cs="Arial"/>
          <w:b/>
          <w:bCs/>
        </w:rPr>
        <w:t>竞赛日程与流程安排如下表。</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 xml:space="preserve">表3 </w:t>
      </w:r>
      <w:r>
        <w:rPr>
          <w:rFonts w:hint="eastAsia" w:ascii="仿宋_GB2312" w:hAnsi="仿宋_GB2312" w:eastAsia="仿宋_GB2312" w:cs="仿宋_GB2312"/>
          <w:sz w:val="24"/>
          <w:szCs w:val="24"/>
        </w:rPr>
        <w:t>竞赛日程</w:t>
      </w:r>
      <w:r>
        <w:rPr>
          <w:rFonts w:hint="eastAsia" w:ascii="仿宋_GB2312" w:hAnsi="仿宋_GB2312" w:eastAsia="仿宋_GB2312" w:cs="仿宋_GB2312"/>
          <w:sz w:val="24"/>
          <w:szCs w:val="24"/>
          <w:lang w:eastAsia="zh-Hans"/>
        </w:rPr>
        <w:t>安排</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701"/>
        <w:gridCol w:w="2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b/>
                <w:bCs/>
                <w:sz w:val="24"/>
                <w:szCs w:val="22"/>
              </w:rPr>
            </w:pPr>
            <w:r>
              <w:rPr>
                <w:rFonts w:hint="eastAsia" w:ascii="仿宋_GB2312" w:hAnsi="宋体" w:eastAsia="仿宋_GB2312"/>
                <w:b/>
                <w:bCs/>
                <w:sz w:val="24"/>
                <w:szCs w:val="22"/>
              </w:rPr>
              <w:t>日期</w:t>
            </w:r>
          </w:p>
        </w:tc>
        <w:tc>
          <w:tcPr>
            <w:tcW w:w="1701"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jc w:val="both"/>
              <w:textAlignment w:val="auto"/>
              <w:rPr>
                <w:rFonts w:hint="eastAsia" w:ascii="仿宋_GB2312" w:hAnsi="宋体" w:eastAsia="仿宋_GB2312"/>
                <w:b/>
                <w:bCs/>
                <w:sz w:val="24"/>
                <w:szCs w:val="22"/>
              </w:rPr>
            </w:pPr>
            <w:r>
              <w:rPr>
                <w:rFonts w:hint="eastAsia" w:ascii="仿宋_GB2312" w:hAnsi="宋体" w:eastAsia="仿宋_GB2312"/>
                <w:b/>
                <w:bCs/>
                <w:sz w:val="24"/>
                <w:szCs w:val="22"/>
              </w:rPr>
              <w:t>时间</w:t>
            </w:r>
          </w:p>
        </w:tc>
        <w:tc>
          <w:tcPr>
            <w:tcW w:w="2397" w:type="dxa"/>
            <w:noWrap w:val="0"/>
            <w:vAlign w:val="center"/>
          </w:tcPr>
          <w:p>
            <w:pPr>
              <w:pStyle w:val="15"/>
              <w:keepNext/>
              <w:keepLines w:val="0"/>
              <w:pageBreakBefore w:val="0"/>
              <w:widowControl w:val="0"/>
              <w:kinsoku/>
              <w:wordWrap w:val="0"/>
              <w:overflowPunct/>
              <w:topLinePunct w:val="0"/>
              <w:autoSpaceDE w:val="0"/>
              <w:autoSpaceDN w:val="0"/>
              <w:bidi w:val="0"/>
              <w:adjustRightInd/>
              <w:spacing w:line="360" w:lineRule="auto"/>
              <w:ind w:firstLine="482" w:firstLineChars="200"/>
              <w:jc w:val="both"/>
              <w:textAlignment w:val="auto"/>
              <w:rPr>
                <w:rFonts w:ascii="宋体" w:hAnsi="宋体"/>
                <w:b/>
                <w:bCs/>
                <w:sz w:val="24"/>
                <w:szCs w:val="24"/>
              </w:rPr>
            </w:pPr>
            <w:r>
              <w:rPr>
                <w:rFonts w:hint="eastAsia" w:ascii="仿宋_GB2312" w:hAnsi="宋体" w:eastAsia="仿宋_GB2312" w:cs="Times New Roman"/>
                <w:b/>
                <w:bCs/>
                <w:sz w:val="24"/>
                <w:szCs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vMerge w:val="restart"/>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default" w:ascii="仿宋_GB2312" w:hAnsi="宋体" w:eastAsia="仿宋_GB2312"/>
                <w:sz w:val="24"/>
                <w:szCs w:val="22"/>
                <w:lang w:val="en-US" w:eastAsia="zh-CN"/>
              </w:rPr>
            </w:pPr>
            <w:r>
              <w:rPr>
                <w:rFonts w:hint="eastAsia" w:ascii="仿宋_GB2312" w:hAnsi="宋体" w:eastAsia="仿宋_GB2312"/>
                <w:sz w:val="24"/>
                <w:szCs w:val="22"/>
                <w:lang w:val="en-US" w:eastAsia="zh-CN"/>
              </w:rPr>
              <w:t>6月7日</w:t>
            </w:r>
          </w:p>
        </w:tc>
        <w:tc>
          <w:tcPr>
            <w:tcW w:w="1701"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2"/>
              </w:rPr>
            </w:pPr>
            <w:r>
              <w:rPr>
                <w:rFonts w:hint="eastAsia" w:ascii="仿宋_GB2312" w:hAnsi="宋体" w:eastAsia="仿宋_GB2312"/>
                <w:sz w:val="24"/>
                <w:szCs w:val="22"/>
                <w:lang w:val="en-US" w:eastAsia="zh-CN"/>
              </w:rPr>
              <w:t>13</w:t>
            </w:r>
            <w:r>
              <w:rPr>
                <w:rFonts w:hint="eastAsia" w:ascii="仿宋_GB2312" w:hAnsi="宋体" w:eastAsia="仿宋_GB2312"/>
                <w:sz w:val="24"/>
                <w:szCs w:val="22"/>
              </w:rPr>
              <w:t>:00-</w:t>
            </w:r>
            <w:r>
              <w:rPr>
                <w:rFonts w:hint="eastAsia" w:ascii="仿宋_GB2312" w:hAnsi="宋体" w:eastAsia="仿宋_GB2312"/>
                <w:sz w:val="24"/>
                <w:szCs w:val="22"/>
                <w:lang w:val="en-US" w:eastAsia="zh-CN"/>
              </w:rPr>
              <w:t>14</w:t>
            </w:r>
            <w:r>
              <w:rPr>
                <w:rFonts w:hint="eastAsia" w:ascii="仿宋_GB2312" w:hAnsi="宋体" w:eastAsia="仿宋_GB2312"/>
                <w:sz w:val="24"/>
                <w:szCs w:val="22"/>
              </w:rPr>
              <w:t>:</w:t>
            </w:r>
            <w:r>
              <w:rPr>
                <w:rFonts w:hint="eastAsia" w:ascii="仿宋_GB2312" w:hAnsi="宋体" w:eastAsia="仿宋_GB2312"/>
                <w:sz w:val="24"/>
                <w:szCs w:val="22"/>
                <w:lang w:val="en-US" w:eastAsia="zh-CN"/>
              </w:rPr>
              <w:t>0</w:t>
            </w:r>
            <w:r>
              <w:rPr>
                <w:rFonts w:hint="eastAsia" w:ascii="仿宋_GB2312" w:hAnsi="宋体" w:eastAsia="仿宋_GB2312"/>
                <w:sz w:val="24"/>
                <w:szCs w:val="22"/>
              </w:rPr>
              <w:t>0</w:t>
            </w:r>
          </w:p>
        </w:tc>
        <w:tc>
          <w:tcPr>
            <w:tcW w:w="239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宋体" w:eastAsia="仿宋_GB2312"/>
                <w:sz w:val="24"/>
                <w:szCs w:val="22"/>
                <w:lang w:eastAsia="zh-CN"/>
              </w:rPr>
            </w:pPr>
            <w:r>
              <w:rPr>
                <w:rFonts w:hint="eastAsia" w:ascii="仿宋_GB2312" w:hAnsi="宋体" w:eastAsia="仿宋_GB2312"/>
                <w:sz w:val="24"/>
                <w:szCs w:val="22"/>
              </w:rPr>
              <w:t>赛场检录</w:t>
            </w:r>
            <w:r>
              <w:rPr>
                <w:rFonts w:hint="eastAsia" w:ascii="仿宋_GB2312" w:hAnsi="宋体" w:eastAsia="仿宋_GB2312"/>
                <w:sz w:val="24"/>
                <w:szCs w:val="22"/>
                <w:lang w:eastAsia="zh-CN"/>
              </w:rPr>
              <w:t>，</w:t>
            </w:r>
            <w:r>
              <w:rPr>
                <w:rFonts w:hint="eastAsia" w:ascii="仿宋_GB2312" w:hAnsi="宋体" w:eastAsia="仿宋_GB2312"/>
                <w:sz w:val="24"/>
                <w:szCs w:val="22"/>
              </w:rPr>
              <w:t>入场等候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vMerge w:val="continue"/>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宋体" w:eastAsia="仿宋_GB2312"/>
                <w:sz w:val="24"/>
                <w:szCs w:val="22"/>
              </w:rPr>
            </w:pPr>
          </w:p>
        </w:tc>
        <w:tc>
          <w:tcPr>
            <w:tcW w:w="1701"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2"/>
              </w:rPr>
            </w:pPr>
            <w:r>
              <w:rPr>
                <w:rFonts w:hint="eastAsia" w:ascii="仿宋_GB2312" w:hAnsi="宋体" w:eastAsia="仿宋_GB2312"/>
                <w:sz w:val="24"/>
                <w:szCs w:val="22"/>
                <w:lang w:val="en-US" w:eastAsia="zh-CN"/>
              </w:rPr>
              <w:t>14</w:t>
            </w:r>
            <w:r>
              <w:rPr>
                <w:rFonts w:hint="eastAsia" w:ascii="仿宋_GB2312" w:hAnsi="宋体" w:eastAsia="仿宋_GB2312"/>
                <w:sz w:val="24"/>
                <w:szCs w:val="22"/>
              </w:rPr>
              <w:t>:00-1</w:t>
            </w:r>
            <w:r>
              <w:rPr>
                <w:rFonts w:hint="eastAsia" w:ascii="仿宋_GB2312" w:hAnsi="宋体" w:eastAsia="仿宋_GB2312"/>
                <w:sz w:val="24"/>
                <w:szCs w:val="22"/>
                <w:lang w:val="en-US" w:eastAsia="zh-CN"/>
              </w:rPr>
              <w:t>6</w:t>
            </w:r>
            <w:r>
              <w:rPr>
                <w:rFonts w:hint="eastAsia" w:ascii="仿宋_GB2312" w:hAnsi="宋体" w:eastAsia="仿宋_GB2312"/>
                <w:sz w:val="24"/>
                <w:szCs w:val="22"/>
              </w:rPr>
              <w:t>:</w:t>
            </w:r>
            <w:r>
              <w:rPr>
                <w:rFonts w:hint="eastAsia" w:ascii="仿宋_GB2312" w:hAnsi="宋体" w:eastAsia="仿宋_GB2312"/>
                <w:sz w:val="24"/>
                <w:szCs w:val="22"/>
                <w:lang w:val="en-US" w:eastAsia="zh-CN"/>
              </w:rPr>
              <w:t>3</w:t>
            </w:r>
            <w:r>
              <w:rPr>
                <w:rFonts w:hint="eastAsia" w:ascii="仿宋_GB2312" w:hAnsi="宋体" w:eastAsia="仿宋_GB2312"/>
                <w:sz w:val="24"/>
                <w:szCs w:val="22"/>
              </w:rPr>
              <w:t>0</w:t>
            </w:r>
          </w:p>
        </w:tc>
        <w:tc>
          <w:tcPr>
            <w:tcW w:w="239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ascii="仿宋_GB2312" w:hAnsi="宋体" w:eastAsia="仿宋_GB2312"/>
                <w:sz w:val="24"/>
                <w:szCs w:val="22"/>
              </w:rPr>
            </w:pPr>
            <w:r>
              <w:rPr>
                <w:rFonts w:hint="eastAsia" w:ascii="仿宋_GB2312" w:hAnsi="宋体" w:eastAsia="仿宋_GB2312"/>
                <w:sz w:val="24"/>
                <w:szCs w:val="22"/>
              </w:rPr>
              <w:t>比赛进行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vMerge w:val="continue"/>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宋体" w:eastAsia="仿宋_GB2312"/>
                <w:sz w:val="24"/>
                <w:szCs w:val="22"/>
              </w:rPr>
            </w:pPr>
          </w:p>
        </w:tc>
        <w:tc>
          <w:tcPr>
            <w:tcW w:w="1701"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2"/>
              </w:rPr>
            </w:pPr>
            <w:r>
              <w:rPr>
                <w:rFonts w:hint="eastAsia" w:ascii="仿宋_GB2312" w:hAnsi="宋体" w:eastAsia="仿宋_GB2312"/>
                <w:sz w:val="24"/>
                <w:szCs w:val="22"/>
              </w:rPr>
              <w:t>1</w:t>
            </w:r>
            <w:r>
              <w:rPr>
                <w:rFonts w:hint="eastAsia" w:ascii="仿宋_GB2312" w:hAnsi="宋体" w:eastAsia="仿宋_GB2312"/>
                <w:sz w:val="24"/>
                <w:szCs w:val="22"/>
                <w:lang w:val="en-US" w:eastAsia="zh-CN"/>
              </w:rPr>
              <w:t>6</w:t>
            </w:r>
            <w:r>
              <w:rPr>
                <w:rFonts w:hint="eastAsia" w:ascii="仿宋_GB2312" w:hAnsi="宋体" w:eastAsia="仿宋_GB2312"/>
                <w:sz w:val="24"/>
                <w:szCs w:val="22"/>
              </w:rPr>
              <w:t>:</w:t>
            </w:r>
            <w:r>
              <w:rPr>
                <w:rFonts w:hint="eastAsia" w:ascii="仿宋_GB2312" w:hAnsi="宋体" w:eastAsia="仿宋_GB2312"/>
                <w:sz w:val="24"/>
                <w:szCs w:val="22"/>
                <w:lang w:val="en-US" w:eastAsia="zh-CN"/>
              </w:rPr>
              <w:t>3</w:t>
            </w:r>
            <w:r>
              <w:rPr>
                <w:rFonts w:hint="eastAsia" w:ascii="仿宋_GB2312" w:hAnsi="宋体" w:eastAsia="仿宋_GB2312"/>
                <w:sz w:val="24"/>
                <w:szCs w:val="22"/>
              </w:rPr>
              <w:t>0-20:00</w:t>
            </w:r>
          </w:p>
        </w:tc>
        <w:tc>
          <w:tcPr>
            <w:tcW w:w="239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宋体" w:eastAsia="仿宋_GB2312"/>
                <w:sz w:val="24"/>
                <w:szCs w:val="22"/>
              </w:rPr>
            </w:pPr>
            <w:r>
              <w:rPr>
                <w:rFonts w:hint="eastAsia" w:ascii="仿宋_GB2312" w:hAnsi="宋体" w:eastAsia="仿宋_GB2312"/>
                <w:sz w:val="24"/>
                <w:szCs w:val="22"/>
              </w:rPr>
              <w:t>成绩评定</w:t>
            </w:r>
          </w:p>
        </w:tc>
      </w:tr>
    </w:tbl>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p>
    <w:p>
      <w:pPr>
        <w:keepNext/>
        <w:keepLines w:val="0"/>
        <w:pageBreakBefore w:val="0"/>
        <w:widowControl w:val="0"/>
        <w:numPr>
          <w:ilvl w:val="0"/>
          <w:numId w:val="2"/>
        </w:numPr>
        <w:kinsoku/>
        <w:wordWrap w:val="0"/>
        <w:overflowPunct/>
        <w:topLinePunct w:val="0"/>
        <w:autoSpaceDE w:val="0"/>
        <w:autoSpaceDN w:val="0"/>
        <w:bidi w:val="0"/>
        <w:adjustRightInd/>
        <w:snapToGrid w:val="0"/>
        <w:spacing w:line="360" w:lineRule="auto"/>
        <w:ind w:firstLine="442" w:firstLineChars="200"/>
        <w:jc w:val="both"/>
        <w:textAlignment w:val="auto"/>
        <w:rPr>
          <w:rFonts w:hint="eastAsia" w:ascii="Arial Narrow" w:hAnsi="Arial Narrow" w:eastAsia="仿宋_GB2312" w:cs="Arial"/>
          <w:b/>
          <w:bCs/>
        </w:rPr>
      </w:pPr>
      <w:r>
        <w:rPr>
          <w:rFonts w:hint="eastAsia" w:ascii="Arial Narrow" w:hAnsi="Arial Narrow" w:eastAsia="仿宋_GB2312" w:cs="Arial"/>
          <w:b/>
          <w:bCs/>
        </w:rPr>
        <w:t>竞赛流程图</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0" w:firstLineChars="200"/>
        <w:jc w:val="center"/>
        <w:textAlignment w:val="auto"/>
      </w:pPr>
      <w:r>
        <w:drawing>
          <wp:inline distT="0" distB="0" distL="114300" distR="114300">
            <wp:extent cx="4607560" cy="3764280"/>
            <wp:effectExtent l="0" t="0" r="2540" b="762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8"/>
                    <a:stretch>
                      <a:fillRect/>
                    </a:stretch>
                  </pic:blipFill>
                  <pic:spPr>
                    <a:xfrm>
                      <a:off x="0" y="0"/>
                      <a:ext cx="4607560" cy="3764280"/>
                    </a:xfrm>
                    <a:prstGeom prst="rect">
                      <a:avLst/>
                    </a:prstGeom>
                    <a:noFill/>
                    <a:ln>
                      <a:noFill/>
                    </a:ln>
                  </pic:spPr>
                </pic:pic>
              </a:graphicData>
            </a:graphic>
          </wp:inline>
        </w:drawing>
      </w:r>
    </w:p>
    <w:p>
      <w:pPr>
        <w:keepNext/>
        <w:keepLines w:val="0"/>
        <w:pageBreakBefore w:val="0"/>
        <w:widowControl w:val="0"/>
        <w:kinsoku/>
        <w:wordWrap w:val="0"/>
        <w:overflowPunct/>
        <w:topLinePunct w:val="0"/>
        <w:autoSpaceDE w:val="0"/>
        <w:autoSpaceDN w:val="0"/>
        <w:bidi w:val="0"/>
        <w:adjustRightInd/>
        <w:snapToGrid w:val="0"/>
        <w:spacing w:line="360" w:lineRule="auto"/>
        <w:ind w:firstLine="440" w:firstLineChars="200"/>
        <w:jc w:val="center"/>
        <w:textAlignment w:val="auto"/>
        <w:rPr>
          <w:rFonts w:hint="eastAsia" w:ascii="仿宋_GB2312" w:hAnsi="仿宋_GB2312" w:eastAsia="仿宋_GB2312" w:cs="仿宋_GB2312"/>
          <w:lang w:eastAsia="zh-Hans"/>
        </w:rPr>
      </w:pPr>
      <w:r>
        <w:rPr>
          <w:rFonts w:hint="eastAsia" w:ascii="仿宋_GB2312" w:hAnsi="仿宋_GB2312" w:eastAsia="仿宋_GB2312" w:cs="仿宋_GB2312"/>
          <w:lang w:eastAsia="zh-Hans"/>
        </w:rPr>
        <w:t>图1 竞赛流程图</w:t>
      </w:r>
    </w:p>
    <w:p>
      <w:pPr>
        <w:pStyle w:val="2"/>
        <w:rPr>
          <w:rFonts w:hint="eastAsia"/>
        </w:rPr>
      </w:pP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六、竞赛命题</w:t>
      </w:r>
    </w:p>
    <w:p>
      <w:pPr>
        <w:pStyle w:val="2"/>
        <w:keepLines w:val="0"/>
        <w:pageBreakBefore w:val="0"/>
        <w:widowControl w:val="0"/>
        <w:kinsoku/>
        <w:overflowPunct/>
        <w:topLinePunct w:val="0"/>
        <w:autoSpaceDE w:val="0"/>
        <w:autoSpaceDN w:val="0"/>
        <w:bidi w:val="0"/>
        <w:adjustRightInd/>
        <w:spacing w:line="360" w:lineRule="auto"/>
        <w:ind w:firstLine="480" w:firstLineChars="200"/>
        <w:textAlignment w:val="auto"/>
        <w:rPr>
          <w:rFonts w:hint="eastAsia"/>
          <w:lang w:val="en-US" w:eastAsia="zh-CN"/>
        </w:rPr>
      </w:pPr>
      <w:r>
        <w:rPr>
          <w:rFonts w:hint="eastAsia" w:ascii="仿宋_GB2312" w:hAnsi="Arial Narrow" w:eastAsia="仿宋_GB2312" w:cs="宋体"/>
          <w:b w:val="0"/>
          <w:kern w:val="2"/>
          <w:sz w:val="24"/>
          <w:szCs w:val="24"/>
          <w:lang w:val="en-US" w:eastAsia="zh-CN" w:bidi="ar-SA"/>
        </w:rPr>
        <w:t>比赛命题在比赛当天公布。</w:t>
      </w: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七、竞赛规则</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参赛选手须符合《山东省教育厅等4部门关于举行2021年山东省职业院校技能大的通知》有关规定。参赛选手的资格审查工作按照《全国职业院校技能大赛制度汇编》要求执行。</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3. 严禁参赛选手、赛项裁判、工作人员私自携带通讯、摄录设备进入比赛场地。</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4. 参赛选手所需的硬件、软件和辅助工具统一提供，参赛队不得使用自带的任何有存储功能的设备，如硬盘、光盘、U盘、手机、随身听等。</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5. 所有参赛选手都必须携带参赛证件进行检录。</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6. 参赛队在赛前领取比赛任务并进入比赛工位，比赛正式开始后方可进行相关操作。</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7. 比赛过程中，选手须严格遵守操作规程，确保人身及设备安全，并接受裁判员的监督和指示。因选手原因造成设备故障或损坏而无法继续比赛的，裁判长有权决定中止该队比赛；非因选手个人原因造成设备故障的，由裁判长视具体情况作出裁决。</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8. 竞赛开始时统一发放赛卷，竞赛结束后，参赛选手要确认已成功提交竞赛要求的配置文件和文档，裁判员与参赛选手一起签字确认，参赛选手在确认后不得再进行任何操作。</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9. 赛项成绩解密后，在指定地点，以纸质形式向全体参赛队进行公布，成绩无异议后，在闭赛式上予以宣布。</w:t>
      </w: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八、竞赛环境</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竞赛场地：竞赛场地分为竞赛现场、裁判员休息区、指导老师休息区、开（闭）幕式会议区、服务区。其中，竞赛现场又划分为：检录区、场内竞赛区、裁判工作区、技术支持区。以上区域应保证良好的采光、照明和通风；应提供稳定的水、电和供电应急设备。</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竞赛设备：场内竞赛区按照参赛队数量准备比赛所需的软硬件平台，为参赛队提供统一竞赛设备和备用设备。选手无需自带任何工具及附件。</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3. 竞赛工位：竞赛现场各个工作区配备单相220V/3A以上交流电源。每个竞赛工位上标明编号；每个竞赛间配有工作台，用于摆放计算机和其它调试设备工具等；配备3把工作椅。</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4. 技术支持区：为技术支持人员提供固定工位、电源保障。</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5. 服务区：提供医疗等服务保障。</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6. 赛场开放：竞赛环境依据竞赛需求设计，在竞赛不被干扰的前提下赛场面向媒体、行业专家开放；允许媒体、行业专家在规定的时段内沿指定路线进行现场参观。</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7. 竞赛场地应符合消防安全规定，现场消防器材和消防栓合格有效，应急照明设施状态合格，赛场明显位置张贴紧急疏散图，赛场地面张贴荧光疏散指示箭头，赛场出入口专人负责，随时保证安全通道的畅通无阻。各工位分区供电，强电弱电分开布线，现场临时用电满足《施工现场临时用电安全技术规范》JGJ46-2005的要求。</w:t>
      </w: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九、技术规范</w:t>
      </w:r>
    </w:p>
    <w:p>
      <w:pPr>
        <w:keepLines w:val="0"/>
        <w:pageBreakBefore w:val="0"/>
        <w:widowControl w:val="0"/>
        <w:kinsoku/>
        <w:overflowPunct/>
        <w:topLinePunct w:val="0"/>
        <w:autoSpaceDE w:val="0"/>
        <w:autoSpaceDN w:val="0"/>
        <w:bidi w:val="0"/>
        <w:adjustRightInd/>
        <w:snapToGrid w:val="0"/>
        <w:spacing w:line="360" w:lineRule="auto"/>
        <w:ind w:firstLine="440" w:firstLineChars="200"/>
        <w:textAlignment w:val="auto"/>
        <w:rPr>
          <w:rFonts w:hint="eastAsia" w:ascii="仿宋_GB2312" w:hAnsi="Arial Narrow" w:eastAsia="仿宋_GB2312" w:cs="宋体"/>
          <w:kern w:val="2"/>
        </w:rPr>
      </w:pPr>
      <w:r>
        <w:rPr>
          <w:rFonts w:hint="eastAsia" w:ascii="仿宋_GB2312" w:hAnsi="Arial Narrow" w:eastAsia="仿宋_GB2312" w:cs="宋体"/>
          <w:kern w:val="2"/>
        </w:rPr>
        <w:t>参赛代表队在实施竞赛项目时要求遵循如下规范：</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0" w:firstLineChars="200"/>
        <w:jc w:val="center"/>
        <w:textAlignment w:val="auto"/>
        <w:rPr>
          <w:rFonts w:hint="eastAsia" w:ascii="仿宋_GB2312" w:hAnsi="Arial Narrow" w:eastAsia="仿宋_GB2312" w:cs="宋体"/>
          <w:kern w:val="2"/>
          <w:lang w:eastAsia="zh-Hans"/>
        </w:rPr>
      </w:pPr>
      <w:r>
        <w:rPr>
          <w:rFonts w:hint="eastAsia" w:ascii="仿宋_GB2312" w:hAnsi="Arial Narrow" w:eastAsia="仿宋_GB2312" w:cs="宋体"/>
          <w:kern w:val="2"/>
          <w:lang w:eastAsia="zh-Hans"/>
        </w:rPr>
        <w:t>表</w:t>
      </w:r>
      <w:r>
        <w:rPr>
          <w:rFonts w:ascii="仿宋_GB2312" w:hAnsi="Arial Narrow" w:eastAsia="仿宋_GB2312" w:cs="宋体"/>
          <w:kern w:val="2"/>
          <w:lang w:eastAsia="zh-Hans"/>
        </w:rPr>
        <w:t xml:space="preserve">4 </w:t>
      </w:r>
      <w:r>
        <w:rPr>
          <w:rFonts w:hint="eastAsia" w:ascii="仿宋_GB2312" w:hAnsi="Arial Narrow" w:eastAsia="仿宋_GB2312" w:cs="宋体"/>
          <w:kern w:val="2"/>
        </w:rPr>
        <w:t>竞赛</w:t>
      </w:r>
      <w:r>
        <w:rPr>
          <w:rFonts w:hint="eastAsia" w:ascii="仿宋_GB2312" w:hAnsi="Arial Narrow" w:eastAsia="仿宋_GB2312" w:cs="宋体"/>
          <w:kern w:val="2"/>
          <w:lang w:eastAsia="zh-Hans"/>
        </w:rPr>
        <w:t>遵循规范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376"/>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b/>
                <w:bCs/>
                <w:sz w:val="24"/>
                <w:szCs w:val="24"/>
              </w:rPr>
            </w:pPr>
            <w:r>
              <w:rPr>
                <w:rFonts w:hint="eastAsia" w:ascii="仿宋_GB2312" w:hAnsi="宋体" w:eastAsia="仿宋_GB2312"/>
                <w:b/>
                <w:bCs/>
                <w:sz w:val="24"/>
                <w:szCs w:val="24"/>
              </w:rPr>
              <w:t>序号</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b/>
                <w:bCs/>
                <w:sz w:val="24"/>
                <w:szCs w:val="24"/>
              </w:rPr>
            </w:pPr>
            <w:r>
              <w:rPr>
                <w:rFonts w:hint="eastAsia" w:ascii="仿宋_GB2312" w:hAnsi="宋体" w:eastAsia="仿宋_GB2312"/>
                <w:b/>
                <w:bCs/>
                <w:sz w:val="24"/>
                <w:szCs w:val="24"/>
              </w:rPr>
              <w:t>标准号</w:t>
            </w:r>
          </w:p>
        </w:tc>
        <w:tc>
          <w:tcPr>
            <w:tcW w:w="5633"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b/>
                <w:bCs/>
                <w:sz w:val="24"/>
                <w:szCs w:val="24"/>
              </w:rPr>
            </w:pPr>
            <w:r>
              <w:rPr>
                <w:rFonts w:hint="eastAsia" w:ascii="仿宋_GB2312" w:hAnsi="宋体" w:eastAsia="仿宋_GB2312"/>
                <w:b/>
                <w:bCs/>
                <w:sz w:val="24"/>
                <w:szCs w:val="24"/>
              </w:rPr>
              <w:t>中文标准名称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GB/T15532—2008</w:t>
            </w:r>
          </w:p>
        </w:tc>
        <w:tc>
          <w:tcPr>
            <w:tcW w:w="5633"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4"/>
              </w:rPr>
            </w:pPr>
            <w:r>
              <w:rPr>
                <w:rFonts w:hint="eastAsia" w:ascii="仿宋_GB2312" w:hAnsi="宋体" w:eastAsia="仿宋_GB2312"/>
                <w:sz w:val="24"/>
                <w:szCs w:val="24"/>
              </w:rPr>
              <w:t>计算机软件测试规范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2</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GB/T16260—2006</w:t>
            </w:r>
          </w:p>
        </w:tc>
        <w:tc>
          <w:tcPr>
            <w:tcW w:w="5633"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4"/>
              </w:rPr>
            </w:pPr>
            <w:r>
              <w:rPr>
                <w:rFonts w:hint="eastAsia" w:ascii="仿宋_GB2312" w:hAnsi="宋体" w:eastAsia="仿宋_GB2312"/>
                <w:sz w:val="24"/>
                <w:szCs w:val="24"/>
              </w:rPr>
              <w:t>软件工程  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3</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GB/T9385—2008</w:t>
            </w:r>
          </w:p>
        </w:tc>
        <w:tc>
          <w:tcPr>
            <w:tcW w:w="5633"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4"/>
              </w:rPr>
            </w:pPr>
            <w:r>
              <w:rPr>
                <w:rFonts w:hint="eastAsia" w:ascii="仿宋_GB2312" w:hAnsi="宋体" w:eastAsia="仿宋_GB2312"/>
                <w:sz w:val="24"/>
                <w:szCs w:val="24"/>
              </w:rPr>
              <w:t>计算机软件需求规格说明规范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4</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GB/T18905—2002</w:t>
            </w:r>
          </w:p>
        </w:tc>
        <w:tc>
          <w:tcPr>
            <w:tcW w:w="5633"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4"/>
              </w:rPr>
            </w:pPr>
            <w:r>
              <w:rPr>
                <w:rFonts w:hint="eastAsia" w:ascii="仿宋_GB2312" w:hAnsi="宋体" w:eastAsia="仿宋_GB2312"/>
                <w:sz w:val="24"/>
                <w:szCs w:val="24"/>
              </w:rPr>
              <w:t>软件工程  产品评价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5</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GB/T8567-2006</w:t>
            </w:r>
          </w:p>
        </w:tc>
        <w:tc>
          <w:tcPr>
            <w:tcW w:w="5633"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4"/>
              </w:rPr>
            </w:pPr>
            <w:r>
              <w:rPr>
                <w:rFonts w:hint="eastAsia" w:ascii="仿宋_GB2312" w:hAnsi="宋体" w:eastAsia="仿宋_GB2312"/>
                <w:sz w:val="24"/>
                <w:szCs w:val="24"/>
              </w:rPr>
              <w:t>计算机软件文档编制规范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6</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GB/T25000.1-2010</w:t>
            </w:r>
          </w:p>
        </w:tc>
        <w:tc>
          <w:tcPr>
            <w:tcW w:w="5633"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4"/>
              </w:rPr>
            </w:pPr>
            <w:r>
              <w:rPr>
                <w:rFonts w:hint="eastAsia" w:ascii="仿宋_GB2312" w:hAnsi="宋体" w:eastAsia="仿宋_GB2312"/>
                <w:sz w:val="24"/>
                <w:szCs w:val="24"/>
              </w:rPr>
              <w:t>软件质量要求与评价（SQuaRE）指南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7</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GB/T25000.10-2016</w:t>
            </w:r>
          </w:p>
        </w:tc>
        <w:tc>
          <w:tcPr>
            <w:tcW w:w="5633"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4"/>
              </w:rPr>
            </w:pPr>
            <w:r>
              <w:rPr>
                <w:rFonts w:hint="eastAsia" w:ascii="仿宋_GB2312" w:hAnsi="宋体" w:eastAsia="仿宋_GB2312"/>
                <w:sz w:val="24"/>
                <w:szCs w:val="24"/>
              </w:rPr>
              <w:t>软件质量要求与评价（SQuaRE）第10部分：系统与软件质量模型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8</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GB/T25000.51-2016</w:t>
            </w:r>
          </w:p>
        </w:tc>
        <w:tc>
          <w:tcPr>
            <w:tcW w:w="5633"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4"/>
              </w:rPr>
            </w:pPr>
            <w:r>
              <w:rPr>
                <w:rFonts w:hint="eastAsia" w:ascii="仿宋_GB2312" w:hAnsi="宋体" w:eastAsia="仿宋_GB2312"/>
                <w:sz w:val="24"/>
                <w:szCs w:val="24"/>
              </w:rPr>
              <w:t>软件质量要求与评价（SQuaRE）第51部分：商业现货（COTS）软件产品的质量要求与评测细则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sz w:val="24"/>
                <w:szCs w:val="24"/>
              </w:rPr>
            </w:pPr>
            <w:r>
              <w:rPr>
                <w:rFonts w:hint="eastAsia" w:ascii="仿宋_GB2312" w:hAnsi="宋体" w:eastAsia="仿宋_GB2312"/>
                <w:sz w:val="24"/>
                <w:szCs w:val="24"/>
              </w:rPr>
              <w:t>9</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GB/T25000.62-2014</w:t>
            </w:r>
          </w:p>
        </w:tc>
        <w:tc>
          <w:tcPr>
            <w:tcW w:w="5633" w:type="dxa"/>
            <w:tcBorders>
              <w:top w:val="single" w:color="auto" w:sz="4" w:space="0"/>
              <w:left w:val="single" w:color="auto" w:sz="4" w:space="0"/>
              <w:bottom w:val="single" w:color="auto" w:sz="4" w:space="0"/>
              <w:right w:val="single" w:color="auto" w:sz="4" w:space="0"/>
            </w:tcBorders>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宋体" w:eastAsia="仿宋_GB2312"/>
                <w:sz w:val="24"/>
                <w:szCs w:val="24"/>
              </w:rPr>
            </w:pPr>
            <w:r>
              <w:rPr>
                <w:rFonts w:hint="eastAsia" w:ascii="仿宋_GB2312" w:hAnsi="宋体" w:eastAsia="仿宋_GB2312"/>
                <w:sz w:val="24"/>
                <w:szCs w:val="24"/>
              </w:rPr>
              <w:t>软件质量要求与评价（SQuaRE）易用性测试报告行业通用格式（CIF）</w:t>
            </w:r>
          </w:p>
        </w:tc>
      </w:tr>
    </w:tbl>
    <w:p>
      <w:pPr>
        <w:keepLines w:val="0"/>
        <w:pageBreakBefore w:val="0"/>
        <w:widowControl w:val="0"/>
        <w:kinsoku/>
        <w:overflowPunct/>
        <w:topLinePunct w:val="0"/>
        <w:autoSpaceDE w:val="0"/>
        <w:autoSpaceDN w:val="0"/>
        <w:bidi w:val="0"/>
        <w:adjustRightInd/>
        <w:snapToGrid w:val="0"/>
        <w:spacing w:line="360" w:lineRule="auto"/>
        <w:textAlignment w:val="auto"/>
        <w:rPr>
          <w:rFonts w:hint="eastAsia" w:ascii="黑体" w:hAnsi="黑体" w:eastAsia="黑体"/>
          <w:sz w:val="24"/>
          <w:szCs w:val="24"/>
        </w:rPr>
      </w:pP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十、技术平台</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jc w:val="both"/>
        <w:textAlignment w:val="auto"/>
        <w:rPr>
          <w:rFonts w:hint="eastAsia" w:ascii="仿宋_GB2312" w:hAnsi="Arial Narrow" w:eastAsia="仿宋_GB2312" w:cs="宋体"/>
          <w:b/>
          <w:bCs/>
          <w:kern w:val="2"/>
          <w:sz w:val="24"/>
          <w:szCs w:val="24"/>
        </w:rPr>
      </w:pPr>
      <w:r>
        <w:rPr>
          <w:rFonts w:hint="eastAsia" w:ascii="仿宋_GB2312" w:hAnsi="Arial Narrow" w:eastAsia="仿宋_GB2312" w:cs="宋体"/>
          <w:b/>
          <w:bCs/>
          <w:kern w:val="2"/>
          <w:sz w:val="24"/>
          <w:szCs w:val="24"/>
        </w:rPr>
        <w:t>（一）竞赛设备</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Arial Narrow" w:eastAsia="仿宋_GB2312" w:cs="宋体"/>
          <w:kern w:val="2"/>
          <w:sz w:val="24"/>
          <w:szCs w:val="24"/>
          <w:lang w:eastAsia="zh-Hans"/>
        </w:rPr>
      </w:pPr>
      <w:r>
        <w:rPr>
          <w:rFonts w:hint="eastAsia" w:ascii="仿宋_GB2312" w:hAnsi="Arial Narrow" w:eastAsia="仿宋_GB2312" w:cs="宋体"/>
          <w:kern w:val="2"/>
          <w:sz w:val="24"/>
          <w:szCs w:val="24"/>
          <w:lang w:eastAsia="zh-Hans"/>
        </w:rPr>
        <w:t>表</w:t>
      </w:r>
      <w:r>
        <w:rPr>
          <w:rFonts w:ascii="仿宋_GB2312" w:hAnsi="Arial Narrow" w:eastAsia="仿宋_GB2312" w:cs="宋体"/>
          <w:kern w:val="2"/>
          <w:sz w:val="24"/>
          <w:szCs w:val="24"/>
          <w:lang w:eastAsia="zh-Hans"/>
        </w:rPr>
        <w:t xml:space="preserve">5 </w:t>
      </w:r>
      <w:r>
        <w:rPr>
          <w:rFonts w:hint="eastAsia" w:ascii="仿宋_GB2312" w:hAnsi="Arial Narrow" w:eastAsia="仿宋_GB2312" w:cs="宋体"/>
          <w:kern w:val="2"/>
          <w:sz w:val="24"/>
          <w:szCs w:val="24"/>
        </w:rPr>
        <w:t>竞赛设备</w:t>
      </w:r>
      <w:r>
        <w:rPr>
          <w:rFonts w:hint="eastAsia" w:ascii="仿宋_GB2312" w:hAnsi="Arial Narrow" w:eastAsia="仿宋_GB2312" w:cs="宋体"/>
          <w:kern w:val="2"/>
          <w:sz w:val="24"/>
          <w:szCs w:val="24"/>
          <w:lang w:eastAsia="zh-Hans"/>
        </w:rPr>
        <w:t>表</w:t>
      </w:r>
    </w:p>
    <w:tbl>
      <w:tblPr>
        <w:tblStyle w:val="6"/>
        <w:tblW w:w="0" w:type="auto"/>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077"/>
        <w:gridCol w:w="4243"/>
        <w:gridCol w:w="1961"/>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b/>
                <w:bCs/>
                <w:sz w:val="24"/>
                <w:szCs w:val="24"/>
              </w:rPr>
            </w:pPr>
            <w:r>
              <w:rPr>
                <w:rFonts w:hint="eastAsia" w:ascii="仿宋_GB2312" w:hAnsi="宋体" w:eastAsia="仿宋_GB2312"/>
                <w:b/>
                <w:bCs/>
                <w:sz w:val="24"/>
                <w:szCs w:val="24"/>
              </w:rPr>
              <w:t>设备类别</w:t>
            </w:r>
          </w:p>
        </w:tc>
        <w:tc>
          <w:tcPr>
            <w:tcW w:w="107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b/>
                <w:bCs/>
                <w:sz w:val="24"/>
                <w:szCs w:val="24"/>
              </w:rPr>
            </w:pPr>
            <w:r>
              <w:rPr>
                <w:rFonts w:hint="eastAsia" w:ascii="仿宋_GB2312" w:hAnsi="宋体" w:eastAsia="仿宋_GB2312"/>
                <w:b/>
                <w:bCs/>
                <w:sz w:val="24"/>
                <w:szCs w:val="24"/>
              </w:rPr>
              <w:t>数量</w:t>
            </w:r>
          </w:p>
        </w:tc>
        <w:tc>
          <w:tcPr>
            <w:tcW w:w="4243"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b/>
                <w:bCs/>
                <w:sz w:val="24"/>
                <w:szCs w:val="24"/>
              </w:rPr>
            </w:pPr>
            <w:r>
              <w:rPr>
                <w:rFonts w:hint="eastAsia" w:ascii="仿宋_GB2312" w:hAnsi="宋体" w:eastAsia="仿宋_GB2312"/>
                <w:b/>
                <w:bCs/>
                <w:sz w:val="24"/>
                <w:szCs w:val="24"/>
              </w:rPr>
              <w:t>设备用途</w:t>
            </w:r>
          </w:p>
        </w:tc>
        <w:tc>
          <w:tcPr>
            <w:tcW w:w="1961"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center"/>
              <w:textAlignment w:val="auto"/>
              <w:rPr>
                <w:rFonts w:hint="eastAsia" w:ascii="仿宋_GB2312" w:hAnsi="宋体" w:eastAsia="仿宋_GB2312"/>
                <w:b/>
                <w:bCs/>
                <w:sz w:val="24"/>
                <w:szCs w:val="24"/>
              </w:rPr>
            </w:pPr>
            <w:r>
              <w:rPr>
                <w:rFonts w:hint="eastAsia" w:ascii="仿宋_GB2312" w:hAnsi="宋体" w:eastAsia="仿宋_GB2312"/>
                <w:b/>
                <w:bCs/>
                <w:sz w:val="24"/>
                <w:szCs w:val="24"/>
              </w:rPr>
              <w:t>基本配置</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182"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服务器</w:t>
            </w:r>
          </w:p>
        </w:tc>
        <w:tc>
          <w:tcPr>
            <w:tcW w:w="107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每支参赛队2套</w:t>
            </w:r>
          </w:p>
        </w:tc>
        <w:tc>
          <w:tcPr>
            <w:tcW w:w="4243"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1套功能自动化测试服务器，内嵌软件测试实训系统、功能测试被测系统、自动化测试被测系统；1套性能测试服务器，内嵌性能测试被测系统。</w:t>
            </w:r>
          </w:p>
        </w:tc>
        <w:tc>
          <w:tcPr>
            <w:tcW w:w="1961"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highlight w:val="yellow"/>
              </w:rPr>
            </w:pPr>
            <w:r>
              <w:rPr>
                <w:rFonts w:hint="eastAsia" w:ascii="仿宋_GB2312" w:hAnsi="宋体" w:eastAsia="仿宋_GB2312"/>
                <w:sz w:val="24"/>
                <w:szCs w:val="24"/>
              </w:rPr>
              <w:t>性能相当于2.0GHZ处理器，4G及以上内存。</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客户端</w:t>
            </w:r>
          </w:p>
        </w:tc>
        <w:tc>
          <w:tcPr>
            <w:tcW w:w="1077"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每支参赛队3台</w:t>
            </w:r>
          </w:p>
        </w:tc>
        <w:tc>
          <w:tcPr>
            <w:tcW w:w="4243" w:type="dxa"/>
            <w:noWrap w:val="0"/>
            <w:vAlign w:val="center"/>
          </w:tcPr>
          <w:p>
            <w:pPr>
              <w:pStyle w:val="13"/>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宋体" w:eastAsia="仿宋_GB2312"/>
                <w:sz w:val="24"/>
                <w:szCs w:val="24"/>
              </w:rPr>
            </w:pPr>
            <w:r>
              <w:rPr>
                <w:rFonts w:hint="eastAsia" w:ascii="仿宋_GB2312" w:hAnsi="宋体" w:eastAsia="仿宋_GB2312"/>
                <w:sz w:val="24"/>
                <w:szCs w:val="24"/>
              </w:rPr>
              <w:t>竞赛选手比赛使用。</w:t>
            </w:r>
          </w:p>
        </w:tc>
        <w:tc>
          <w:tcPr>
            <w:tcW w:w="1961" w:type="dxa"/>
            <w:noWrap w:val="0"/>
            <w:vAlign w:val="center"/>
          </w:tcPr>
          <w:p>
            <w:pPr>
              <w:keepNext/>
              <w:keepLines w:val="0"/>
              <w:pageBreakBefore w:val="0"/>
              <w:widowControl w:val="0"/>
              <w:kinsoku/>
              <w:wordWrap w:val="0"/>
              <w:overflowPunct/>
              <w:topLinePunct w:val="0"/>
              <w:autoSpaceDE w:val="0"/>
              <w:autoSpaceDN w:val="0"/>
              <w:bidi w:val="0"/>
              <w:adjustRightInd/>
              <w:spacing w:line="360" w:lineRule="auto"/>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性能相当于2.0GHZ处理器，4G及以上内存。</w:t>
            </w:r>
          </w:p>
        </w:tc>
      </w:tr>
    </w:tbl>
    <w:p>
      <w:pPr>
        <w:keepNext/>
        <w:keepLines w:val="0"/>
        <w:pageBreakBefore w:val="0"/>
        <w:widowControl w:val="0"/>
        <w:kinsoku/>
        <w:wordWrap w:val="0"/>
        <w:overflowPunct/>
        <w:topLinePunct w:val="0"/>
        <w:autoSpaceDE w:val="0"/>
        <w:autoSpaceDN w:val="0"/>
        <w:bidi w:val="0"/>
        <w:adjustRightInd/>
        <w:snapToGrid w:val="0"/>
        <w:spacing w:line="360" w:lineRule="auto"/>
        <w:jc w:val="both"/>
        <w:textAlignment w:val="auto"/>
        <w:rPr>
          <w:rFonts w:hint="eastAsia" w:ascii="仿宋_GB2312" w:hAnsi="Arial Narrow" w:eastAsia="仿宋_GB2312" w:cs="宋体"/>
          <w:b/>
          <w:bCs/>
          <w:kern w:val="2"/>
          <w:sz w:val="24"/>
          <w:szCs w:val="24"/>
        </w:rPr>
      </w:pPr>
    </w:p>
    <w:p>
      <w:pPr>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jc w:val="both"/>
        <w:textAlignment w:val="auto"/>
        <w:rPr>
          <w:rFonts w:hint="eastAsia" w:ascii="仿宋_GB2312" w:hAnsi="Arial Narrow" w:eastAsia="仿宋_GB2312" w:cs="宋体"/>
          <w:b/>
          <w:bCs/>
          <w:kern w:val="2"/>
          <w:sz w:val="24"/>
          <w:szCs w:val="24"/>
        </w:rPr>
      </w:pPr>
      <w:r>
        <w:rPr>
          <w:rFonts w:hint="eastAsia" w:ascii="仿宋_GB2312" w:hAnsi="Arial Narrow" w:eastAsia="仿宋_GB2312" w:cs="宋体"/>
          <w:b/>
          <w:bCs/>
          <w:kern w:val="2"/>
          <w:sz w:val="24"/>
          <w:szCs w:val="24"/>
        </w:rPr>
        <w:t>（二）竞赛软件平台</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textAlignment w:val="auto"/>
        <w:rPr>
          <w:rFonts w:ascii="Arial Narrow" w:hAnsi="Arial Narrow" w:eastAsia="仿宋_GB2312" w:cs="Arial"/>
          <w:sz w:val="24"/>
          <w:szCs w:val="24"/>
        </w:rPr>
      </w:pPr>
      <w:r>
        <w:rPr>
          <w:rFonts w:hint="eastAsia" w:ascii="仿宋_GB2312" w:hAnsi="仿宋_GB2312" w:eastAsia="仿宋_GB2312" w:cs="仿宋_GB2312"/>
          <w:sz w:val="24"/>
          <w:szCs w:val="24"/>
          <w:lang w:eastAsia="zh-CN"/>
        </w:rPr>
        <w:t>软件平台为自选系统</w:t>
      </w:r>
      <w:r>
        <w:rPr>
          <w:rFonts w:hint="eastAsia" w:ascii="仿宋_GB2312" w:hAnsi="仿宋_GB2312" w:eastAsia="仿宋_GB2312" w:cs="仿宋_GB2312"/>
          <w:sz w:val="24"/>
          <w:szCs w:val="24"/>
        </w:rPr>
        <w:t>。</w:t>
      </w: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十一、成绩评定</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hint="eastAsia" w:ascii="仿宋_GB2312" w:hAnsi="Arial Narrow" w:eastAsia="仿宋_GB2312" w:cs="宋体"/>
          <w:b/>
          <w:bCs/>
          <w:kern w:val="2"/>
        </w:rPr>
      </w:pPr>
      <w:r>
        <w:rPr>
          <w:rFonts w:hint="eastAsia" w:ascii="仿宋_GB2312" w:hAnsi="Arial Narrow" w:eastAsia="仿宋_GB2312" w:cs="宋体"/>
          <w:b/>
          <w:bCs/>
          <w:kern w:val="2"/>
        </w:rPr>
        <w:t>（一）评分细则（总分100分）</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0" w:firstLineChars="200"/>
        <w:jc w:val="center"/>
        <w:textAlignment w:val="auto"/>
        <w:rPr>
          <w:rFonts w:hint="eastAsia" w:ascii="仿宋_GB2312" w:hAnsi="Arial Narrow" w:eastAsia="仿宋_GB2312" w:cs="宋体"/>
          <w:kern w:val="2"/>
          <w:lang w:eastAsia="zh-Hans"/>
        </w:rPr>
      </w:pPr>
      <w:r>
        <w:rPr>
          <w:rFonts w:hint="eastAsia" w:ascii="仿宋_GB2312" w:hAnsi="Arial Narrow" w:eastAsia="仿宋_GB2312" w:cs="宋体"/>
          <w:kern w:val="2"/>
          <w:lang w:eastAsia="zh-Hans"/>
        </w:rPr>
        <w:t>表</w:t>
      </w:r>
      <w:r>
        <w:rPr>
          <w:rFonts w:ascii="仿宋_GB2312" w:hAnsi="Arial Narrow" w:eastAsia="仿宋_GB2312" w:cs="宋体"/>
          <w:kern w:val="2"/>
          <w:lang w:eastAsia="zh-Hans"/>
        </w:rPr>
        <w:t xml:space="preserve">7 </w:t>
      </w:r>
      <w:r>
        <w:rPr>
          <w:rFonts w:hint="eastAsia" w:ascii="仿宋_GB2312" w:hAnsi="Arial Narrow" w:eastAsia="仿宋_GB2312" w:cs="宋体"/>
          <w:kern w:val="2"/>
          <w:lang w:eastAsia="zh-Hans"/>
        </w:rPr>
        <w:t>评分细则表</w:t>
      </w:r>
    </w:p>
    <w:tbl>
      <w:tblPr>
        <w:tblStyle w:val="6"/>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918"/>
        <w:gridCol w:w="403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027" w:type="dxa"/>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考查点</w:t>
            </w:r>
          </w:p>
        </w:tc>
        <w:tc>
          <w:tcPr>
            <w:tcW w:w="2918" w:type="dxa"/>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评分标准</w:t>
            </w:r>
          </w:p>
        </w:tc>
        <w:tc>
          <w:tcPr>
            <w:tcW w:w="4036" w:type="dxa"/>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2" w:firstLineChars="200"/>
              <w:jc w:val="center"/>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评分细则</w:t>
            </w:r>
          </w:p>
        </w:tc>
        <w:tc>
          <w:tcPr>
            <w:tcW w:w="876" w:type="dxa"/>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eastAsia" w:ascii="仿宋_GB2312" w:hAnsi="仿宋_GB2312" w:eastAsia="仿宋_GB2312" w:cs="仿宋_GB2312"/>
                <w:b/>
                <w:sz w:val="24"/>
              </w:rPr>
            </w:pPr>
            <w:r>
              <w:rPr>
                <w:rFonts w:hint="eastAsia" w:ascii="仿宋_GB2312" w:hAnsi="仿宋_GB2312" w:eastAsia="仿宋_GB2312" w:cs="仿宋_GB2312"/>
                <w:b/>
                <w:sz w:val="24"/>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restart"/>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制定测试计划</w:t>
            </w:r>
          </w:p>
        </w:tc>
        <w:tc>
          <w:tcPr>
            <w:tcW w:w="2918" w:type="dxa"/>
            <w:vMerge w:val="restart"/>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测试计划应包括测试目的、测试范围、测试人员、测试环境、测试人员进度安排与模块划分等。</w:t>
            </w:r>
          </w:p>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主要评分点包括明确测试范围、合理并完备的进行任务分配、制定有效完备的测试策略等。</w:t>
            </w: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1.概述说明清晰。</w:t>
            </w:r>
          </w:p>
        </w:tc>
        <w:tc>
          <w:tcPr>
            <w:tcW w:w="876" w:type="dxa"/>
            <w:vMerge w:val="restart"/>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5</w:t>
            </w:r>
          </w:p>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2.测试任务说明清晰。</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3.测试资源说明清晰。</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4.功能测试计划列出全部功能点。</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5.对每个功能点进行分工。</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6.功能点的测试分工合理。</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7.测试整体进度安排说明清晰。</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8.相关风险说明清晰。</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restart"/>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设计功能测试用例</w:t>
            </w:r>
          </w:p>
        </w:tc>
        <w:tc>
          <w:tcPr>
            <w:tcW w:w="2918" w:type="dxa"/>
            <w:vMerge w:val="restart"/>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测试用例包括功能测试用例。测试用例文档应包括：测试用例编号、功能点、用例说明、前置条件、输入、执行步骤、预期结果、重要程度。</w:t>
            </w: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1.用例数量。每写一条规范的测试用例得分=4/用例数量（不能有重复的测试用例，编写要符合需求且正确）。</w:t>
            </w:r>
          </w:p>
        </w:tc>
        <w:tc>
          <w:tcPr>
            <w:tcW w:w="876" w:type="dxa"/>
            <w:vMerge w:val="restart"/>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5</w:t>
            </w:r>
          </w:p>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2.重点测试用例数量。每发现1个得分=10/重点测试用例数量（不能有重复的测试用例，编写要符合需求且正确）。</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3.测试用例编写符合测试用例规范。</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restart"/>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执行功能测试用例</w:t>
            </w:r>
          </w:p>
        </w:tc>
        <w:tc>
          <w:tcPr>
            <w:tcW w:w="2918" w:type="dxa"/>
            <w:vMerge w:val="restart"/>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Bug提交包括功能缺陷等。Bug提交文档应包括缺陷编号、角色、模块名称、摘要描述、操作步骤、预期结果、实际结果、缺陷严重程度、提交人、截图等。</w:t>
            </w: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1.Bug数量。每发现一个Bug得分=4/Bug数量（Bug描述要规范且正确，重复的Bug不计入Bug数量）。</w:t>
            </w:r>
          </w:p>
        </w:tc>
        <w:tc>
          <w:tcPr>
            <w:tcW w:w="876" w:type="dxa"/>
            <w:vMerge w:val="restart"/>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2.重点Bug数量。每发现一个重点Bug得分=10/重点Bug数量（Bug描述要规范且正确，重复的Bug不计入Bug数量）。</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3.测试Bug缺陷报告清单编写符合规范，每一项均需要填写，否则得0分。</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restart"/>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编写测试总结报告</w:t>
            </w:r>
          </w:p>
        </w:tc>
        <w:tc>
          <w:tcPr>
            <w:tcW w:w="2918" w:type="dxa"/>
            <w:vMerge w:val="restart"/>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测试总结报告应包括测试目的、测试环境、测试人员、测试进度情况、Bug汇总、测试结论等。</w:t>
            </w:r>
          </w:p>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szCs w:val="24"/>
              </w:rPr>
              <w:t>主要评分点包括：测试总结报告内容完整。</w:t>
            </w: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1.测试概述、测试参考文档、项目组成员、测试设计介绍填写完整。</w:t>
            </w:r>
          </w:p>
        </w:tc>
        <w:tc>
          <w:tcPr>
            <w:tcW w:w="876" w:type="dxa"/>
            <w:vMerge w:val="restart"/>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top"/>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c>
          <w:tcPr>
            <w:tcW w:w="2918" w:type="dxa"/>
            <w:vMerge w:val="continue"/>
            <w:noWrap w:val="0"/>
            <w:vAlign w:val="top"/>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szCs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2.用例汇总填写完整。</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3.测试进度回顾填写完整。</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027" w:type="dxa"/>
            <w:vMerge w:val="continue"/>
            <w:noWrap w:val="0"/>
            <w:vAlign w:val="top"/>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c>
          <w:tcPr>
            <w:tcW w:w="2918" w:type="dxa"/>
            <w:vMerge w:val="continue"/>
            <w:noWrap w:val="0"/>
            <w:vAlign w:val="top"/>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szCs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4.功能测试回顾描述清晰合理。</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27" w:type="dxa"/>
            <w:vMerge w:val="continue"/>
            <w:noWrap w:val="0"/>
            <w:vAlign w:val="top"/>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c>
          <w:tcPr>
            <w:tcW w:w="2918" w:type="dxa"/>
            <w:vMerge w:val="continue"/>
            <w:noWrap w:val="0"/>
            <w:vAlign w:val="top"/>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szCs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5.缺陷汇总填写完整。</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2918" w:type="dxa"/>
            <w:vMerge w:val="continue"/>
            <w:noWrap w:val="0"/>
            <w:vAlign w:val="center"/>
          </w:tcPr>
          <w:p>
            <w:pPr>
              <w:pStyle w:val="16"/>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left"/>
              <w:textAlignment w:val="auto"/>
              <w:rPr>
                <w:rFonts w:hint="eastAsia" w:ascii="仿宋_GB2312" w:hAnsi="仿宋_GB2312" w:eastAsia="仿宋_GB2312" w:cs="仿宋_GB2312"/>
                <w:sz w:val="24"/>
              </w:rPr>
            </w:pPr>
          </w:p>
        </w:tc>
        <w:tc>
          <w:tcPr>
            <w:tcW w:w="4036" w:type="dxa"/>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left="0" w:leftChars="0" w:firstLine="0"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6.测试结论描述清晰合理。</w:t>
            </w:r>
          </w:p>
        </w:tc>
        <w:tc>
          <w:tcPr>
            <w:tcW w:w="876" w:type="dxa"/>
            <w:vMerge w:val="continue"/>
            <w:noWrap w:val="0"/>
            <w:vAlign w:val="center"/>
          </w:tcPr>
          <w:p>
            <w:pPr>
              <w:pStyle w:val="17"/>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center"/>
              <w:textAlignment w:val="auto"/>
              <w:rPr>
                <w:rFonts w:hint="eastAsia" w:ascii="仿宋_GB2312" w:hAnsi="仿宋_GB2312" w:eastAsia="仿宋_GB2312" w:cs="仿宋_GB2312"/>
                <w:sz w:val="24"/>
                <w:szCs w:val="24"/>
              </w:rPr>
            </w:pPr>
          </w:p>
        </w:tc>
      </w:tr>
    </w:tbl>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hint="eastAsia" w:ascii="仿宋_GB2312" w:hAnsi="Arial Narrow" w:eastAsia="仿宋_GB2312" w:cs="宋体"/>
          <w:b/>
          <w:bCs/>
          <w:kern w:val="2"/>
        </w:rPr>
      </w:pPr>
      <w:r>
        <w:rPr>
          <w:rFonts w:hint="eastAsia" w:ascii="仿宋_GB2312" w:hAnsi="Arial Narrow" w:eastAsia="仿宋_GB2312" w:cs="宋体"/>
          <w:b/>
          <w:bCs/>
          <w:kern w:val="2"/>
        </w:rPr>
        <w:t>（二）组织分工</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本竞赛参与赛项成绩管理的组织机构包括裁判组、监督仲裁组。裁判组实行“裁判长负责制”。</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监督仲裁组对裁判组的工作进行全程监督，并对竞赛成绩抽检复核。</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3. 监督仲裁组负责接受由参赛队领队提出的对裁判结果的申诉，组织复议并及时反馈复议结果。</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4. 竞赛将制定裁判遴选管理办法、赛事保密细则和预案、命题管理办法等制度，保证竞赛的公平公正。赞助企业、参赛院校不安排人员进入裁判团队。</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hint="eastAsia" w:ascii="仿宋_GB2312" w:hAnsi="Arial Narrow" w:eastAsia="仿宋_GB2312" w:cs="宋体"/>
          <w:b/>
          <w:bCs/>
          <w:kern w:val="2"/>
        </w:rPr>
      </w:pPr>
      <w:r>
        <w:rPr>
          <w:rFonts w:hint="eastAsia" w:ascii="仿宋_GB2312" w:hAnsi="Arial Narrow" w:eastAsia="仿宋_GB2312" w:cs="宋体"/>
          <w:b/>
          <w:bCs/>
          <w:kern w:val="2"/>
        </w:rPr>
        <w:t>（三）评分方法</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本赛项根据评分标准设计评分表，采用结果评分。</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每个裁判小组汇总本组所有的评分表，计算成绩，本组裁判成员签字确认，成绩汇总表备案以供核查。</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3. 为保障成绩评判的准确性，监督仲裁组将对赛项总成绩排名前30%的所有参赛队伍（选手）的成绩进行复核；对其余成绩进行抽检复核，抽检覆盖率不得低于15%。如发现成绩错误以书面方式及时告知裁判长，由裁判长更正成绩并签字确认。复核、抽检错误率超过5%的，裁判组将对所有成绩进行复核。</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4. 裁判长正式提交赛位评分结果并复核无误后，加密裁判在监督人员监督下对加密结果进行逐层解密。严格按照相关文件的方法和模板进行。</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5. 竞赛成绩经复核无误后，经裁判长、监督人员审核签字后公布。</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hint="eastAsia" w:ascii="仿宋_GB2312" w:hAnsi="Arial Narrow" w:eastAsia="仿宋_GB2312" w:cs="宋体"/>
          <w:b/>
          <w:bCs/>
          <w:kern w:val="2"/>
        </w:rPr>
      </w:pPr>
      <w:r>
        <w:rPr>
          <w:rFonts w:hint="eastAsia" w:ascii="仿宋_GB2312" w:hAnsi="Arial Narrow" w:eastAsia="仿宋_GB2312" w:cs="宋体"/>
          <w:b/>
          <w:bCs/>
          <w:kern w:val="2"/>
          <w:lang w:eastAsia="zh-Hans"/>
        </w:rPr>
        <w:t>（四）</w:t>
      </w:r>
      <w:r>
        <w:rPr>
          <w:rFonts w:hint="eastAsia" w:ascii="仿宋_GB2312" w:hAnsi="Arial Narrow" w:eastAsia="仿宋_GB2312" w:cs="宋体"/>
          <w:b/>
          <w:bCs/>
          <w:kern w:val="2"/>
        </w:rPr>
        <w:t>奖项设定</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竞赛奖以实际参赛队数为基数，设定</w:t>
      </w:r>
      <w:r>
        <w:rPr>
          <w:rFonts w:hint="eastAsia" w:ascii="仿宋_GB2312" w:hAnsi="Arial Narrow" w:eastAsia="仿宋_GB2312" w:cs="宋体"/>
          <w:kern w:val="2"/>
          <w:sz w:val="24"/>
          <w:szCs w:val="24"/>
          <w:lang w:eastAsia="zh-Hans"/>
        </w:rPr>
        <w:t>比例</w:t>
      </w:r>
      <w:r>
        <w:rPr>
          <w:rFonts w:hint="eastAsia" w:ascii="仿宋_GB2312" w:hAnsi="Arial Narrow" w:eastAsia="仿宋_GB2312" w:cs="宋体"/>
          <w:kern w:val="2"/>
          <w:sz w:val="24"/>
          <w:szCs w:val="24"/>
        </w:rPr>
        <w:t>为：一等奖占比10%，二等奖占比20%，三等奖占比30%，小数点后四舍五入。</w:t>
      </w: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十二、赛场预案</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赛场备用工位：赛场提供占总参赛队伍10%的备用工位。</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竞赛系统可靠性：竞赛系统使用的服务器应进行冗余，数据库、存储应使用高可用架构。提前开始运行，经过多次压力测试，由学校组织的真实竞赛环境测试。</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竞赛备用服务器：现场提供占总参赛队伍10%的备用服务器。</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现场应急预案详情，如下：</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hint="eastAsia" w:ascii="仿宋_GB2312" w:hAnsi="Arial Narrow" w:eastAsia="仿宋_GB2312" w:cs="宋体"/>
          <w:b/>
          <w:bCs/>
          <w:kern w:val="2"/>
        </w:rPr>
      </w:pPr>
      <w:r>
        <w:rPr>
          <w:rFonts w:hint="eastAsia" w:ascii="仿宋_GB2312" w:hAnsi="Arial Narrow" w:eastAsia="仿宋_GB2312" w:cs="宋体"/>
          <w:b/>
          <w:bCs/>
          <w:kern w:val="2"/>
        </w:rPr>
        <w:t>（一）服务器问题预案</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若服务器在比赛过程中出现卡顿、死机等情况，参赛选手举手示意裁判，在裁判与技术支持人员确定情况后，可更换服务器。更换服务器的等待时间，可在比赛结束后延时。</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hint="eastAsia" w:ascii="仿宋_GB2312" w:hAnsi="Arial Narrow" w:eastAsia="仿宋_GB2312" w:cs="宋体"/>
          <w:b/>
          <w:bCs/>
          <w:kern w:val="2"/>
        </w:rPr>
      </w:pPr>
      <w:r>
        <w:rPr>
          <w:rFonts w:hint="eastAsia" w:ascii="仿宋_GB2312" w:hAnsi="Arial Narrow" w:eastAsia="仿宋_GB2312" w:cs="宋体"/>
          <w:b/>
          <w:bCs/>
          <w:kern w:val="2"/>
        </w:rPr>
        <w:t>（二）交换机问题预案</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若交换机在比赛过程中出现传输速度慢或无故中断等情况，参赛选手举手示意裁判，在裁判与技术支持人员确定情况后，可更换交换机。更换交换机的等待时间，可在比赛结束后延时。</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hint="eastAsia" w:ascii="仿宋_GB2312" w:hAnsi="Arial Narrow" w:eastAsia="仿宋_GB2312" w:cs="宋体"/>
          <w:b/>
          <w:bCs/>
          <w:kern w:val="2"/>
        </w:rPr>
      </w:pPr>
      <w:r>
        <w:rPr>
          <w:rFonts w:hint="eastAsia" w:ascii="仿宋_GB2312" w:hAnsi="Arial Narrow" w:eastAsia="仿宋_GB2312" w:cs="宋体"/>
          <w:b/>
          <w:bCs/>
          <w:kern w:val="2"/>
        </w:rPr>
        <w:t>（三）PC机问题预案</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若PC机在比赛过程中出现死机、蓝屏等现象（重启后无法解决），参赛选手举手示意裁判，在裁判与技术支持人员确定情况后，可更换备用工位或更换PC机进行答题。</w:t>
      </w: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十三、申诉与仲裁</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各参赛队对不符合大赛和赛项规程规定的仪器、设备、工装、材料、物件、计算机软硬件、竞赛使用工具、用品，竞赛执裁、赛场管理，以及工作人员的不规范行为等，可向赛项监督仲裁组提出申诉。申诉主体为参赛队领队。参赛队领队可在比赛结束后（选手赛场比赛内容全部完成）2小时之内向监督仲裁组提出书面申诉。</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书书面申诉应对申诉事件的现象、发生时间、涉及人员、申诉依据等进行充分、实事求是的叙述，并由领队亲笔签名。非书面申诉不予受理。</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3. 赛项仲裁工作组在接到申诉报告后的2小时内组织复议，并及时将复议结果以书面形式告知申诉方。申诉方对复议结果仍有异议，可由领队向赛区仲裁委员会提出申诉。赛区仲裁委员会的仲裁结果为最终结果。</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4. 仲裁结果由申诉人签收，不能代收，如在约定时间和地点申诉人离开，视为自行放弃申诉。</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5. 申诉方可随时提出放弃申诉。</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6. 申诉方不得以任何理由采取过激行为扰乱赛场秩序。</w:t>
      </w: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十四、竞赛观摩</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ascii="仿宋_GB2312" w:hAnsi="Arial Narrow" w:eastAsia="仿宋_GB2312" w:cs="宋体"/>
          <w:b/>
          <w:bCs/>
          <w:kern w:val="2"/>
        </w:rPr>
      </w:pPr>
      <w:r>
        <w:rPr>
          <w:rFonts w:ascii="仿宋_GB2312" w:hAnsi="Arial Narrow" w:eastAsia="仿宋_GB2312" w:cs="宋体"/>
          <w:b/>
          <w:bCs/>
          <w:kern w:val="2"/>
        </w:rPr>
        <w:t>（一）</w:t>
      </w:r>
      <w:r>
        <w:rPr>
          <w:rFonts w:hint="eastAsia" w:ascii="仿宋_GB2312" w:hAnsi="Arial Narrow" w:eastAsia="仿宋_GB2312" w:cs="宋体"/>
          <w:b/>
          <w:bCs/>
          <w:kern w:val="2"/>
          <w:lang w:eastAsia="zh-CN"/>
        </w:rPr>
        <w:t>现场</w:t>
      </w:r>
      <w:r>
        <w:rPr>
          <w:rFonts w:ascii="仿宋_GB2312" w:hAnsi="Arial Narrow" w:eastAsia="仿宋_GB2312" w:cs="宋体"/>
          <w:b/>
          <w:bCs/>
          <w:kern w:val="2"/>
        </w:rPr>
        <w:t>观摩</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lang w:eastAsia="zh-CN"/>
        </w:rPr>
        <w:t>可以</w:t>
      </w:r>
      <w:r>
        <w:rPr>
          <w:rFonts w:hint="eastAsia" w:ascii="仿宋_GB2312" w:hAnsi="Arial Narrow" w:eastAsia="仿宋_GB2312" w:cs="宋体"/>
          <w:kern w:val="2"/>
          <w:sz w:val="24"/>
          <w:szCs w:val="24"/>
        </w:rPr>
        <w:t>进入赛场进行公开观摩。</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赛场外设置开放式观摩区，向媒体、企业代表、院校师生等社会公众开放，通过室外大屏幕对赛场进行直播，同时还可以通过竞赛系统进度监控图实时观看选手答题进度。</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ascii="仿宋_GB2312" w:hAnsi="Arial Narrow" w:eastAsia="仿宋_GB2312" w:cs="宋体"/>
          <w:b/>
          <w:bCs/>
          <w:kern w:val="2"/>
        </w:rPr>
      </w:pPr>
      <w:r>
        <w:rPr>
          <w:rFonts w:ascii="仿宋_GB2312" w:hAnsi="Arial Narrow" w:eastAsia="仿宋_GB2312" w:cs="宋体"/>
          <w:b/>
          <w:bCs/>
          <w:kern w:val="2"/>
        </w:rPr>
        <w:t>（二）组织安排</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在竞赛开始1个小时之后，由承办校组织并派人带领媒体、专家、企业代表、院校师生等进入赛场外的开放式观摩区，按照指定路线进行观摩。</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ascii="仿宋_GB2312" w:hAnsi="Arial Narrow" w:eastAsia="仿宋_GB2312" w:cs="宋体"/>
          <w:b/>
          <w:bCs/>
          <w:kern w:val="2"/>
        </w:rPr>
      </w:pPr>
      <w:r>
        <w:rPr>
          <w:rFonts w:ascii="仿宋_GB2312" w:hAnsi="Arial Narrow" w:eastAsia="仿宋_GB2312" w:cs="宋体"/>
          <w:b/>
          <w:bCs/>
          <w:kern w:val="2"/>
        </w:rPr>
        <w:t>（三）纪律要求</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为保证大赛顺利进行，在观摩期间应遵循以下纪律要求：</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除与竞赛直接有关工作人员、裁判员、参赛选手外，其余人员均为观摩观众。</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不得违反全国职业院校技能大赛规定的各项纪律。</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观摩人员需批准，佩戴观摩证件，遵循观摩区的工作人员指挥。</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文明观摩，保持观摩区清洁，不得大声喧哗，杜绝各种违反观摩秩序的不文明行为。</w:t>
      </w: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十五、竞赛直播</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ascii="仿宋_GB2312" w:hAnsi="Arial Narrow" w:eastAsia="仿宋_GB2312" w:cs="宋体"/>
          <w:b/>
          <w:bCs/>
          <w:kern w:val="2"/>
        </w:rPr>
      </w:pPr>
      <w:r>
        <w:rPr>
          <w:rFonts w:ascii="仿宋_GB2312" w:hAnsi="Arial Narrow" w:eastAsia="仿宋_GB2312" w:cs="宋体"/>
          <w:b/>
          <w:bCs/>
          <w:kern w:val="2"/>
        </w:rPr>
        <w:t>（一）直播方式</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赛场内部署无盲点录像设备，能实时录制并播送赛场情况。</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赛场外有大屏幕或投影，同步显示赛场内竞赛状况。</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3. 赛场外通过大屏幕或投影，实时展示竞赛系统选手答题进度。</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ascii="仿宋_GB2312" w:hAnsi="Arial Narrow" w:eastAsia="仿宋_GB2312" w:cs="宋体"/>
          <w:b/>
          <w:bCs/>
          <w:kern w:val="2"/>
        </w:rPr>
      </w:pPr>
      <w:r>
        <w:rPr>
          <w:rFonts w:ascii="仿宋_GB2312" w:hAnsi="Arial Narrow" w:eastAsia="仿宋_GB2312" w:cs="宋体"/>
          <w:b/>
          <w:bCs/>
          <w:kern w:val="2"/>
        </w:rPr>
        <w:t>（二）直播安排</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对赛项赛场准备、开赛式和闭赛式、比赛期间进行录像。</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从选手进入赛场开始，全程进行赛场实时录像直播。</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3. 从比赛开始时到比赛结束，全程进行竞赛系统的进度监控直播。</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ascii="仿宋_GB2312" w:hAnsi="Arial Narrow" w:eastAsia="仿宋_GB2312" w:cs="宋体"/>
          <w:b/>
          <w:bCs/>
          <w:kern w:val="2"/>
        </w:rPr>
      </w:pPr>
      <w:r>
        <w:rPr>
          <w:rFonts w:ascii="仿宋_GB2312" w:hAnsi="Arial Narrow" w:eastAsia="仿宋_GB2312" w:cs="宋体"/>
          <w:b/>
          <w:bCs/>
          <w:kern w:val="2"/>
        </w:rPr>
        <w:t>（三）直播内容</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赛项执行委员会安排专人对赛项开闭赛式、比赛过程进行全程直播和录像。</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制作参赛选手、指导教师采访实录，裁判专家点评和企业人士采访视频资料，突出赛项的技能重点与优势特色。为宣传、仲裁、资源转化提供全面的信息资料。</w:t>
      </w:r>
    </w:p>
    <w:p>
      <w:pPr>
        <w:keepLines w:val="0"/>
        <w:pageBreakBefore w:val="0"/>
        <w:widowControl w:val="0"/>
        <w:kinsoku/>
        <w:overflowPunct/>
        <w:topLinePunct w:val="0"/>
        <w:autoSpaceDE w:val="0"/>
        <w:autoSpaceDN w:val="0"/>
        <w:bidi w:val="0"/>
        <w:adjustRightInd/>
        <w:snapToGrid w:val="0"/>
        <w:spacing w:line="360" w:lineRule="auto"/>
        <w:ind w:firstLine="480" w:firstLineChars="200"/>
        <w:textAlignment w:val="auto"/>
        <w:rPr>
          <w:rFonts w:hint="eastAsia" w:ascii="黑体" w:hAnsi="黑体" w:eastAsia="黑体"/>
          <w:sz w:val="24"/>
          <w:szCs w:val="24"/>
        </w:rPr>
      </w:pPr>
      <w:r>
        <w:rPr>
          <w:rFonts w:hint="eastAsia" w:ascii="黑体" w:hAnsi="黑体" w:eastAsia="黑体"/>
          <w:sz w:val="24"/>
          <w:szCs w:val="24"/>
        </w:rPr>
        <w:t>十六、竞赛须知</w:t>
      </w:r>
    </w:p>
    <w:p>
      <w:pPr>
        <w:keepNext/>
        <w:keepLines w:val="0"/>
        <w:pageBreakBefore w:val="0"/>
        <w:widowControl w:val="0"/>
        <w:kinsoku/>
        <w:wordWrap w:val="0"/>
        <w:overflowPunct/>
        <w:topLinePunct w:val="0"/>
        <w:autoSpaceDE w:val="0"/>
        <w:autoSpaceDN w:val="0"/>
        <w:bidi w:val="0"/>
        <w:adjustRightInd/>
        <w:snapToGrid w:val="0"/>
        <w:spacing w:line="360" w:lineRule="auto"/>
        <w:jc w:val="both"/>
        <w:textAlignment w:val="auto"/>
        <w:rPr>
          <w:rFonts w:hint="eastAsia" w:ascii="仿宋_GB2312" w:hAnsi="Arial Narrow" w:eastAsia="仿宋_GB2312" w:cs="宋体"/>
          <w:b/>
          <w:bCs/>
          <w:kern w:val="2"/>
        </w:rPr>
      </w:pPr>
      <w:r>
        <w:rPr>
          <w:rFonts w:hint="eastAsia" w:ascii="仿宋_GB2312" w:hAnsi="Arial Narrow" w:eastAsia="仿宋_GB2312" w:cs="宋体"/>
          <w:b/>
          <w:bCs/>
          <w:kern w:val="2"/>
        </w:rPr>
        <w:t>（一）参赛队须知</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参赛队应该参加赛项承办单位组织的闭赛式等各项赛事活动。</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在赛事期间，领队及参赛队其他成员不得私自接触裁判，凡发现有弄虚作假者，取消其参赛资格，成绩无效。</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3. 所有参赛人员须按照赛项规程要求按照完成赛项评价工作。</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4. 对于有碍比赛公正和比赛正常进行的参赛队，视其情节轻重，按照《全国职业院校技能大赛奖惩办法》给予警告、取消比赛成绩、通报批评等处理。其中，对于比赛过程及有关活动造成重大影响的，以适当方式通告参赛院校或其所属地区的教育行政主管部门依据有关规定给予行政或纪律处分，同时停止该院校参加全国职业院校技能大赛1年（届）。涉及刑事犯罪的移交司法机关处理。</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hint="eastAsia" w:ascii="仿宋_GB2312" w:hAnsi="Arial Narrow" w:eastAsia="仿宋_GB2312" w:cs="宋体"/>
          <w:b/>
          <w:bCs/>
          <w:kern w:val="2"/>
        </w:rPr>
      </w:pPr>
      <w:r>
        <w:rPr>
          <w:rFonts w:hint="eastAsia" w:ascii="仿宋_GB2312" w:hAnsi="Arial Narrow" w:eastAsia="仿宋_GB2312" w:cs="宋体"/>
          <w:b/>
          <w:bCs/>
          <w:kern w:val="2"/>
        </w:rPr>
        <w:t>（二）指导教师须知</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各参赛代表队要发扬良好道德风尚，听从指挥，服从裁判，不弄虚作假。如发现弄虚作假者，取消参赛资格，名次无效。</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各代表队领队要坚决执行竞赛的各项规定，加强对参赛人员的管理，做好赛前准备工作，督促选手带好证件等竞赛相关材料。</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3. 竞赛过程中，除参加竞赛的选手、执行裁判员、现场工作人员和经批准的人员外，领队、指导教师及其他人员一律不得进入竞赛现场。</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4. 参赛代表队若对竞赛过程有异议，在规定的时间内由领队向赛项仲裁工作组提出书面报告。</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5. 对申诉的仲裁结果，领队要带头服从和执行，并做好选手工作。参赛选手不得因申诉或对处理意见不服而停止竞赛，否则以弃权处理。</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6. 指导老师应及时查看大赛专用网页有关赛项的通知和内容，认真研究和掌握本赛项竞赛的规程、技术规范和赛场要求，指导选手做好赛前的一切技术准备和竞赛准备。</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hint="eastAsia" w:ascii="仿宋_GB2312" w:hAnsi="Arial Narrow" w:eastAsia="仿宋_GB2312" w:cs="宋体"/>
          <w:b/>
          <w:bCs/>
          <w:kern w:val="2"/>
        </w:rPr>
      </w:pPr>
      <w:r>
        <w:rPr>
          <w:rFonts w:hint="eastAsia" w:ascii="仿宋_GB2312" w:hAnsi="Arial Narrow" w:eastAsia="仿宋_GB2312" w:cs="宋体"/>
          <w:b/>
          <w:bCs/>
          <w:kern w:val="2"/>
        </w:rPr>
        <w:t>（三）参赛选手须知</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参赛选手在报名获得确认后，原则上不再更换。如在筹备过程中，选手因故不能参赛，需出具书面说明并按相关参赛选手资格要求补充人员并接受审核；竞赛开始后，参赛队不得更换参赛选手，允许队员缺席。不允许更换新的指导教师，允许指导教师缺席。</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参赛选手严格遵守赛场规章、操作规程和工艺准则，保证人身及设备安全，接受裁判员的监督和警示，文明竞赛。</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3. 参赛选手凭证进入赛场，在赛场内操作期间应当始终佩戴参赛凭证以备检查。</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4. 参赛选手进入赛场，不允许携带任何书籍和其他纸质资料（相关技术资料的电子文档工作人员提供），不允许携带通讯工具和存储设备（如U盘）。竞赛统一提供计算机以及应用软件。</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5. 各参赛队应在竞赛开始前一天规定的时间段进入赛场熟悉环境。入场后，赛场工作人员与参赛选手共同确认操作条件及设备状况，参赛队员必须确认材料、工具等。</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6. 竞赛时，在收到开赛信号前不得启动操作设备。在指定赛位上完成竞赛项目，严禁作弊行为。</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7. 竞赛过程中，因严重操作失误或安全事故不能进行比赛的，现场裁判员有权中止该队比赛。</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8. 选手在比赛期间不能离场，食品、饮水等由赛场统一提供。选手休息、饮食或入厕时间均计算在比赛时间内。</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9. 凡在竞赛期间提前离开的选手，当天不得返回赛场。</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10. 为培养技术技能人才的工作风格，在参赛期间，选手应当注意保持工作环境及设备摆放符合企业生产“5S”（即整理、整顿、清扫、清洁和素养）的原则，如果过于脏乱，裁判员有权酌情扣分。</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11. 在竞赛中如遇非人为因素造成的设备故障，经裁判员确认后，可向裁判长申请补足排除故障的时间。</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12. 参赛选手欲提前结束比赛，应向裁判员举手示意，由裁判员记录竞赛终止时间。竞赛终止后，不得再进行任何与竞赛有关的操作。</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13. 各竞赛队按照大赛要求和赛题要求提交竞赛结果，禁止在竞赛结果上做任何与竞赛无关的记号。</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14. 竞赛操作结束后，参赛队要确认成功提交竞赛要求的文件，裁判员在比赛结果的规定位置做标记，并与参赛队一起签字确认。</w:t>
      </w:r>
    </w:p>
    <w:p>
      <w:pPr>
        <w:keepNext/>
        <w:keepLines w:val="0"/>
        <w:pageBreakBefore w:val="0"/>
        <w:widowControl w:val="0"/>
        <w:kinsoku/>
        <w:wordWrap w:val="0"/>
        <w:overflowPunct/>
        <w:topLinePunct w:val="0"/>
        <w:autoSpaceDE w:val="0"/>
        <w:autoSpaceDN w:val="0"/>
        <w:bidi w:val="0"/>
        <w:adjustRightInd/>
        <w:snapToGrid w:val="0"/>
        <w:spacing w:line="360" w:lineRule="auto"/>
        <w:ind w:firstLine="442" w:firstLineChars="200"/>
        <w:jc w:val="both"/>
        <w:textAlignment w:val="auto"/>
        <w:rPr>
          <w:rFonts w:hint="eastAsia" w:ascii="仿宋_GB2312" w:hAnsi="Arial Narrow" w:eastAsia="仿宋_GB2312" w:cs="宋体"/>
          <w:b/>
          <w:bCs/>
          <w:kern w:val="2"/>
        </w:rPr>
      </w:pPr>
      <w:r>
        <w:rPr>
          <w:rFonts w:hint="eastAsia" w:ascii="仿宋_GB2312" w:hAnsi="Arial Narrow" w:eastAsia="仿宋_GB2312" w:cs="宋体"/>
          <w:b/>
          <w:bCs/>
          <w:kern w:val="2"/>
        </w:rPr>
        <w:t>（四）工作人员须知</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1. 赛项全体工作人员必须服从统一指挥，要以高度负责的态度做好比赛服务工作。</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2. 全体工作人员要按照工作分区准时到岗，尽职尽责，做好职责工作并做好临时性工作，保证比赛顺利进行。</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3. 全体工作人员必须佩戴标志，认真检查证件，经核对无误后方可允许相关人员进入指定地点。</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4. 如遇突发事件要及时报告，同时做好疏导工作，避免重大事故发生，确保大赛圆满成功。</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5. 各工作组负责人，要坚守岗位，组织落实本组成员高效率完成各自工作任务，做好监督协调工作。</w:t>
      </w:r>
    </w:p>
    <w:p>
      <w:pPr>
        <w:keepNext/>
        <w:keepLines w:val="0"/>
        <w:pageBreakBefore w:val="0"/>
        <w:widowControl w:val="0"/>
        <w:kinsoku/>
        <w:wordWrap w:val="0"/>
        <w:overflowPunct/>
        <w:topLinePunct w:val="0"/>
        <w:autoSpaceDE w:val="0"/>
        <w:autoSpaceDN w:val="0"/>
        <w:bidi w:val="0"/>
        <w:adjustRightInd/>
        <w:snapToGrid w:val="0"/>
        <w:spacing w:line="360" w:lineRule="auto"/>
        <w:ind w:firstLine="480" w:firstLineChars="200"/>
        <w:jc w:val="both"/>
        <w:textAlignment w:val="auto"/>
        <w:rPr>
          <w:rFonts w:hint="eastAsia" w:ascii="仿宋_GB2312" w:hAnsi="Arial Narrow" w:eastAsia="仿宋_GB2312" w:cs="宋体"/>
          <w:kern w:val="2"/>
          <w:sz w:val="24"/>
          <w:szCs w:val="24"/>
        </w:rPr>
      </w:pPr>
      <w:r>
        <w:rPr>
          <w:rFonts w:hint="eastAsia" w:ascii="仿宋_GB2312" w:hAnsi="Arial Narrow" w:eastAsia="仿宋_GB2312" w:cs="宋体"/>
          <w:kern w:val="2"/>
          <w:sz w:val="24"/>
          <w:szCs w:val="24"/>
        </w:rPr>
        <w:t>6. 全体工作人员不得在比赛场内接打电话，以保证赛场设施的正常工作。</w:t>
      </w:r>
    </w:p>
    <w:p>
      <w:pPr>
        <w:keepLines w:val="0"/>
        <w:pageBreakBefore w:val="0"/>
        <w:widowControl w:val="0"/>
        <w:kinsoku/>
        <w:overflowPunct/>
        <w:topLinePunct w:val="0"/>
        <w:autoSpaceDE w:val="0"/>
        <w:autoSpaceDN w:val="0"/>
        <w:bidi w:val="0"/>
        <w:adjustRightInd/>
        <w:spacing w:line="360" w:lineRule="auto"/>
        <w:textAlignment w:val="auto"/>
      </w:pPr>
    </w:p>
    <w:sectPr>
      <w:footerReference r:id="rId5" w:type="default"/>
      <w:footerReference r:id="rId6" w:type="even"/>
      <w:pgSz w:w="11910" w:h="16840"/>
      <w:pgMar w:top="2041" w:right="1417" w:bottom="1984" w:left="1417" w:header="0" w:footer="164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p>
    <w:pPr>
      <w:pStyle w:val="4"/>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0720" cy="222885"/>
              <wp:effectExtent l="0" t="0" r="0" b="0"/>
              <wp:wrapNone/>
              <wp:docPr id="8" name="文本框 2"/>
              <wp:cNvGraphicFramePr/>
              <a:graphic xmlns:a="http://schemas.openxmlformats.org/drawingml/2006/main">
                <a:graphicData uri="http://schemas.microsoft.com/office/word/2010/wordprocessingShape">
                  <wps:wsp>
                    <wps:cNvSpPr txBox="1"/>
                    <wps:spPr>
                      <a:xfrm>
                        <a:off x="0" y="0"/>
                        <a:ext cx="68072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11</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2" o:spid="_x0000_s1026" o:spt="202" type="#_x0000_t202" style="position:absolute;left:0pt;margin-top:0pt;height:17.55pt;width:53.6pt;mso-position-horizontal:center;mso-position-horizontal-relative:margin;z-index:251659264;mso-width-relative:page;mso-height-relative:page;" filled="f" stroked="f" coordsize="21600,21600" o:gfxdata="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AfEQjUAAAABAEAAA8AAAAAAAAAAQAgAAAAIgAAAGRycy9kb3ducmV2LnhtbFBLAQIUABQAAAAI&#10;AIdO4kCBM5VxuAEAAHEDAAAOAAAAAAAAAAEAIAAAACMBAABkcnMvZTJvRG9jLnhtbFBLBQYAAAAA&#10;BgAGAFkBAABNBQ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11</w:t>
                    </w:r>
                    <w:r>
                      <w:fldChar w:fldCharType="end"/>
                    </w:r>
                    <w:r>
                      <w:rPr>
                        <w:rFonts w:ascii="Times New Roman" w:hAnsi="Times New Roman"/>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87070" cy="222885"/>
              <wp:effectExtent l="0" t="0" r="0" b="0"/>
              <wp:wrapNone/>
              <wp:docPr id="7" name="文本框 1"/>
              <wp:cNvGraphicFramePr/>
              <a:graphic xmlns:a="http://schemas.openxmlformats.org/drawingml/2006/main">
                <a:graphicData uri="http://schemas.microsoft.com/office/word/2010/wordprocessingShape">
                  <wps:wsp>
                    <wps:cNvSpPr txBox="1"/>
                    <wps:spPr>
                      <a:xfrm>
                        <a:off x="0" y="0"/>
                        <a:ext cx="687070" cy="222885"/>
                      </a:xfrm>
                      <a:prstGeom prst="rect">
                        <a:avLst/>
                      </a:prstGeom>
                      <a:noFill/>
                      <a:ln>
                        <a:noFill/>
                      </a:ln>
                    </wps:spPr>
                    <wps:txbx>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10</w:t>
                          </w:r>
                          <w:r>
                            <w:fldChar w:fldCharType="end"/>
                          </w:r>
                          <w:r>
                            <w:rPr>
                              <w:rFonts w:ascii="Times New Roman" w:hAnsi="Times New Roman"/>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top:0pt;height:17.55pt;width:54.1pt;mso-position-horizontal:center;mso-position-horizontal-relative:margin;z-index:251659264;mso-width-relative:page;mso-height-relative:page;" filled="f" stroked="f" coordsize="21600,21600" o:gfxdata="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BLcB1AAAAAQBAAAPAAAAAAAAAAEAIAAAACIAAABkcnMvZG93bnJldi54bWxQSwECFAAUAAAA&#10;CACHTuJAGgYPpbkBAABxAwAADgAAAAAAAAABACAAAAAjAQAAZHJzL2Uyb0RvYy54bWxQSwUGAAAA&#10;AAYABgBZAQAATgUAAAAA&#10;">
              <v:fill on="f" focussize="0,0"/>
              <v:stroke on="f"/>
              <v:imagedata o:title=""/>
              <o:lock v:ext="edit" aspectratio="f"/>
              <v:textbox inset="0mm,0mm,0mm,0mm">
                <w:txbxContent>
                  <w:p>
                    <w:pPr>
                      <w:spacing w:before="9"/>
                      <w:ind w:left="20" w:right="0" w:firstLine="0"/>
                      <w:jc w:val="left"/>
                      <w:rPr>
                        <w:rFonts w:ascii="Times New Roman" w:hAnsi="Times New Roman"/>
                        <w:sz w:val="28"/>
                      </w:rPr>
                    </w:pPr>
                    <w:r>
                      <w:rPr>
                        <w:rFonts w:ascii="Times New Roman" w:hAnsi="Times New Roman"/>
                        <w:sz w:val="28"/>
                      </w:rPr>
                      <w:t xml:space="preserve">— </w:t>
                    </w:r>
                    <w:r>
                      <w:fldChar w:fldCharType="begin"/>
                    </w:r>
                    <w:r>
                      <w:rPr>
                        <w:rFonts w:ascii="Times New Roman" w:hAnsi="Times New Roman"/>
                        <w:sz w:val="28"/>
                      </w:rPr>
                      <w:instrText xml:space="preserve"> PAGE </w:instrText>
                    </w:r>
                    <w:r>
                      <w:fldChar w:fldCharType="separate"/>
                    </w:r>
                    <w:r>
                      <w:t>10</w:t>
                    </w:r>
                    <w:r>
                      <w:fldChar w:fldCharType="end"/>
                    </w:r>
                    <w:r>
                      <w:rPr>
                        <w:rFonts w:ascii="Times New Roman" w:hAnsi="Times New Roman"/>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1F5F6"/>
    <w:multiLevelType w:val="singleLevel"/>
    <w:tmpl w:val="3B81F5F6"/>
    <w:lvl w:ilvl="0" w:tentative="0">
      <w:start w:val="3"/>
      <w:numFmt w:val="chineseCounting"/>
      <w:suff w:val="nothing"/>
      <w:lvlText w:val="%1、"/>
      <w:lvlJc w:val="left"/>
      <w:rPr>
        <w:rFonts w:hint="eastAsia"/>
      </w:rPr>
    </w:lvl>
  </w:abstractNum>
  <w:abstractNum w:abstractNumId="1">
    <w:nsid w:val="615F94C9"/>
    <w:multiLevelType w:val="singleLevel"/>
    <w:tmpl w:val="615F94C9"/>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MTA2MjU3ODgzMDhkMzE0ZTU0MjU4NGU4NDljNDMifQ=="/>
  </w:docVars>
  <w:rsids>
    <w:rsidRoot w:val="00000000"/>
    <w:rsid w:val="01BE5802"/>
    <w:rsid w:val="02104A09"/>
    <w:rsid w:val="03480F80"/>
    <w:rsid w:val="03805376"/>
    <w:rsid w:val="056D1269"/>
    <w:rsid w:val="05BF1103"/>
    <w:rsid w:val="06E810D0"/>
    <w:rsid w:val="07096CFF"/>
    <w:rsid w:val="07191E3A"/>
    <w:rsid w:val="07262172"/>
    <w:rsid w:val="07FC6063"/>
    <w:rsid w:val="089F2AC1"/>
    <w:rsid w:val="08C2098A"/>
    <w:rsid w:val="0A300C8C"/>
    <w:rsid w:val="0AEB116D"/>
    <w:rsid w:val="0B1F512D"/>
    <w:rsid w:val="0B477059"/>
    <w:rsid w:val="0B7504AB"/>
    <w:rsid w:val="0B7B0DA3"/>
    <w:rsid w:val="0BBF67D3"/>
    <w:rsid w:val="0E88615C"/>
    <w:rsid w:val="0EB52325"/>
    <w:rsid w:val="0FBC4DA8"/>
    <w:rsid w:val="10A933EE"/>
    <w:rsid w:val="10D4278C"/>
    <w:rsid w:val="11A5233E"/>
    <w:rsid w:val="13C42949"/>
    <w:rsid w:val="13C6280D"/>
    <w:rsid w:val="13C62EBC"/>
    <w:rsid w:val="13C92283"/>
    <w:rsid w:val="13F6294C"/>
    <w:rsid w:val="150D6DB1"/>
    <w:rsid w:val="157743FE"/>
    <w:rsid w:val="165100B7"/>
    <w:rsid w:val="166C1F34"/>
    <w:rsid w:val="172D7AC6"/>
    <w:rsid w:val="17E36ABF"/>
    <w:rsid w:val="18607884"/>
    <w:rsid w:val="1A701951"/>
    <w:rsid w:val="1B15618C"/>
    <w:rsid w:val="1C4F1FAB"/>
    <w:rsid w:val="1D873EBA"/>
    <w:rsid w:val="1EB42ACD"/>
    <w:rsid w:val="1F0D5C9D"/>
    <w:rsid w:val="1FCD4C11"/>
    <w:rsid w:val="20397B23"/>
    <w:rsid w:val="2110303B"/>
    <w:rsid w:val="220D7706"/>
    <w:rsid w:val="248901BB"/>
    <w:rsid w:val="24C61A5E"/>
    <w:rsid w:val="254475E1"/>
    <w:rsid w:val="257D23D2"/>
    <w:rsid w:val="25C008D3"/>
    <w:rsid w:val="27466A26"/>
    <w:rsid w:val="276E24CE"/>
    <w:rsid w:val="27A533A0"/>
    <w:rsid w:val="27DA5302"/>
    <w:rsid w:val="27F339B2"/>
    <w:rsid w:val="285B2715"/>
    <w:rsid w:val="29245595"/>
    <w:rsid w:val="2AF95B62"/>
    <w:rsid w:val="2B241F9C"/>
    <w:rsid w:val="2B9B7248"/>
    <w:rsid w:val="2F3151C8"/>
    <w:rsid w:val="2FB62473"/>
    <w:rsid w:val="305E067B"/>
    <w:rsid w:val="3065559B"/>
    <w:rsid w:val="308A558D"/>
    <w:rsid w:val="30B70818"/>
    <w:rsid w:val="30C546E2"/>
    <w:rsid w:val="30ED106A"/>
    <w:rsid w:val="321C6ABF"/>
    <w:rsid w:val="32A87583"/>
    <w:rsid w:val="32FA4A29"/>
    <w:rsid w:val="33B86B72"/>
    <w:rsid w:val="34752A4C"/>
    <w:rsid w:val="34896238"/>
    <w:rsid w:val="3496371E"/>
    <w:rsid w:val="34E16A87"/>
    <w:rsid w:val="35077DC2"/>
    <w:rsid w:val="35ED11B7"/>
    <w:rsid w:val="366D74A8"/>
    <w:rsid w:val="371D130B"/>
    <w:rsid w:val="385C7FA0"/>
    <w:rsid w:val="38F55C4F"/>
    <w:rsid w:val="3AC87566"/>
    <w:rsid w:val="3B847AD1"/>
    <w:rsid w:val="3BA55811"/>
    <w:rsid w:val="3D607288"/>
    <w:rsid w:val="3EEA7053"/>
    <w:rsid w:val="3F7E1BF6"/>
    <w:rsid w:val="3F9500F6"/>
    <w:rsid w:val="40315FF5"/>
    <w:rsid w:val="40B95689"/>
    <w:rsid w:val="41575A03"/>
    <w:rsid w:val="41717663"/>
    <w:rsid w:val="42940B4E"/>
    <w:rsid w:val="42E679C6"/>
    <w:rsid w:val="43262710"/>
    <w:rsid w:val="44A363BC"/>
    <w:rsid w:val="460765A8"/>
    <w:rsid w:val="471B72B3"/>
    <w:rsid w:val="48BC14AF"/>
    <w:rsid w:val="49EB1DEC"/>
    <w:rsid w:val="4B411787"/>
    <w:rsid w:val="4BCC064B"/>
    <w:rsid w:val="4BEE146B"/>
    <w:rsid w:val="4E8E7BFB"/>
    <w:rsid w:val="4F05194E"/>
    <w:rsid w:val="4F6832F1"/>
    <w:rsid w:val="51A5758A"/>
    <w:rsid w:val="52461E89"/>
    <w:rsid w:val="52F2010D"/>
    <w:rsid w:val="53360157"/>
    <w:rsid w:val="546B2FCC"/>
    <w:rsid w:val="55CD0352"/>
    <w:rsid w:val="56394A92"/>
    <w:rsid w:val="57864F01"/>
    <w:rsid w:val="57D74580"/>
    <w:rsid w:val="5A155491"/>
    <w:rsid w:val="5A822C0D"/>
    <w:rsid w:val="5AED6601"/>
    <w:rsid w:val="5AF078FA"/>
    <w:rsid w:val="5BCB1133"/>
    <w:rsid w:val="5C115B42"/>
    <w:rsid w:val="5C1A22A0"/>
    <w:rsid w:val="5ED34A1E"/>
    <w:rsid w:val="5FDA188D"/>
    <w:rsid w:val="606C5856"/>
    <w:rsid w:val="60847B4A"/>
    <w:rsid w:val="611B37BA"/>
    <w:rsid w:val="63354B50"/>
    <w:rsid w:val="63BD3E01"/>
    <w:rsid w:val="65883EB4"/>
    <w:rsid w:val="66173EB4"/>
    <w:rsid w:val="66FC2DE0"/>
    <w:rsid w:val="67302760"/>
    <w:rsid w:val="68B00F56"/>
    <w:rsid w:val="68C34272"/>
    <w:rsid w:val="6954377F"/>
    <w:rsid w:val="69E173B2"/>
    <w:rsid w:val="6A024D1C"/>
    <w:rsid w:val="6B683D60"/>
    <w:rsid w:val="6B720AE3"/>
    <w:rsid w:val="6D364F2B"/>
    <w:rsid w:val="6F166CC5"/>
    <w:rsid w:val="6FCA5843"/>
    <w:rsid w:val="71EC356F"/>
    <w:rsid w:val="722E5DD5"/>
    <w:rsid w:val="72485584"/>
    <w:rsid w:val="75706061"/>
    <w:rsid w:val="758E56B6"/>
    <w:rsid w:val="76C67408"/>
    <w:rsid w:val="77D163F9"/>
    <w:rsid w:val="77F36343"/>
    <w:rsid w:val="7853083A"/>
    <w:rsid w:val="78F036AD"/>
    <w:rsid w:val="7B9D5628"/>
    <w:rsid w:val="7BD04614"/>
    <w:rsid w:val="7EDD3535"/>
    <w:rsid w:val="7F317729"/>
    <w:rsid w:val="7F5570B2"/>
    <w:rsid w:val="7F9A1827"/>
    <w:rsid w:val="7FB62F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3">
    <w:name w:val="heading 1"/>
    <w:basedOn w:val="1"/>
    <w:next w:val="1"/>
    <w:qFormat/>
    <w:uiPriority w:val="0"/>
    <w:pPr>
      <w:spacing w:before="0" w:beforeAutospacing="0" w:after="0" w:afterAutospacing="0" w:line="13" w:lineRule="atLeast"/>
      <w:ind w:left="0" w:right="0"/>
      <w:jc w:val="left"/>
      <w:outlineLvl w:val="0"/>
    </w:pPr>
    <w:rPr>
      <w:rFonts w:hint="eastAsia" w:ascii="宋体" w:hAnsi="宋体" w:eastAsia="宋体" w:cs="宋体"/>
      <w:b/>
      <w:kern w:val="44"/>
      <w:sz w:val="43"/>
      <w:szCs w:val="43"/>
      <w:lang w:val="en-US" w:eastAsia="zh-CN" w:bidi="ar"/>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32"/>
      <w:szCs w:val="32"/>
      <w:lang w:val="en-US" w:eastAsia="zh-CN" w:bidi="ar-SA"/>
    </w:rPr>
  </w:style>
  <w:style w:type="paragraph" w:styleId="5">
    <w:name w:val="Title"/>
    <w:basedOn w:val="1"/>
    <w:qFormat/>
    <w:uiPriority w:val="1"/>
    <w:pPr>
      <w:spacing w:before="12"/>
      <w:ind w:left="111" w:right="207" w:firstLine="50"/>
      <w:jc w:val="both"/>
    </w:pPr>
    <w:rPr>
      <w:rFonts w:ascii="Arial Unicode MS" w:hAnsi="Arial Unicode MS" w:eastAsia="Arial Unicode MS" w:cs="Arial Unicode MS"/>
      <w:sz w:val="72"/>
      <w:szCs w:val="72"/>
      <w:lang w:val="en-US" w:eastAsia="zh-CN" w:bidi="ar-SA"/>
    </w:rPr>
  </w:style>
  <w:style w:type="character" w:styleId="8">
    <w:name w:val="Hyperlink"/>
    <w:basedOn w:val="7"/>
    <w:qFormat/>
    <w:uiPriority w:val="0"/>
    <w:rPr>
      <w:color w:val="0000FF"/>
      <w:u w:val="single"/>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zh-CN" w:bidi="ar-SA"/>
    </w:rPr>
  </w:style>
  <w:style w:type="paragraph" w:customStyle="1" w:styleId="11">
    <w:name w:val="Table Paragraph"/>
    <w:basedOn w:val="1"/>
    <w:qFormat/>
    <w:uiPriority w:val="1"/>
    <w:pPr>
      <w:spacing w:before="116"/>
      <w:ind w:left="126" w:right="118"/>
      <w:jc w:val="center"/>
    </w:pPr>
    <w:rPr>
      <w:rFonts w:ascii="宋体" w:hAnsi="宋体" w:eastAsia="宋体" w:cs="宋体"/>
      <w:lang w:val="en-US" w:eastAsia="zh-CN" w:bidi="ar-SA"/>
    </w:rPr>
  </w:style>
  <w:style w:type="character" w:customStyle="1" w:styleId="12">
    <w:name w:val="NormalCharacter"/>
    <w:link w:val="1"/>
    <w:semiHidden/>
    <w:qFormat/>
    <w:uiPriority w:val="0"/>
    <w:rPr>
      <w:rFonts w:ascii="宋体" w:hAnsi="宋体" w:eastAsia="宋体" w:cs="宋体"/>
      <w:sz w:val="22"/>
      <w:szCs w:val="22"/>
      <w:lang w:val="en-US" w:eastAsia="zh-CN" w:bidi="ar-SA"/>
    </w:rPr>
  </w:style>
  <w:style w:type="paragraph" w:customStyle="1" w:styleId="13">
    <w:name w:val="彩色列表1"/>
    <w:basedOn w:val="1"/>
    <w:qFormat/>
    <w:uiPriority w:val="34"/>
    <w:pPr>
      <w:widowControl w:val="0"/>
      <w:ind w:firstLine="420" w:firstLineChars="200"/>
      <w:jc w:val="both"/>
    </w:pPr>
    <w:rPr>
      <w:kern w:val="2"/>
      <w:sz w:val="21"/>
    </w:rPr>
  </w:style>
  <w:style w:type="paragraph" w:customStyle="1" w:styleId="14">
    <w:name w:val="_Style 6"/>
    <w:basedOn w:val="1"/>
    <w:qFormat/>
    <w:uiPriority w:val="34"/>
    <w:pPr>
      <w:widowControl w:val="0"/>
      <w:ind w:firstLine="420" w:firstLineChars="200"/>
      <w:jc w:val="both"/>
    </w:pPr>
    <w:rPr>
      <w:kern w:val="2"/>
      <w:sz w:val="21"/>
    </w:rPr>
  </w:style>
  <w:style w:type="paragraph" w:customStyle="1" w:styleId="15">
    <w:name w:val="列出段落1"/>
    <w:basedOn w:val="1"/>
    <w:qFormat/>
    <w:uiPriority w:val="99"/>
    <w:pPr>
      <w:widowControl w:val="0"/>
      <w:ind w:firstLine="420" w:firstLineChars="200"/>
      <w:jc w:val="both"/>
    </w:pPr>
    <w:rPr>
      <w:rFonts w:ascii="Calibri" w:hAnsi="Calibri" w:cs="Calibri"/>
      <w:kern w:val="2"/>
      <w:sz w:val="21"/>
      <w:szCs w:val="21"/>
    </w:rPr>
  </w:style>
  <w:style w:type="paragraph" w:customStyle="1" w:styleId="16">
    <w:name w:val="_Style 3"/>
    <w:basedOn w:val="1"/>
    <w:qFormat/>
    <w:uiPriority w:val="34"/>
    <w:pPr>
      <w:widowControl w:val="0"/>
      <w:ind w:firstLine="420"/>
      <w:jc w:val="both"/>
    </w:pPr>
    <w:rPr>
      <w:rFonts w:ascii="Calibri" w:hAnsi="Calibri"/>
      <w:kern w:val="2"/>
      <w:sz w:val="21"/>
    </w:rPr>
  </w:style>
  <w:style w:type="paragraph" w:customStyle="1" w:styleId="17">
    <w:name w:val="_Style 2"/>
    <w:basedOn w:val="1"/>
    <w:qFormat/>
    <w:uiPriority w:val="34"/>
    <w:pPr>
      <w:widowControl w:val="0"/>
      <w:ind w:firstLine="420" w:firstLineChars="200"/>
      <w:jc w:val="both"/>
    </w:pPr>
    <w:rPr>
      <w:rFonts w:ascii="Calibri" w:hAnsi="Calibr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3644</Words>
  <Characters>3744</Characters>
  <TotalTime>7</TotalTime>
  <ScaleCrop>false</ScaleCrop>
  <LinksUpToDate>false</LinksUpToDate>
  <CharactersWithSpaces>3778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2022-02-19T00:44:00Z</dcterms:created>
  <dc:creator>微软用户</dc:creator>
  <cp:lastModifiedBy>Administrator</cp:lastModifiedBy>
  <dcterms:modified xsi:type="dcterms:W3CDTF">2022-05-19T12:14:31Z</dcterms:modified>
  <dc:title>山东省教育厅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Word 2016</vt:lpwstr>
  </property>
  <property fmtid="{D5CDD505-2E9C-101B-9397-08002B2CF9AE}" pid="4" name="LastSaved">
    <vt:filetime>2022-02-19T00:00:00Z</vt:filetime>
  </property>
  <property fmtid="{D5CDD505-2E9C-101B-9397-08002B2CF9AE}" pid="5" name="KSOProductBuildVer">
    <vt:lpwstr>2052-11.8.2.10393</vt:lpwstr>
  </property>
  <property fmtid="{D5CDD505-2E9C-101B-9397-08002B2CF9AE}" pid="6" name="ICV">
    <vt:lpwstr>5BB30A62E3034EA09481CA413AF8C7BB</vt:lpwstr>
  </property>
  <property fmtid="{D5CDD505-2E9C-101B-9397-08002B2CF9AE}" pid="7" name="commondata">
    <vt:lpwstr>eyJoZGlkIjoiOTc1MTA2MjU3ODgzMDhkMzE0ZTU0MjU4NGU4NDljNDMifQ==</vt:lpwstr>
  </property>
</Properties>
</file>