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0F708">
      <w:pPr>
        <w:spacing w:line="560" w:lineRule="exact"/>
        <w:jc w:val="center"/>
        <w:rPr>
          <w:rFonts w:hint="eastAsia" w:ascii="方正小标宋简体" w:hAnsi="方正小标宋简体" w:eastAsia="方正小标宋简体" w:cs="方正小标宋简体"/>
          <w:sz w:val="44"/>
          <w:szCs w:val="44"/>
          <w:lang w:val="en-US" w:eastAsia="zh-CN"/>
        </w:rPr>
      </w:pPr>
    </w:p>
    <w:p w14:paraId="4C851511">
      <w:pPr>
        <w:spacing w:line="560" w:lineRule="exact"/>
        <w:jc w:val="center"/>
        <w:rPr>
          <w:rFonts w:hint="eastAsia" w:ascii="方正小标宋简体" w:hAnsi="方正小标宋简体" w:eastAsia="方正小标宋简体" w:cs="方正小标宋简体"/>
          <w:sz w:val="44"/>
          <w:szCs w:val="44"/>
          <w:lang w:val="en-US" w:eastAsia="zh-CN"/>
        </w:rPr>
      </w:pPr>
      <w:bookmarkStart w:id="1" w:name="_GoBack"/>
      <w:r>
        <w:rPr>
          <w:rFonts w:hint="eastAsia" w:ascii="方正小标宋简体" w:hAnsi="方正小标宋简体" w:eastAsia="方正小标宋简体" w:cs="方正小标宋简体"/>
          <w:sz w:val="44"/>
          <w:szCs w:val="44"/>
          <w:lang w:val="en-US" w:eastAsia="zh-CN"/>
        </w:rPr>
        <w:t>卡松科技股份有限公司</w:t>
      </w:r>
    </w:p>
    <w:bookmarkEnd w:id="1"/>
    <w:p w14:paraId="570EF8DF">
      <w:pPr>
        <w:spacing w:line="560" w:lineRule="exact"/>
        <w:jc w:val="center"/>
        <w:rPr>
          <w:rFonts w:hint="eastAsia" w:ascii="黑体" w:hAnsi="黑体" w:eastAsia="方正小标宋简体"/>
          <w:sz w:val="32"/>
          <w:szCs w:val="32"/>
          <w:lang w:val="en-US" w:eastAsia="zh-CN"/>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中期</w:t>
      </w:r>
      <w:r>
        <w:rPr>
          <w:rFonts w:hint="eastAsia" w:ascii="方正小标宋简体" w:hAnsi="方正小标宋简体" w:eastAsia="方正小标宋简体" w:cs="方正小标宋简体"/>
          <w:sz w:val="44"/>
          <w:szCs w:val="44"/>
        </w:rPr>
        <w:t>信息公</w:t>
      </w:r>
      <w:r>
        <w:rPr>
          <w:rFonts w:hint="eastAsia" w:ascii="方正小标宋简体" w:hAnsi="方正小标宋简体" w:eastAsia="方正小标宋简体" w:cs="方正小标宋简体"/>
          <w:sz w:val="44"/>
          <w:szCs w:val="44"/>
          <w:lang w:val="en-US" w:eastAsia="zh-CN"/>
        </w:rPr>
        <w:t>开</w:t>
      </w:r>
    </w:p>
    <w:p w14:paraId="1159ED8E">
      <w:pPr>
        <w:spacing w:line="560" w:lineRule="exact"/>
        <w:ind w:firstLine="640" w:firstLineChars="200"/>
        <w:rPr>
          <w:rFonts w:hint="eastAsia" w:ascii="黑体" w:hAnsi="黑体" w:eastAsia="黑体"/>
          <w:sz w:val="32"/>
          <w:szCs w:val="32"/>
        </w:rPr>
      </w:pPr>
    </w:p>
    <w:p w14:paraId="4EC8D2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本公司董事会及全体董事保证本公告内容不存在任何虚假记载、误导性陈述或者重大遗漏，并对其内容的真实性、准确性和完整性承担个别及连带责任。</w:t>
      </w:r>
    </w:p>
    <w:p w14:paraId="5F118992">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一、公司基本情况</w:t>
      </w:r>
    </w:p>
    <w:p w14:paraId="17EA837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1.中文名称：</w:t>
      </w:r>
      <w:r>
        <w:rPr>
          <w:rFonts w:hint="eastAsia" w:ascii="仿宋_GB2312" w:hAnsi="仿宋" w:eastAsia="仿宋_GB2312" w:cs="宋体"/>
          <w:color w:val="000000"/>
          <w:kern w:val="0"/>
          <w:sz w:val="32"/>
          <w:szCs w:val="32"/>
          <w:lang w:val="en-US" w:eastAsia="zh-CN"/>
        </w:rPr>
        <w:t>卡松科技股份有限公司</w:t>
      </w:r>
      <w:r>
        <w:rPr>
          <w:rFonts w:hint="eastAsia" w:ascii="仿宋_GB2312" w:hAnsi="仿宋" w:eastAsia="仿宋_GB2312" w:cs="宋体"/>
          <w:color w:val="000000"/>
          <w:kern w:val="0"/>
          <w:sz w:val="32"/>
          <w:szCs w:val="32"/>
        </w:rPr>
        <w:t>；</w:t>
      </w:r>
    </w:p>
    <w:p w14:paraId="1DEF5681">
      <w:pPr>
        <w:keepNext w:val="0"/>
        <w:keepLines w:val="0"/>
        <w:pageBreakBefore w:val="0"/>
        <w:widowControl w:val="0"/>
        <w:kinsoku/>
        <w:wordWrap/>
        <w:overflowPunct/>
        <w:topLinePunct w:val="0"/>
        <w:autoSpaceDE/>
        <w:autoSpaceDN/>
        <w:bidi w:val="0"/>
        <w:adjustRightInd/>
        <w:spacing w:line="560" w:lineRule="exact"/>
        <w:ind w:firstLine="1600" w:firstLineChars="500"/>
        <w:textAlignment w:val="auto"/>
        <w:rPr>
          <w:rFonts w:hint="eastAsia" w:ascii="仿宋_GB2312" w:hAnsi="仿宋" w:eastAsia="仿宋_GB2312" w:cs="宋体"/>
          <w:color w:val="000000"/>
          <w:kern w:val="0"/>
          <w:sz w:val="32"/>
          <w:szCs w:val="32"/>
          <w:lang w:eastAsia="zh-CN"/>
        </w:rPr>
      </w:pPr>
      <w:r>
        <w:rPr>
          <w:rFonts w:hint="eastAsia" w:ascii="仿宋_GB2312" w:hAnsi="仿宋" w:eastAsia="仿宋_GB2312" w:cs="宋体"/>
          <w:color w:val="000000"/>
          <w:kern w:val="0"/>
          <w:sz w:val="32"/>
          <w:szCs w:val="32"/>
        </w:rPr>
        <w:t>简称：</w:t>
      </w:r>
      <w:r>
        <w:rPr>
          <w:rFonts w:hint="eastAsia" w:ascii="仿宋_GB2312" w:hAnsi="仿宋" w:eastAsia="仿宋_GB2312" w:cs="宋体"/>
          <w:color w:val="000000"/>
          <w:kern w:val="0"/>
          <w:sz w:val="32"/>
          <w:szCs w:val="32"/>
          <w:lang w:val="en-US" w:eastAsia="zh-CN"/>
        </w:rPr>
        <w:t>卡松科技</w:t>
      </w:r>
    </w:p>
    <w:p w14:paraId="437C2CFB">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2.外文名称：KASONG SCIENCE AND TECHNOLOGY CO.,LTD</w:t>
      </w:r>
    </w:p>
    <w:p w14:paraId="555F616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lang w:eastAsia="zh-CN"/>
        </w:rPr>
      </w:pPr>
      <w:r>
        <w:rPr>
          <w:rFonts w:hint="eastAsia" w:ascii="仿宋_GB2312" w:hAnsi="仿宋" w:eastAsia="仿宋_GB2312" w:cs="宋体"/>
          <w:color w:val="000000"/>
          <w:kern w:val="0"/>
          <w:sz w:val="32"/>
          <w:szCs w:val="32"/>
        </w:rPr>
        <w:t>3.法定代表人：</w:t>
      </w:r>
      <w:r>
        <w:rPr>
          <w:rFonts w:hint="eastAsia" w:ascii="仿宋_GB2312" w:hAnsi="仿宋" w:eastAsia="仿宋_GB2312" w:cs="宋体"/>
          <w:color w:val="000000"/>
          <w:kern w:val="0"/>
          <w:sz w:val="32"/>
          <w:szCs w:val="32"/>
          <w:lang w:val="en-US" w:eastAsia="zh-CN"/>
        </w:rPr>
        <w:t>赵之玉</w:t>
      </w:r>
    </w:p>
    <w:p w14:paraId="71F2149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4.注册地址：山东省济宁市任城区运河经济开发区新材料产业园辰光路与长兴路交界处</w:t>
      </w:r>
    </w:p>
    <w:p w14:paraId="29B71BE5">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5.公司经营范围：一般项目：润滑油销售；润滑油加工、制造(不含危险化学品);成品油批发(不含危险化学品);石油制品制造(不含危险化学品);石油制品销售(不含危险化学品);化工产品销售(不含许可类化工产品);专用化学产品制造(不含危险化学品);专用化学产品销售(不含危险化学品);专用设备制造(不含许可类专业设备制造);五金产品制造；劳动保护用品销售；新材料技术研发；货物进出口；技术进出口；网络技术服务；互联网数据服务；智能控制系统集成；信息系统集成服务；信息技术咨询服务；物联网技术服务；工程和技术研究和试验发展；计算机软硬件及辅助设备批发；计算机软硬件及辅助设备零售；计算机软硬件及外围设备制造；通信设备制造；通讯设备销售；网络设备制造；网络设备销售；智能仪器仪表销售；仪器仪表销售；实验分析仪器销售；供应用仪器仪表销售；智能车载设备销售；终端测试设备制造；终端测试设备销售；技术服务、技术开发、技术咨询、技术交流、技术转让、技术推广；环境监测专用仪器仪表制造；环境监测专用仪器仪表销售；环境保护专用设备制造；环境保护专用设备销售；气体、液体分离及纯</w:t>
      </w:r>
      <w:r>
        <w:rPr>
          <w:rFonts w:hint="eastAsia" w:ascii="仿宋_GB2312" w:hAnsi="仿宋" w:eastAsia="仿宋_GB2312" w:cs="宋体"/>
          <w:color w:val="000000"/>
          <w:kern w:val="0"/>
          <w:sz w:val="32"/>
          <w:szCs w:val="32"/>
          <w:lang w:val="en-US"/>
        </w:rPr>
        <w:t>净</w:t>
      </w:r>
      <w:r>
        <w:rPr>
          <w:rFonts w:hint="eastAsia" w:ascii="仿宋_GB2312" w:hAnsi="仿宋" w:eastAsia="仿宋_GB2312" w:cs="宋体"/>
          <w:color w:val="000000"/>
          <w:kern w:val="0"/>
          <w:sz w:val="32"/>
          <w:szCs w:val="32"/>
        </w:rPr>
        <w:t>设备</w:t>
      </w:r>
      <w:bookmarkStart w:id="0" w:name="第三章__股份"/>
      <w:bookmarkEnd w:id="0"/>
      <w:r>
        <w:rPr>
          <w:rFonts w:hint="eastAsia" w:ascii="仿宋_GB2312" w:hAnsi="仿宋" w:eastAsia="仿宋_GB2312" w:cs="宋体"/>
          <w:color w:val="000000"/>
          <w:kern w:val="0"/>
          <w:sz w:val="32"/>
          <w:szCs w:val="32"/>
        </w:rPr>
        <w:t>制造；气体、液体分离及纯净设备销售；环保咨询服务；资源再生利用技术研发；信息系统运行维护服务；实验分析仪器制造；智能仪器仪表制造；物联网设备制造；物联网技术研发；机械设备研发；工业自动控制系统装置制造；矿山机械制造；矿山机械销售；仪器仪表修理；软件开发；人工智能理论与算法软件开发。(除依法须经批准的项目外，凭营业执照依法自主开展经营活动)许可项目：第二、三类监控化学品和第四类监控化学品中含磷、硫、氟的特定有机化学品生产；计算机信息系统安全专用产品销售；电气安装服务；施工专业作业。(依法须经批准的项目，经相关部门批准后方可开展经营活动，具体经营项目以相关部门批准文件或许可证件为准)。</w:t>
      </w:r>
    </w:p>
    <w:p w14:paraId="53981C3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6.办公地址：山东省济宁市任城区运河经济开发区新材料产业园辰光路与长兴路交界处；邮政编码：27</w:t>
      </w:r>
      <w:r>
        <w:rPr>
          <w:rFonts w:hint="eastAsia" w:ascii="仿宋_GB2312" w:hAnsi="仿宋" w:eastAsia="仿宋_GB2312" w:cs="宋体"/>
          <w:color w:val="000000"/>
          <w:kern w:val="0"/>
          <w:sz w:val="32"/>
          <w:szCs w:val="32"/>
          <w:lang w:val="en-US" w:eastAsia="zh-CN"/>
        </w:rPr>
        <w:t>21</w:t>
      </w:r>
      <w:r>
        <w:rPr>
          <w:rFonts w:hint="eastAsia" w:ascii="仿宋_GB2312" w:hAnsi="仿宋" w:eastAsia="仿宋_GB2312" w:cs="宋体"/>
          <w:color w:val="000000"/>
          <w:kern w:val="0"/>
          <w:sz w:val="32"/>
          <w:szCs w:val="32"/>
        </w:rPr>
        <w:t>00</w:t>
      </w:r>
    </w:p>
    <w:p w14:paraId="2A9C7AA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7.网址：http://www.</w:t>
      </w:r>
      <w:r>
        <w:rPr>
          <w:rFonts w:hint="eastAsia" w:ascii="仿宋_GB2312" w:hAnsi="仿宋" w:eastAsia="仿宋_GB2312" w:cs="宋体"/>
          <w:color w:val="000000"/>
          <w:kern w:val="0"/>
          <w:sz w:val="32"/>
          <w:szCs w:val="32"/>
          <w:lang w:val="en-US" w:eastAsia="zh-CN"/>
        </w:rPr>
        <w:t>chinakasong</w:t>
      </w:r>
      <w:r>
        <w:rPr>
          <w:rFonts w:hint="eastAsia" w:ascii="仿宋_GB2312" w:hAnsi="仿宋" w:eastAsia="仿宋_GB2312" w:cs="宋体"/>
          <w:color w:val="000000"/>
          <w:kern w:val="0"/>
          <w:sz w:val="32"/>
          <w:szCs w:val="32"/>
        </w:rPr>
        <w:t>.com/</w:t>
      </w:r>
    </w:p>
    <w:p w14:paraId="6E9BE744">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8.电子信箱:Kssjfwb@126.com</w:t>
      </w:r>
    </w:p>
    <w:p w14:paraId="03997E7F">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9.企业统一社会信用代码:9137</w:t>
      </w:r>
      <w:r>
        <w:rPr>
          <w:rFonts w:hint="eastAsia" w:ascii="仿宋_GB2312" w:hAnsi="仿宋" w:eastAsia="仿宋_GB2312" w:cs="宋体"/>
          <w:color w:val="000000"/>
          <w:kern w:val="0"/>
          <w:sz w:val="32"/>
          <w:szCs w:val="32"/>
          <w:lang w:val="en-US" w:eastAsia="zh-CN"/>
        </w:rPr>
        <w:t xml:space="preserve"> </w:t>
      </w:r>
      <w:r>
        <w:rPr>
          <w:rFonts w:hint="eastAsia" w:ascii="仿宋_GB2312" w:hAnsi="仿宋" w:eastAsia="仿宋_GB2312" w:cs="宋体"/>
          <w:color w:val="000000"/>
          <w:kern w:val="0"/>
          <w:sz w:val="32"/>
          <w:szCs w:val="32"/>
        </w:rPr>
        <w:t>0800</w:t>
      </w:r>
      <w:r>
        <w:rPr>
          <w:rFonts w:hint="eastAsia" w:ascii="仿宋_GB2312" w:hAnsi="仿宋" w:eastAsia="仿宋_GB2312" w:cs="宋体"/>
          <w:color w:val="000000"/>
          <w:kern w:val="0"/>
          <w:sz w:val="32"/>
          <w:szCs w:val="32"/>
          <w:lang w:val="en-US" w:eastAsia="zh-CN"/>
        </w:rPr>
        <w:t xml:space="preserve"> </w:t>
      </w:r>
      <w:r>
        <w:rPr>
          <w:rFonts w:hint="eastAsia" w:ascii="仿宋_GB2312" w:hAnsi="仿宋" w:eastAsia="仿宋_GB2312" w:cs="宋体"/>
          <w:color w:val="000000"/>
          <w:kern w:val="0"/>
          <w:sz w:val="32"/>
          <w:szCs w:val="32"/>
        </w:rPr>
        <w:t>7752</w:t>
      </w:r>
      <w:r>
        <w:rPr>
          <w:rFonts w:hint="eastAsia" w:ascii="仿宋_GB2312" w:hAnsi="仿宋" w:eastAsia="仿宋_GB2312" w:cs="宋体"/>
          <w:color w:val="000000"/>
          <w:kern w:val="0"/>
          <w:sz w:val="32"/>
          <w:szCs w:val="32"/>
          <w:lang w:val="en-US" w:eastAsia="zh-CN"/>
        </w:rPr>
        <w:t xml:space="preserve"> </w:t>
      </w:r>
      <w:r>
        <w:rPr>
          <w:rFonts w:hint="eastAsia" w:ascii="仿宋_GB2312" w:hAnsi="仿宋" w:eastAsia="仿宋_GB2312" w:cs="宋体"/>
          <w:color w:val="000000"/>
          <w:kern w:val="0"/>
          <w:sz w:val="32"/>
          <w:szCs w:val="32"/>
        </w:rPr>
        <w:t>623</w:t>
      </w:r>
      <w:r>
        <w:rPr>
          <w:rFonts w:hint="eastAsia" w:ascii="仿宋_GB2312" w:hAnsi="仿宋" w:eastAsia="仿宋_GB2312" w:cs="宋体"/>
          <w:color w:val="000000"/>
          <w:kern w:val="0"/>
          <w:sz w:val="32"/>
          <w:szCs w:val="32"/>
          <w:lang w:val="en-US" w:eastAsia="zh-CN"/>
        </w:rPr>
        <w:t xml:space="preserve"> </w:t>
      </w:r>
      <w:r>
        <w:rPr>
          <w:rFonts w:hint="eastAsia" w:ascii="仿宋_GB2312" w:hAnsi="仿宋" w:eastAsia="仿宋_GB2312" w:cs="宋体"/>
          <w:color w:val="000000"/>
          <w:kern w:val="0"/>
          <w:sz w:val="32"/>
          <w:szCs w:val="32"/>
        </w:rPr>
        <w:t>213</w:t>
      </w:r>
    </w:p>
    <w:p w14:paraId="5D33CE3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1"/>
        <w:rPr>
          <w:rFonts w:hint="eastAsia" w:ascii="仿宋_GB2312" w:hAnsi="仿宋" w:eastAsia="仿宋_GB2312" w:cs="宋体"/>
          <w:color w:val="000000"/>
          <w:kern w:val="0"/>
          <w:sz w:val="32"/>
          <w:szCs w:val="32"/>
          <w:highlight w:val="none"/>
        </w:rPr>
      </w:pPr>
      <w:r>
        <w:rPr>
          <w:rFonts w:hint="eastAsia" w:ascii="仿宋_GB2312" w:hAnsi="仿宋" w:eastAsia="仿宋_GB2312" w:cs="宋体"/>
          <w:color w:val="000000"/>
          <w:kern w:val="0"/>
          <w:sz w:val="32"/>
          <w:szCs w:val="32"/>
          <w:highlight w:val="none"/>
        </w:rPr>
        <w:t>10.企业简介：卡松科技股份有限公司成立于2005年，是隶属于山东能源集团有限公司的国有控股企业。</w:t>
      </w:r>
      <w:r>
        <w:rPr>
          <w:rFonts w:hint="eastAsia" w:ascii="仿宋_GB2312" w:hAnsi="仿宋" w:eastAsia="仿宋_GB2312" w:cs="宋体"/>
          <w:color w:val="000000"/>
          <w:kern w:val="0"/>
          <w:sz w:val="32"/>
          <w:szCs w:val="32"/>
          <w:highlight w:val="none"/>
          <w:lang w:val="en-US" w:eastAsia="zh-CN"/>
        </w:rPr>
        <w:t>卡松科技是</w:t>
      </w:r>
      <w:r>
        <w:rPr>
          <w:rFonts w:hint="eastAsia" w:ascii="仿宋_GB2312" w:hAnsi="仿宋" w:eastAsia="仿宋_GB2312" w:cs="宋体"/>
          <w:color w:val="000000"/>
          <w:kern w:val="0"/>
          <w:sz w:val="32"/>
          <w:szCs w:val="32"/>
          <w:highlight w:val="none"/>
        </w:rPr>
        <w:t>以“倾力打造中国特油第一品牌”为目标的国家高新技术企业、国家专精特新“小巨人”企业。2025年成功在全国中小企业股份转让系统</w:t>
      </w:r>
      <w:r>
        <w:rPr>
          <w:rFonts w:hint="eastAsia" w:ascii="仿宋_GB2312" w:hAnsi="仿宋" w:eastAsia="仿宋_GB2312" w:cs="宋体"/>
          <w:color w:val="000000"/>
          <w:kern w:val="0"/>
          <w:sz w:val="32"/>
          <w:szCs w:val="32"/>
          <w:highlight w:val="none"/>
          <w:lang w:val="en-US" w:eastAsia="zh-CN"/>
        </w:rPr>
        <w:t>(</w:t>
      </w:r>
      <w:r>
        <w:rPr>
          <w:rFonts w:hint="eastAsia" w:ascii="仿宋_GB2312" w:hAnsi="仿宋" w:eastAsia="仿宋_GB2312" w:cs="宋体"/>
          <w:color w:val="000000"/>
          <w:kern w:val="0"/>
          <w:sz w:val="32"/>
          <w:szCs w:val="32"/>
          <w:highlight w:val="none"/>
        </w:rPr>
        <w:t>“新三板”</w:t>
      </w:r>
      <w:r>
        <w:rPr>
          <w:rFonts w:hint="eastAsia" w:ascii="仿宋_GB2312" w:hAnsi="仿宋" w:eastAsia="仿宋_GB2312" w:cs="宋体"/>
          <w:color w:val="000000"/>
          <w:kern w:val="0"/>
          <w:sz w:val="32"/>
          <w:szCs w:val="32"/>
          <w:highlight w:val="none"/>
          <w:lang w:val="en-US" w:eastAsia="zh-CN"/>
        </w:rPr>
        <w:t>)</w:t>
      </w:r>
      <w:r>
        <w:rPr>
          <w:rFonts w:hint="eastAsia" w:ascii="仿宋_GB2312" w:hAnsi="仿宋" w:eastAsia="仿宋_GB2312" w:cs="宋体"/>
          <w:color w:val="000000"/>
          <w:kern w:val="0"/>
          <w:sz w:val="32"/>
          <w:szCs w:val="32"/>
          <w:highlight w:val="none"/>
        </w:rPr>
        <w:t>挂牌上市（证券代码：874917）。</w:t>
      </w:r>
    </w:p>
    <w:p w14:paraId="3630598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1"/>
        <w:rPr>
          <w:rFonts w:hint="eastAsia" w:ascii="仿宋_GB2312" w:eastAsia="仿宋_GB2312"/>
          <w:sz w:val="32"/>
          <w:szCs w:val="32"/>
          <w:highlight w:val="none"/>
          <w:lang w:eastAsia="zh-CN"/>
        </w:rPr>
      </w:pPr>
      <w:r>
        <w:rPr>
          <w:rFonts w:hint="default" w:ascii="仿宋_GB2312" w:hAnsi="仿宋" w:eastAsia="仿宋_GB2312" w:cs="宋体"/>
          <w:color w:val="000000"/>
          <w:kern w:val="0"/>
          <w:sz w:val="32"/>
          <w:szCs w:val="32"/>
          <w:highlight w:val="none"/>
          <w:lang w:val="en-US" w:eastAsia="zh-CN" w:bidi="ar-SA"/>
        </w:rPr>
        <w:t>卡松科技积淀了国家CNAS实验室、全国院士专家工作站、全国博士后科研工作站、全国守合同重信用企业和山东省创新型企业、山东省“专精特新”中小企业、山东省制造业单项冠军企业、山东省高端品牌培育企业、山东省上市后备企业、山东省瞪羚企业、</w:t>
      </w:r>
      <w:r>
        <w:rPr>
          <w:rFonts w:hint="eastAsia" w:ascii="仿宋_GB2312" w:hAnsi="仿宋" w:eastAsia="仿宋_GB2312" w:cs="宋体"/>
          <w:color w:val="000000"/>
          <w:kern w:val="0"/>
          <w:sz w:val="32"/>
          <w:szCs w:val="32"/>
          <w:highlight w:val="none"/>
          <w:lang w:val="en-US" w:eastAsia="zh-CN" w:bidi="ar-SA"/>
        </w:rPr>
        <w:t>山东省</w:t>
      </w:r>
      <w:r>
        <w:rPr>
          <w:rFonts w:hint="default" w:ascii="仿宋_GB2312" w:hAnsi="仿宋" w:eastAsia="仿宋_GB2312" w:cs="宋体"/>
          <w:color w:val="000000"/>
          <w:kern w:val="0"/>
          <w:sz w:val="32"/>
          <w:szCs w:val="32"/>
          <w:highlight w:val="none"/>
          <w:lang w:val="en-US" w:eastAsia="zh-CN" w:bidi="ar-SA"/>
        </w:rPr>
        <w:t>智能工厂</w:t>
      </w:r>
      <w:r>
        <w:rPr>
          <w:rFonts w:hint="eastAsia" w:ascii="仿宋_GB2312" w:hAnsi="仿宋" w:eastAsia="仿宋_GB2312" w:cs="宋体"/>
          <w:color w:val="000000"/>
          <w:kern w:val="0"/>
          <w:sz w:val="32"/>
          <w:szCs w:val="32"/>
          <w:highlight w:val="none"/>
          <w:lang w:val="en-US" w:eastAsia="zh-CN" w:bidi="ar-SA"/>
        </w:rPr>
        <w:t>、</w:t>
      </w:r>
      <w:r>
        <w:rPr>
          <w:rFonts w:hint="default" w:ascii="仿宋_GB2312" w:hAnsi="仿宋" w:eastAsia="仿宋_GB2312" w:cs="宋体"/>
          <w:color w:val="000000"/>
          <w:kern w:val="0"/>
          <w:sz w:val="32"/>
          <w:szCs w:val="32"/>
          <w:highlight w:val="none"/>
          <w:lang w:val="en-US" w:eastAsia="zh-CN" w:bidi="ar-SA"/>
        </w:rPr>
        <w:t>山东省绿色工厂、山东省数字经济“晨星工厂”等荣誉资质。多次承担国家导向计划、国家重点新产品、国家火炬计划、中央重点建设基金、山东省重点研发计划、山东省技术创新项目、山东创新工业产品、山东省工业互联网重点平台、山东省智能制造优秀场景等国家级、省级重大项目，通过质量管理体系、环境管理体系、职业健康安全管理体系、能源管理体系、数据管理能力成熟度评估（DCMM）等认证，多项技术成果被鉴定为</w:t>
      </w:r>
      <w:r>
        <w:rPr>
          <w:rFonts w:ascii="仿宋_GB2312" w:hAnsi="宋体" w:eastAsia="仿宋_GB2312" w:cs="仿宋_GB2312"/>
          <w:color w:val="000000"/>
          <w:kern w:val="0"/>
          <w:sz w:val="31"/>
          <w:szCs w:val="31"/>
          <w:highlight w:val="none"/>
          <w:lang w:val="en-US" w:eastAsia="zh-CN" w:bidi="ar"/>
        </w:rPr>
        <w:t>国际领先水平，矿用油液实现煤安标全系列取证，获得国家发</w:t>
      </w:r>
      <w:r>
        <w:rPr>
          <w:rFonts w:hint="eastAsia" w:ascii="仿宋_GB2312" w:hAnsi="宋体" w:eastAsia="仿宋_GB2312" w:cs="仿宋_GB2312"/>
          <w:color w:val="000000"/>
          <w:kern w:val="0"/>
          <w:sz w:val="31"/>
          <w:szCs w:val="31"/>
          <w:highlight w:val="none"/>
          <w:lang w:val="en-US" w:eastAsia="zh-CN" w:bidi="ar"/>
        </w:rPr>
        <w:t>明专利数十件，荣获国家级、省级科技成果奖励数十项，制定国家标准、山东省地方标准、团体标准十余项，发表专业论文、技术专篇数十篇</w:t>
      </w:r>
      <w:r>
        <w:rPr>
          <w:rFonts w:hint="eastAsia" w:ascii="仿宋_GB2312" w:eastAsia="仿宋_GB2312"/>
          <w:sz w:val="32"/>
          <w:szCs w:val="32"/>
          <w:highlight w:val="none"/>
        </w:rPr>
        <w:t>。</w:t>
      </w:r>
    </w:p>
    <w:p w14:paraId="2C00FCC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二、公司治理及管理架构</w:t>
      </w:r>
    </w:p>
    <w:p w14:paraId="1547F224">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卡松科技股份有限公司建立以股东会、支委会、董事会、监事会、经理层为主体的法人治理结构，公司设立综合办公室、财经中心、营销中心、技术中心、生产中心、数智化部、人力资源部、安全环保部、物资供应部、审计法务部共十个部门（中心）。</w:t>
      </w:r>
    </w:p>
    <w:p w14:paraId="3268AA5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lang w:val="en-US" w:eastAsia="zh-CN"/>
        </w:rPr>
        <w:t>三</w:t>
      </w:r>
      <w:r>
        <w:rPr>
          <w:rFonts w:hint="eastAsia" w:ascii="黑体" w:hAnsi="黑体" w:eastAsia="黑体"/>
          <w:sz w:val="32"/>
          <w:szCs w:val="32"/>
        </w:rPr>
        <w:t>、主要财务数据和财务指标</w:t>
      </w:r>
    </w:p>
    <w:p w14:paraId="3C6BC2F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卡松科技2026年度上半年实现营业收入14，594.35万元（其中主营业务收入14,550.81万元），利润总额305.91万元，净利润324.29万元，应交税费总额631.95万元，资产总额32,654.50万元，负债总额11,931.41万元，所有者权益20,723.09万元。</w:t>
      </w:r>
    </w:p>
    <w:p w14:paraId="30EBCDB7">
      <w:pPr>
        <w:spacing w:line="560" w:lineRule="exact"/>
        <w:ind w:firstLine="640" w:firstLineChars="200"/>
        <w:rPr>
          <w:rFonts w:hint="eastAsia" w:ascii="黑体" w:hAnsi="黑体" w:eastAsia="黑体"/>
          <w:sz w:val="32"/>
          <w:szCs w:val="32"/>
          <w:lang w:val="en-US" w:eastAsia="zh-CN"/>
        </w:rPr>
      </w:pPr>
      <w:r>
        <w:rPr>
          <w:rFonts w:hint="eastAsia" w:ascii="黑体" w:hAnsi="黑体" w:eastAsia="黑体" w:cstheme="minorBidi"/>
          <w:kern w:val="2"/>
          <w:sz w:val="32"/>
          <w:szCs w:val="32"/>
          <w:lang w:val="en-US" w:eastAsia="zh-CN" w:bidi="ar-SA"/>
        </w:rPr>
        <w:t>四、</w:t>
      </w:r>
      <w:r>
        <w:rPr>
          <w:rFonts w:hint="eastAsia" w:ascii="黑体" w:hAnsi="黑体" w:eastAsia="黑体"/>
          <w:sz w:val="32"/>
          <w:szCs w:val="32"/>
          <w:lang w:val="en-US" w:eastAsia="zh-CN"/>
        </w:rPr>
        <w:t>期内发生的重大事项及对企业的影响</w:t>
      </w:r>
    </w:p>
    <w:p w14:paraId="5D14F911">
      <w:pPr>
        <w:spacing w:line="560" w:lineRule="exact"/>
        <w:ind w:firstLine="640" w:firstLineChars="200"/>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z w:val="32"/>
          <w:szCs w:val="32"/>
          <w:lang w:val="en-US" w:eastAsia="zh-CN"/>
        </w:rPr>
        <w:t>期内未发生重大事项。</w:t>
      </w:r>
    </w:p>
    <w:sectPr>
      <w:footerReference r:id="rId3"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1099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A291BC">
                          <w:pPr>
                            <w:pStyle w:val="3"/>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A291BC">
                    <w:pPr>
                      <w:pStyle w:val="3"/>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3MjQ1MTg2NDg3ZmEzYjdkMzRjNDIxM2MxMWJiY2QifQ=="/>
  </w:docVars>
  <w:rsids>
    <w:rsidRoot w:val="00E71F08"/>
    <w:rsid w:val="00032C56"/>
    <w:rsid w:val="00035D3F"/>
    <w:rsid w:val="000A002F"/>
    <w:rsid w:val="000D0932"/>
    <w:rsid w:val="0020427D"/>
    <w:rsid w:val="00214598"/>
    <w:rsid w:val="00247054"/>
    <w:rsid w:val="003721D8"/>
    <w:rsid w:val="00393F31"/>
    <w:rsid w:val="003D4134"/>
    <w:rsid w:val="004368F9"/>
    <w:rsid w:val="00440406"/>
    <w:rsid w:val="00464D74"/>
    <w:rsid w:val="00495958"/>
    <w:rsid w:val="00557A64"/>
    <w:rsid w:val="005C5421"/>
    <w:rsid w:val="006343E5"/>
    <w:rsid w:val="006439B4"/>
    <w:rsid w:val="00650647"/>
    <w:rsid w:val="006746A9"/>
    <w:rsid w:val="00680FAB"/>
    <w:rsid w:val="006D3C8C"/>
    <w:rsid w:val="006E31F6"/>
    <w:rsid w:val="006E3D01"/>
    <w:rsid w:val="00703A91"/>
    <w:rsid w:val="007E6A24"/>
    <w:rsid w:val="007F42F5"/>
    <w:rsid w:val="00856C0C"/>
    <w:rsid w:val="00896BBF"/>
    <w:rsid w:val="008A1FCC"/>
    <w:rsid w:val="009974EA"/>
    <w:rsid w:val="009B5E1E"/>
    <w:rsid w:val="00B830B0"/>
    <w:rsid w:val="00BA66F2"/>
    <w:rsid w:val="00BA6C60"/>
    <w:rsid w:val="00C3156B"/>
    <w:rsid w:val="00C36B82"/>
    <w:rsid w:val="00CF246B"/>
    <w:rsid w:val="00CF37B4"/>
    <w:rsid w:val="00D11D4D"/>
    <w:rsid w:val="00D543FC"/>
    <w:rsid w:val="00D82C2E"/>
    <w:rsid w:val="00E40B51"/>
    <w:rsid w:val="00E50113"/>
    <w:rsid w:val="00E71F08"/>
    <w:rsid w:val="00F2193F"/>
    <w:rsid w:val="01DC338D"/>
    <w:rsid w:val="09820DC9"/>
    <w:rsid w:val="0EEC67B6"/>
    <w:rsid w:val="0F673113"/>
    <w:rsid w:val="1152168B"/>
    <w:rsid w:val="1B214621"/>
    <w:rsid w:val="1BC25F36"/>
    <w:rsid w:val="1CB86F6A"/>
    <w:rsid w:val="1F0B7BF4"/>
    <w:rsid w:val="1F6A67BE"/>
    <w:rsid w:val="200D4C0E"/>
    <w:rsid w:val="22E45B36"/>
    <w:rsid w:val="23623247"/>
    <w:rsid w:val="243C25FD"/>
    <w:rsid w:val="28643ED1"/>
    <w:rsid w:val="29F8226D"/>
    <w:rsid w:val="2AB27175"/>
    <w:rsid w:val="2CA86A82"/>
    <w:rsid w:val="2D563C98"/>
    <w:rsid w:val="2E6052BF"/>
    <w:rsid w:val="2F9A414A"/>
    <w:rsid w:val="30BC6FA0"/>
    <w:rsid w:val="31147803"/>
    <w:rsid w:val="31E57E30"/>
    <w:rsid w:val="35F04FF6"/>
    <w:rsid w:val="407E15A8"/>
    <w:rsid w:val="45E306D3"/>
    <w:rsid w:val="464F7B16"/>
    <w:rsid w:val="471A2DDB"/>
    <w:rsid w:val="49615D80"/>
    <w:rsid w:val="49E27234"/>
    <w:rsid w:val="49FD236C"/>
    <w:rsid w:val="4A912EBD"/>
    <w:rsid w:val="4DAD54A5"/>
    <w:rsid w:val="52B8657D"/>
    <w:rsid w:val="55774994"/>
    <w:rsid w:val="558C5ED0"/>
    <w:rsid w:val="55B51BB5"/>
    <w:rsid w:val="59187EEF"/>
    <w:rsid w:val="5FF4295F"/>
    <w:rsid w:val="6211560E"/>
    <w:rsid w:val="6999636A"/>
    <w:rsid w:val="6BC009EB"/>
    <w:rsid w:val="6F147D1D"/>
    <w:rsid w:val="75E062DB"/>
    <w:rsid w:val="768242F2"/>
    <w:rsid w:val="778D68D7"/>
    <w:rsid w:val="7B551519"/>
    <w:rsid w:val="7E6F659B"/>
    <w:rsid w:val="7E734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qFormat/>
    <w:uiPriority w:val="99"/>
    <w:rPr>
      <w:sz w:val="18"/>
      <w:szCs w:val="18"/>
    </w:rPr>
  </w:style>
  <w:style w:type="character" w:customStyle="1" w:styleId="8">
    <w:name w:val="页脚 Char"/>
    <w:basedOn w:val="6"/>
    <w:link w:val="3"/>
    <w:autoRedefine/>
    <w:qFormat/>
    <w:uiPriority w:val="99"/>
    <w:rPr>
      <w:sz w:val="18"/>
      <w:szCs w:val="18"/>
    </w:rPr>
  </w:style>
  <w:style w:type="paragraph" w:styleId="9">
    <w:name w:val="List Paragraph"/>
    <w:basedOn w:val="1"/>
    <w:autoRedefine/>
    <w:qFormat/>
    <w:uiPriority w:val="34"/>
    <w:pPr>
      <w:widowControl/>
      <w:ind w:firstLine="420" w:firstLineChars="200"/>
      <w:jc w:val="left"/>
    </w:pPr>
    <w:rPr>
      <w:rFonts w:ascii="Times New Roman" w:hAnsi="Times New Roman" w:eastAsia="宋体" w:cs="Times New Roman"/>
      <w:snapToGrid w:val="0"/>
      <w:kern w:val="0"/>
      <w:sz w:val="20"/>
      <w:szCs w:val="20"/>
      <w:lang w:val="en-GB" w:eastAsia="en-US"/>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Table Text"/>
    <w:basedOn w:val="1"/>
    <w:autoRedefine/>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1789</Words>
  <Characters>1972</Characters>
  <Lines>59</Lines>
  <Paragraphs>16</Paragraphs>
  <TotalTime>1</TotalTime>
  <ScaleCrop>false</ScaleCrop>
  <LinksUpToDate>false</LinksUpToDate>
  <CharactersWithSpaces>1980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2023-06-26T01:53:00Z</dcterms:created>
  <dc:creator>Lenovo</dc:creator>
  <cp:lastModifiedBy>刘坤明</cp:lastModifiedBy>
  <cp:lastPrinted>2026-06-23T07:19:00Z</cp:lastPrinted>
  <dcterms:modified xsi:type="dcterms:W3CDTF">2026-09-02T01:23:47Z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5B77E7CEEC58BC6AFAE8886BEB80DBEB">
    <vt:lpwstr>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</vt:lpwstr>
  </property>
  <property fmtid="{D5CDD505-2E9C-101B-9397-08002B2CF9AE}" pid="3" name="KSOProductBuildVer">
    <vt:lpwstr>2052-12.1.0.18276</vt:lpwstr>
  </property>
  <property fmtid="{D5CDD505-2E9C-101B-9397-08002B2CF9AE}" pid="4" name="ICV">
    <vt:lpwstr>1F9E6A362A99413ABD2F04DF63A3FA82</vt:lpwstr>
  </property>
  <property fmtid="{D5CDD505-2E9C-101B-9397-08002B2CF9AE}" pid="5" name="KSOTemplateDocerSaveRecord">
    <vt:lpwstr>eyJoZGlkIjoiZThmMzJkZjQ0OGUyMTY0MTQzZjg2ZTczZjU0NjU3NjQiLCJ1c2VySWQiOiIxNDk2OTc5NTU2In0=</vt:lpwstr>
  </property>
</Properties>
</file>