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BC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center"/>
        <w:textAlignment w:val="baseline"/>
        <w:rPr>
          <w:rFonts w:hint="eastAsia" w:ascii="方正小标宋简体" w:eastAsia="方正小标宋简体"/>
          <w:kern w:val="32"/>
          <w:sz w:val="44"/>
          <w:szCs w:val="44"/>
        </w:rPr>
      </w:pPr>
      <w:r>
        <w:rPr>
          <w:rFonts w:hint="eastAsia" w:ascii="方正小标宋简体" w:eastAsia="方正小标宋简体"/>
          <w:kern w:val="32"/>
          <w:sz w:val="44"/>
          <w:szCs w:val="44"/>
        </w:rPr>
        <w:t>山东东山新驿煤矿有限公司</w:t>
      </w:r>
    </w:p>
    <w:p w14:paraId="0127A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color w:val="auto"/>
          <w:spacing w:val="0"/>
          <w:position w:val="0"/>
          <w:sz w:val="44"/>
          <w:szCs w:val="44"/>
          <w:highlight w:val="none"/>
        </w:rPr>
      </w:pPr>
      <w:r>
        <w:rPr>
          <w:rFonts w:hint="eastAsia" w:ascii="方正小标宋简体" w:eastAsia="方正小标宋简体"/>
          <w:kern w:val="32"/>
          <w:sz w:val="44"/>
          <w:szCs w:val="44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position w:val="0"/>
          <w:sz w:val="44"/>
          <w:szCs w:val="44"/>
          <w:highlight w:val="none"/>
        </w:rPr>
        <w:t>中期信息公开</w:t>
      </w:r>
    </w:p>
    <w:p w14:paraId="6EDF4F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黑体" w:hAnsi="黑体" w:eastAsia="黑体" w:cs="黑体"/>
          <w:color w:val="auto"/>
          <w:spacing w:val="0"/>
          <w:position w:val="0"/>
          <w:sz w:val="32"/>
          <w:szCs w:val="32"/>
          <w:highlight w:val="none"/>
          <w:lang w:val="en-US" w:eastAsia="zh-CN"/>
        </w:rPr>
      </w:pPr>
    </w:p>
    <w:p w14:paraId="1A4210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黑体" w:hAnsi="黑体" w:eastAsia="黑体" w:cs="黑体"/>
          <w:color w:val="auto"/>
          <w:spacing w:val="0"/>
          <w:positio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pacing w:val="0"/>
          <w:position w:val="0"/>
          <w:sz w:val="32"/>
          <w:szCs w:val="32"/>
          <w:highlight w:val="none"/>
          <w:lang w:val="en-US" w:eastAsia="zh-CN"/>
        </w:rPr>
        <w:t>一、</w:t>
      </w:r>
      <w:r>
        <w:rPr>
          <w:rFonts w:hint="eastAsia" w:ascii="黑体" w:hAnsi="黑体" w:eastAsia="黑体" w:cs="黑体"/>
          <w:color w:val="auto"/>
          <w:spacing w:val="0"/>
          <w:position w:val="0"/>
          <w:sz w:val="32"/>
          <w:szCs w:val="32"/>
          <w:highlight w:val="none"/>
        </w:rPr>
        <w:t>企业基本情况</w:t>
      </w:r>
    </w:p>
    <w:p w14:paraId="59FA6CB9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1.中文名称：山东东山新驿煤矿有限公司；简称：新驿煤矿</w:t>
      </w:r>
    </w:p>
    <w:p w14:paraId="7278CBB7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2.外文名称：Shandong Dongshan Xinyi Coal Mine Co., Ltd.</w:t>
      </w:r>
    </w:p>
    <w:p w14:paraId="1125013D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3.法定代表人：苗磊</w:t>
      </w:r>
    </w:p>
    <w:p w14:paraId="6C158AE5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4.注册地址：山东省济宁市兖州区新驿镇</w:t>
      </w:r>
    </w:p>
    <w:p w14:paraId="19B67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ascii="仿宋_GB2312" w:hAnsi="宋体" w:eastAsia="仿宋_GB2312" w:cs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5.</w:t>
      </w: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公司经营范围：一般项目：煤炭洗选：煤炭及制品销售；企业管理；物业管理；机械设备租赁；特种设备出租：住房租赁；矿山机械制造；矿山机械销售；技术服务、技术开发、技术咨询、技术交流、技术转让、技术推广；信息技术咨询服务；普通机械设备安装服务；专用设备修理；工业机器人安装、维修；工业机器人制造；工业机器人销售；智能机器人的研发；智能机器人销售；软件开发；电子产品销售；花卉种植；谷物种植；谷物销售；电子（气）物理设备及其他电子设备制造；电力设施器材制造；机械电气设备制造；电气设备修理；电气设备</w:t>
      </w:r>
      <w:bookmarkStart w:id="0" w:name="_GoBack"/>
      <w:bookmarkEnd w:id="0"/>
      <w:r>
        <w:rPr>
          <w:rFonts w:hint="eastAsia" w:ascii="仿宋_GB2312" w:hAnsi="宋体" w:eastAsia="仿宋_GB2312" w:cs="仿宋_GB2312"/>
          <w:kern w:val="0"/>
          <w:sz w:val="32"/>
          <w:szCs w:val="32"/>
        </w:rPr>
        <w:t>销售（除依法须经批准的项目外，凭营业执照依法自主开展经营活动）许可项目：煤炭开采特种设备安装改造修理；各类工程建设活动（依法须经批准的项目经相关部门批准后方可开展经营活动）。</w:t>
      </w:r>
    </w:p>
    <w:p w14:paraId="0C5E310B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6.办公地址：济宁市兖州区新驿镇；邮政编码：272116</w:t>
      </w:r>
    </w:p>
    <w:p w14:paraId="0393BCAB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7.电子信箱：xinyimeikuang@163.com</w:t>
      </w:r>
    </w:p>
    <w:p w14:paraId="3A8A6B19">
      <w:pPr>
        <w:spacing w:line="560" w:lineRule="exact"/>
        <w:ind w:firstLine="640" w:firstLineChars="200"/>
        <w:rPr>
          <w:rFonts w:hint="eastAsia" w:ascii="仿宋_GB2312" w:hAnsi="宋体" w:eastAsia="仿宋_GB2312" w:cs="仿宋_GB2312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8.企业统一社会信用代码：9137 0000 6781 1242 83</w:t>
      </w:r>
    </w:p>
    <w:p w14:paraId="2B9B0F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9.企业简介：山东能源鲁西矿业新驿煤矿位于古九州之一的济宁市兖州区境内，东连孔子故里曲阜，西仰水泊梁山，京沪铁路纵贯南北，兖石铁路横跨东西，东临327国道、京台、京沪高速公路，南临日东高速公路，距济微高速3.6公里，距济宁大安机场6.3公里，距济宁东高铁站13.7公里，距京杭大运河20公里，地理条件优越，交通便利。新驿煤矿是经国家计委批准建设的一座新型现代化矿井，矿井于2002年8月1日破土动工，2005年1月正式投产，核定生产能力为105万吨/年，井田面积59.6km2。煤炭产品具有低灰、特低硫、低磷的特点。矿井先后获得 “全国煤炭行业优质工程”“全国煤炭工业先进集体”“全国煤炭系统文明煤矿”“山东省十佳煤矿”“山东省富民兴鲁劳动奖状”“济宁市绿色标杆企业”“国家绿色矿山”“绿色矿山创造力企业”等50多项荣誉称号。</w:t>
      </w:r>
    </w:p>
    <w:p w14:paraId="1552E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pacing w:val="0"/>
          <w:position w:val="0"/>
          <w:sz w:val="32"/>
          <w:szCs w:val="32"/>
          <w:highlight w:val="none"/>
          <w:lang w:val="en-US" w:eastAsia="zh-CN"/>
        </w:rPr>
        <w:t>二、</w:t>
      </w:r>
      <w:r>
        <w:rPr>
          <w:rFonts w:hint="eastAsia" w:ascii="黑体" w:hAnsi="黑体" w:eastAsia="黑体" w:cs="黑体"/>
          <w:color w:val="auto"/>
          <w:spacing w:val="0"/>
          <w:position w:val="0"/>
          <w:sz w:val="32"/>
          <w:szCs w:val="32"/>
          <w:highlight w:val="none"/>
        </w:rPr>
        <w:t>公司治理及管理架构</w:t>
      </w:r>
    </w:p>
    <w:p w14:paraId="1DC75B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60" w:lineRule="exact"/>
        <w:ind w:firstLine="640"/>
        <w:textAlignment w:val="auto"/>
        <w:rPr>
          <w:rFonts w:hint="default" w:asci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公司</w:t>
      </w: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  <w:lang w:val="en-US" w:eastAsia="zh-CN"/>
        </w:rPr>
        <w:t>设党委、董事会、经理层。</w:t>
      </w:r>
      <w:r>
        <w:rPr>
          <w:rFonts w:ascii="仿宋_GB2312" w:hAnsi="Calibri" w:eastAsia="仿宋_GB2312" w:cs="仿宋_GB2312"/>
          <w:color w:val="auto"/>
          <w:sz w:val="32"/>
          <w:szCs w:val="32"/>
          <w:lang w:bidi="ar"/>
        </w:rPr>
        <w:t>设置机构2</w:t>
      </w:r>
      <w:r>
        <w:rPr>
          <w:rFonts w:hint="eastAsia" w:ascii="仿宋_GB2312" w:hAnsi="Calibri" w:eastAsia="仿宋_GB2312" w:cs="仿宋_GB2312"/>
          <w:color w:val="auto"/>
          <w:sz w:val="32"/>
          <w:szCs w:val="32"/>
          <w:lang w:val="en-US" w:eastAsia="zh-CN" w:bidi="ar"/>
        </w:rPr>
        <w:t>0</w:t>
      </w:r>
      <w:r>
        <w:rPr>
          <w:rFonts w:ascii="仿宋_GB2312" w:hAnsi="Calibri" w:eastAsia="仿宋_GB2312" w:cs="仿宋_GB2312"/>
          <w:color w:val="auto"/>
          <w:sz w:val="32"/>
          <w:szCs w:val="32"/>
          <w:lang w:bidi="ar"/>
        </w:rPr>
        <w:t>个，其中：安全生产管理职能部室</w:t>
      </w:r>
      <w:r>
        <w:rPr>
          <w:rFonts w:hint="eastAsia" w:ascii="仿宋_GB2312" w:hAnsi="Calibri" w:eastAsia="仿宋_GB2312" w:cs="仿宋_GB2312"/>
          <w:color w:val="auto"/>
          <w:sz w:val="32"/>
          <w:szCs w:val="32"/>
          <w:lang w:val="en-US" w:eastAsia="zh-CN" w:bidi="ar"/>
        </w:rPr>
        <w:t>6</w:t>
      </w:r>
      <w:r>
        <w:rPr>
          <w:rFonts w:ascii="仿宋_GB2312" w:hAnsi="Calibri" w:eastAsia="仿宋_GB2312" w:cs="仿宋_GB2312"/>
          <w:color w:val="auto"/>
          <w:sz w:val="32"/>
          <w:szCs w:val="32"/>
          <w:lang w:bidi="ar"/>
        </w:rPr>
        <w:t>个，</w:t>
      </w:r>
      <w:r>
        <w:rPr>
          <w:rFonts w:hint="eastAsia" w:ascii="仿宋_GB2312" w:hAnsi="Calibri" w:eastAsia="仿宋_GB2312" w:cs="仿宋_GB2312"/>
          <w:color w:val="auto"/>
          <w:sz w:val="32"/>
          <w:szCs w:val="32"/>
          <w:lang w:val="en-US" w:eastAsia="zh-CN" w:bidi="ar"/>
        </w:rPr>
        <w:t>分别为：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调度室、安全监察部、生产技术部、机电管理部（生态环保部）、通防管理部、地质测量部等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ascii="仿宋_GB2312" w:hAnsi="仿宋_GB2312" w:eastAsia="仿宋_GB2312" w:cs="仿宋_GB2312"/>
          <w:color w:val="auto"/>
          <w:sz w:val="32"/>
          <w:szCs w:val="32"/>
        </w:rPr>
        <w:t>安全生产管理职能部室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  <w:r>
        <w:rPr>
          <w:rFonts w:ascii="仿宋_GB2312" w:hAnsi="Calibri" w:eastAsia="仿宋_GB2312" w:cs="仿宋_GB2312"/>
          <w:color w:val="auto"/>
          <w:sz w:val="32"/>
          <w:szCs w:val="32"/>
          <w:lang w:bidi="ar"/>
        </w:rPr>
        <w:t>地面部室6个，</w:t>
      </w:r>
      <w:r>
        <w:rPr>
          <w:rFonts w:hint="eastAsia" w:ascii="仿宋_GB2312" w:hAnsi="Calibri" w:eastAsia="仿宋_GB2312" w:cs="仿宋_GB2312"/>
          <w:color w:val="auto"/>
          <w:sz w:val="32"/>
          <w:szCs w:val="32"/>
          <w:lang w:val="en-US" w:eastAsia="zh-CN" w:bidi="ar"/>
        </w:rPr>
        <w:t>分别为：</w:t>
      </w:r>
      <w:r>
        <w:rPr>
          <w:rFonts w:ascii="仿宋_GB2312" w:hAnsi="Calibri" w:eastAsia="仿宋_GB2312" w:cs="仿宋_GB2312"/>
          <w:color w:val="auto"/>
          <w:sz w:val="32"/>
          <w:szCs w:val="32"/>
          <w:lang w:bidi="ar"/>
        </w:rPr>
        <w:t>综合办公室（党委办公室、董事会办公室、总经理办公室、督察办公室、压煤搬迁办公室）、党委组织部（人力资源部）、纪委、党群工作部（党委宣传部、党委统战部、工会、信访办公室、团委）</w:t>
      </w:r>
      <w:r>
        <w:rPr>
          <w:rFonts w:hint="eastAsia" w:ascii="仿宋_GB2312" w:hAnsi="Calibri" w:eastAsia="仿宋_GB2312" w:cs="仿宋_GB2312"/>
          <w:color w:val="auto"/>
          <w:sz w:val="32"/>
          <w:szCs w:val="32"/>
          <w:lang w:eastAsia="zh-CN" w:bidi="ar"/>
        </w:rPr>
        <w:t>、</w:t>
      </w:r>
      <w:r>
        <w:rPr>
          <w:rFonts w:ascii="仿宋_GB2312" w:hAnsi="Calibri" w:eastAsia="仿宋_GB2312" w:cs="仿宋_GB2312"/>
          <w:color w:val="auto"/>
          <w:sz w:val="32"/>
          <w:szCs w:val="32"/>
          <w:lang w:bidi="ar"/>
        </w:rPr>
        <w:t>财务管理部、运营管理部（审计法务部）</w:t>
      </w:r>
      <w:r>
        <w:rPr>
          <w:rFonts w:hint="eastAsia" w:ascii="仿宋_GB2312" w:hAnsi="Calibri" w:eastAsia="仿宋_GB2312" w:cs="仿宋_GB2312"/>
          <w:color w:val="auto"/>
          <w:sz w:val="32"/>
          <w:szCs w:val="32"/>
          <w:lang w:val="en-US" w:eastAsia="zh-CN" w:bidi="ar"/>
        </w:rPr>
        <w:t>；</w:t>
      </w:r>
      <w:r>
        <w:rPr>
          <w:rFonts w:ascii="仿宋_GB2312" w:hAnsi="Calibri" w:eastAsia="仿宋_GB2312" w:cs="仿宋_GB2312"/>
          <w:color w:val="auto"/>
          <w:sz w:val="32"/>
          <w:szCs w:val="32"/>
          <w:lang w:bidi="ar"/>
        </w:rPr>
        <w:t>业务中心</w:t>
      </w:r>
      <w:r>
        <w:rPr>
          <w:rFonts w:hint="eastAsia" w:ascii="仿宋_GB2312" w:hAnsi="Calibri" w:eastAsia="仿宋_GB2312" w:cs="仿宋_GB2312"/>
          <w:color w:val="auto"/>
          <w:sz w:val="32"/>
          <w:szCs w:val="32"/>
          <w:lang w:val="en-US" w:eastAsia="zh-CN" w:bidi="ar"/>
        </w:rPr>
        <w:t>1</w:t>
      </w:r>
      <w:r>
        <w:rPr>
          <w:rFonts w:ascii="仿宋_GB2312" w:hAnsi="Calibri" w:eastAsia="仿宋_GB2312" w:cs="仿宋_GB2312"/>
          <w:color w:val="auto"/>
          <w:sz w:val="32"/>
          <w:szCs w:val="32"/>
          <w:lang w:bidi="ar"/>
        </w:rPr>
        <w:t>个</w:t>
      </w:r>
      <w:r>
        <w:rPr>
          <w:rFonts w:hint="eastAsia" w:ascii="仿宋_GB2312" w:hAnsi="Calibri" w:eastAsia="仿宋_GB2312" w:cs="仿宋_GB2312"/>
          <w:color w:val="auto"/>
          <w:sz w:val="32"/>
          <w:szCs w:val="32"/>
          <w:lang w:eastAsia="zh-CN" w:bidi="ar"/>
        </w:rPr>
        <w:t>，</w:t>
      </w:r>
      <w:r>
        <w:rPr>
          <w:rFonts w:hint="eastAsia" w:ascii="仿宋_GB2312" w:hAnsi="Calibri" w:eastAsia="仿宋_GB2312" w:cs="仿宋_GB2312"/>
          <w:color w:val="auto"/>
          <w:sz w:val="32"/>
          <w:szCs w:val="32"/>
          <w:lang w:val="en-US" w:eastAsia="zh-CN" w:bidi="ar"/>
        </w:rPr>
        <w:t>为综合业务中心；</w:t>
      </w:r>
      <w:r>
        <w:rPr>
          <w:rFonts w:ascii="仿宋_GB2312" w:hAnsi="Calibri" w:eastAsia="仿宋_GB2312" w:cs="仿宋_GB2312"/>
          <w:color w:val="auto"/>
          <w:sz w:val="32"/>
          <w:szCs w:val="32"/>
          <w:lang w:bidi="ar"/>
        </w:rPr>
        <w:t>井下生产区队</w:t>
      </w:r>
      <w:r>
        <w:rPr>
          <w:rFonts w:hint="eastAsia" w:ascii="仿宋_GB2312" w:hAnsi="Calibri" w:eastAsia="仿宋_GB2312" w:cs="仿宋_GB2312"/>
          <w:color w:val="auto"/>
          <w:sz w:val="32"/>
          <w:szCs w:val="32"/>
          <w:lang w:val="en-US" w:eastAsia="zh-CN" w:bidi="ar"/>
        </w:rPr>
        <w:t>7</w:t>
      </w:r>
      <w:r>
        <w:rPr>
          <w:rFonts w:ascii="仿宋_GB2312" w:hAnsi="Calibri" w:eastAsia="仿宋_GB2312" w:cs="仿宋_GB2312"/>
          <w:color w:val="auto"/>
          <w:sz w:val="32"/>
          <w:szCs w:val="32"/>
          <w:lang w:bidi="ar"/>
        </w:rPr>
        <w:t>个</w:t>
      </w:r>
      <w:r>
        <w:rPr>
          <w:rFonts w:hint="eastAsia" w:ascii="仿宋_GB2312" w:hAnsi="Calibri" w:eastAsia="仿宋_GB2312" w:cs="仿宋_GB2312"/>
          <w:color w:val="auto"/>
          <w:sz w:val="32"/>
          <w:szCs w:val="32"/>
          <w:lang w:eastAsia="zh-CN" w:bidi="ar"/>
        </w:rPr>
        <w:t>，</w:t>
      </w:r>
      <w:r>
        <w:rPr>
          <w:rFonts w:hint="eastAsia" w:ascii="仿宋_GB2312" w:hAnsi="Calibri" w:eastAsia="仿宋_GB2312" w:cs="仿宋_GB2312"/>
          <w:color w:val="auto"/>
          <w:sz w:val="32"/>
          <w:szCs w:val="32"/>
          <w:lang w:val="en-US" w:eastAsia="zh-CN" w:bidi="ar"/>
        </w:rPr>
        <w:t>分别为</w:t>
      </w:r>
      <w:r>
        <w:rPr>
          <w:rFonts w:ascii="仿宋_GB2312" w:hAnsi="Calibri" w:eastAsia="仿宋_GB2312" w:cs="仿宋_GB2312"/>
          <w:color w:val="auto"/>
          <w:sz w:val="32"/>
          <w:szCs w:val="32"/>
          <w:lang w:bidi="ar"/>
        </w:rPr>
        <w:t>采煤</w:t>
      </w:r>
      <w:r>
        <w:rPr>
          <w:rFonts w:hint="eastAsia" w:ascii="仿宋_GB2312" w:hAnsi="Calibri" w:eastAsia="仿宋_GB2312" w:cs="仿宋_GB2312"/>
          <w:color w:val="auto"/>
          <w:sz w:val="32"/>
          <w:szCs w:val="32"/>
          <w:lang w:val="en-US" w:eastAsia="zh-CN" w:bidi="ar"/>
        </w:rPr>
        <w:t>工</w:t>
      </w:r>
      <w:r>
        <w:rPr>
          <w:rFonts w:ascii="仿宋_GB2312" w:hAnsi="Calibri" w:eastAsia="仿宋_GB2312" w:cs="仿宋_GB2312"/>
          <w:color w:val="auto"/>
          <w:sz w:val="32"/>
          <w:szCs w:val="32"/>
          <w:lang w:bidi="ar"/>
        </w:rPr>
        <w:t>区、掘进</w:t>
      </w:r>
      <w:r>
        <w:rPr>
          <w:rFonts w:hint="eastAsia" w:ascii="仿宋_GB2312" w:hAnsi="Calibri" w:eastAsia="仿宋_GB2312" w:cs="仿宋_GB2312"/>
          <w:color w:val="auto"/>
          <w:sz w:val="32"/>
          <w:szCs w:val="32"/>
          <w:lang w:val="en-US" w:eastAsia="zh-CN" w:bidi="ar"/>
        </w:rPr>
        <w:t>一工</w:t>
      </w:r>
      <w:r>
        <w:rPr>
          <w:rFonts w:ascii="仿宋_GB2312" w:hAnsi="Calibri" w:eastAsia="仿宋_GB2312" w:cs="仿宋_GB2312"/>
          <w:color w:val="auto"/>
          <w:sz w:val="32"/>
          <w:szCs w:val="32"/>
          <w:lang w:bidi="ar"/>
        </w:rPr>
        <w:t>区、掘进</w:t>
      </w:r>
      <w:r>
        <w:rPr>
          <w:rFonts w:hint="eastAsia" w:ascii="仿宋_GB2312" w:hAnsi="Calibri" w:eastAsia="仿宋_GB2312" w:cs="仿宋_GB2312"/>
          <w:color w:val="auto"/>
          <w:sz w:val="32"/>
          <w:szCs w:val="32"/>
          <w:lang w:val="en-US" w:eastAsia="zh-CN" w:bidi="ar"/>
        </w:rPr>
        <w:t>二工</w:t>
      </w:r>
      <w:r>
        <w:rPr>
          <w:rFonts w:ascii="仿宋_GB2312" w:hAnsi="Calibri" w:eastAsia="仿宋_GB2312" w:cs="仿宋_GB2312"/>
          <w:color w:val="auto"/>
          <w:sz w:val="32"/>
          <w:szCs w:val="32"/>
          <w:lang w:bidi="ar"/>
        </w:rPr>
        <w:t>区、机</w:t>
      </w:r>
      <w:r>
        <w:rPr>
          <w:rFonts w:hint="eastAsia" w:ascii="仿宋_GB2312" w:hAnsi="Calibri" w:eastAsia="仿宋_GB2312" w:cs="仿宋_GB2312"/>
          <w:color w:val="auto"/>
          <w:sz w:val="32"/>
          <w:szCs w:val="32"/>
          <w:lang w:val="en-US" w:eastAsia="zh-CN" w:bidi="ar"/>
        </w:rPr>
        <w:t>运</w:t>
      </w:r>
      <w:r>
        <w:rPr>
          <w:rFonts w:ascii="仿宋_GB2312" w:hAnsi="Calibri" w:eastAsia="仿宋_GB2312" w:cs="仿宋_GB2312"/>
          <w:color w:val="auto"/>
          <w:sz w:val="32"/>
          <w:szCs w:val="32"/>
          <w:lang w:bidi="ar"/>
        </w:rPr>
        <w:t>工区、通防工区、</w:t>
      </w:r>
      <w:r>
        <w:rPr>
          <w:rFonts w:hint="eastAsia" w:ascii="仿宋_GB2312" w:hAnsi="Calibri" w:eastAsia="仿宋_GB2312" w:cs="仿宋_GB2312"/>
          <w:color w:val="auto"/>
          <w:sz w:val="32"/>
          <w:szCs w:val="32"/>
          <w:lang w:val="en-US" w:eastAsia="zh-CN" w:bidi="ar"/>
        </w:rPr>
        <w:t>机修工区、洗煤厂、钻探</w:t>
      </w:r>
      <w:r>
        <w:rPr>
          <w:rFonts w:ascii="仿宋_GB2312" w:hAnsi="Calibri" w:eastAsia="仿宋_GB2312" w:cs="仿宋_GB2312"/>
          <w:color w:val="auto"/>
          <w:sz w:val="32"/>
          <w:szCs w:val="32"/>
          <w:lang w:bidi="ar"/>
        </w:rPr>
        <w:t>工区。</w:t>
      </w:r>
    </w:p>
    <w:p w14:paraId="524333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黑体" w:hAnsi="黑体" w:eastAsia="黑体" w:cs="黑体"/>
          <w:color w:val="auto"/>
          <w:spacing w:val="0"/>
          <w:positio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pacing w:val="0"/>
          <w:position w:val="0"/>
          <w:sz w:val="32"/>
          <w:szCs w:val="32"/>
          <w:highlight w:val="none"/>
          <w:lang w:val="en-US" w:eastAsia="zh-CN"/>
        </w:rPr>
        <w:t>三、</w:t>
      </w:r>
      <w:r>
        <w:rPr>
          <w:rFonts w:hint="eastAsia" w:ascii="黑体" w:hAnsi="黑体" w:eastAsia="黑体" w:cs="黑体"/>
          <w:color w:val="auto"/>
          <w:spacing w:val="0"/>
          <w:position w:val="0"/>
          <w:sz w:val="32"/>
          <w:szCs w:val="32"/>
          <w:highlight w:val="none"/>
        </w:rPr>
        <w:t>主要会计数据和财务指标：</w:t>
      </w:r>
    </w:p>
    <w:p w14:paraId="16B3194B">
      <w:pPr>
        <w:adjustRightInd w:val="0"/>
        <w:spacing w:line="560" w:lineRule="exact"/>
        <w:ind w:firstLine="640" w:firstLineChars="200"/>
        <w:textAlignment w:val="baseline"/>
        <w:rPr>
          <w:rFonts w:ascii="仿宋_GB2312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1.营业收入：</w:t>
      </w:r>
      <w:r>
        <w:rPr>
          <w:rFonts w:hint="eastAsia" w:ascii="仿宋_GB2312" w:eastAsia="仿宋_GB2312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eastAsia="仿宋_GB2312" w:cs="Times New Roman"/>
          <w:sz w:val="32"/>
          <w:szCs w:val="32"/>
          <w:highlight w:val="none"/>
        </w:rPr>
        <w:t>.15亿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元。</w:t>
      </w:r>
    </w:p>
    <w:p w14:paraId="70A94E97">
      <w:pPr>
        <w:adjustRightInd w:val="0"/>
        <w:spacing w:line="560" w:lineRule="exact"/>
        <w:ind w:firstLine="640" w:firstLineChars="200"/>
        <w:textAlignment w:val="baseline"/>
        <w:rPr>
          <w:rFonts w:ascii="仿宋_GB2312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2.利润总额：</w:t>
      </w:r>
      <w:r>
        <w:rPr>
          <w:rFonts w:hint="eastAsia" w:ascii="仿宋_GB2312" w:eastAsia="仿宋_GB2312" w:cs="Times New Roman"/>
          <w:sz w:val="32"/>
          <w:szCs w:val="32"/>
          <w:highlight w:val="none"/>
        </w:rPr>
        <w:t>-</w:t>
      </w:r>
      <w:r>
        <w:rPr>
          <w:rFonts w:hint="eastAsia" w:ascii="仿宋_GB2312" w:eastAsia="仿宋_GB2312" w:cs="Times New Roman"/>
          <w:sz w:val="32"/>
          <w:szCs w:val="32"/>
          <w:highlight w:val="none"/>
          <w:lang w:val="en-US" w:eastAsia="zh-CN"/>
        </w:rPr>
        <w:t>0.50</w:t>
      </w:r>
      <w:r>
        <w:rPr>
          <w:rFonts w:hint="eastAsia" w:ascii="仿宋_GB2312" w:eastAsia="仿宋_GB2312" w:cs="Times New Roman"/>
          <w:sz w:val="32"/>
          <w:szCs w:val="32"/>
          <w:highlight w:val="none"/>
        </w:rPr>
        <w:t>亿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</w:rPr>
        <w:t>元。</w:t>
      </w:r>
    </w:p>
    <w:p w14:paraId="6EC0CA09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3.净利润：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  <w:lang w:bidi="ar"/>
        </w:rPr>
        <w:t>-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  <w:lang w:val="en-US" w:eastAsia="zh-CN" w:bidi="ar"/>
        </w:rPr>
        <w:t>0.50亿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  <w:lang w:bidi="ar"/>
        </w:rPr>
        <w:t>元。</w:t>
      </w:r>
    </w:p>
    <w:p w14:paraId="0DC20276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4.应交税费总额：0.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44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亿元。</w:t>
      </w:r>
    </w:p>
    <w:p w14:paraId="32F0DA99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5.资产总额：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7.28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亿元。</w:t>
      </w:r>
    </w:p>
    <w:p w14:paraId="592BAFE4"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6.负债总额：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8.16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亿元。</w:t>
      </w:r>
    </w:p>
    <w:p w14:paraId="0D963D5D">
      <w:pPr>
        <w:spacing w:line="560" w:lineRule="exact"/>
        <w:ind w:firstLine="640" w:firstLineChars="200"/>
        <w:rPr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7.所有者权益：-0.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88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亿元。</w:t>
      </w:r>
    </w:p>
    <w:p w14:paraId="7AA09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黑体" w:hAnsi="黑体" w:eastAsia="黑体" w:cs="黑体"/>
          <w:color w:val="auto"/>
          <w:spacing w:val="0"/>
          <w:positio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pacing w:val="0"/>
          <w:position w:val="0"/>
          <w:sz w:val="32"/>
          <w:szCs w:val="32"/>
          <w:highlight w:val="none"/>
          <w:lang w:val="en-US" w:eastAsia="zh-CN"/>
        </w:rPr>
        <w:t>四、</w:t>
      </w:r>
      <w:r>
        <w:rPr>
          <w:rFonts w:hint="eastAsia" w:ascii="黑体" w:hAnsi="黑体" w:eastAsia="黑体" w:cs="黑体"/>
          <w:color w:val="auto"/>
          <w:spacing w:val="0"/>
          <w:position w:val="0"/>
          <w:sz w:val="32"/>
          <w:szCs w:val="32"/>
          <w:highlight w:val="none"/>
        </w:rPr>
        <w:t>期内发生的重大事项及对企业的影响</w:t>
      </w:r>
    </w:p>
    <w:p w14:paraId="4D0F96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highlight w:val="none"/>
          <w:lang w:val="en-US" w:eastAsia="zh-CN"/>
        </w:rPr>
        <w:t>无</w:t>
      </w:r>
    </w:p>
    <w:p w14:paraId="7314E04E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3MjQ1MTg2NDg3ZmEzYjdkMzRjNDIxM2MxMWJiY2QifQ=="/>
  </w:docVars>
  <w:rsids>
    <w:rsidRoot w:val="00000000"/>
    <w:rsid w:val="01602B40"/>
    <w:rsid w:val="0FCF5635"/>
    <w:rsid w:val="100B77C9"/>
    <w:rsid w:val="176F4EEF"/>
    <w:rsid w:val="1B2D3D0A"/>
    <w:rsid w:val="1D574FD4"/>
    <w:rsid w:val="1E830638"/>
    <w:rsid w:val="23CC6ACF"/>
    <w:rsid w:val="2A4D4524"/>
    <w:rsid w:val="382B67B9"/>
    <w:rsid w:val="3C432323"/>
    <w:rsid w:val="4EA07BA7"/>
    <w:rsid w:val="4F3B1580"/>
    <w:rsid w:val="53394028"/>
    <w:rsid w:val="57585396"/>
    <w:rsid w:val="587972C4"/>
    <w:rsid w:val="59C56616"/>
    <w:rsid w:val="5B1645F9"/>
    <w:rsid w:val="6B9E04DD"/>
    <w:rsid w:val="77A17FD4"/>
    <w:rsid w:val="7E8E5100"/>
    <w:rsid w:val="7FB6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1218</Words>
  <Characters>1355</Characters>
  <Lines>0</Lines>
  <Paragraphs>0</Paragraphs>
  <TotalTime>2</TotalTime>
  <ScaleCrop>false</ScaleCrop>
  <LinksUpToDate>false</LinksUpToDate>
  <CharactersWithSpaces>1366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2026-08-20T08:20:00Z</dcterms:created>
  <dc:creator>zyf</dc:creator>
  <cp:lastModifiedBy>刘坤明</cp:lastModifiedBy>
  <dcterms:modified xsi:type="dcterms:W3CDTF">2026-09-02T11:48:27Z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D6428115376A4DCA9BE354A96E2331D7_13</vt:lpwstr>
  </property>
</Properties>
</file>