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296D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山东盟鲁采矿工程有限公司</w:t>
      </w:r>
    </w:p>
    <w:p w14:paraId="37620562"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报告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信息公开</w:t>
      </w:r>
    </w:p>
    <w:p w14:paraId="16AF83D0">
      <w:pPr>
        <w:spacing w:line="560" w:lineRule="exact"/>
        <w:ind w:firstLine="640" w:firstLineChars="200"/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</w:pPr>
    </w:p>
    <w:p w14:paraId="50EB0028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本公司董事会及全体董事保证本公告内容不存在任何虚假记载、误导性陈述或者重大遗漏，并对其内容的真实性、准确性和完整性承担个别及连带责任。</w:t>
      </w:r>
    </w:p>
    <w:p w14:paraId="7325231D">
      <w:pPr>
        <w:spacing w:before="312" w:beforeLines="100" w:after="312" w:afterLines="100" w:line="560" w:lineRule="exact"/>
        <w:jc w:val="center"/>
        <w:rPr>
          <w:rFonts w:ascii="黑体" w:hAnsi="黑体" w:eastAsia="黑体" w:cs="黑体"/>
          <w:color w:val="000000"/>
          <w:kern w:val="0"/>
          <w:sz w:val="31"/>
          <w:szCs w:val="31"/>
          <w:lang w:bidi="ar"/>
        </w:rPr>
      </w:pPr>
      <w:r>
        <w:rPr>
          <w:rFonts w:hint="eastAsia" w:ascii="黑体" w:hAnsi="黑体" w:eastAsia="黑体" w:cs="黑体"/>
          <w:szCs w:val="32"/>
        </w:rPr>
        <w:t>第一节公司基本情况</w:t>
      </w:r>
    </w:p>
    <w:p w14:paraId="36240314">
      <w:pPr>
        <w:widowControl/>
        <w:spacing w:line="56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Cs w:val="32"/>
          <w:lang w:bidi="ar"/>
        </w:rPr>
        <w:t>一、企业基本情况</w:t>
      </w:r>
    </w:p>
    <w:p w14:paraId="296CB9F5">
      <w:pPr>
        <w:spacing w:line="580" w:lineRule="exact"/>
        <w:ind w:firstLine="616" w:firstLineChars="200"/>
        <w:rPr>
          <w:rFonts w:hAnsi="仿宋" w:cs="宋体"/>
          <w:color w:val="000000"/>
          <w:spacing w:val="-6"/>
          <w:kern w:val="0"/>
          <w:szCs w:val="32"/>
        </w:rPr>
      </w:pPr>
      <w:r>
        <w:rPr>
          <w:rFonts w:hint="eastAsia" w:hAnsi="仿宋" w:cs="宋体"/>
          <w:color w:val="000000"/>
          <w:spacing w:val="-6"/>
          <w:kern w:val="0"/>
          <w:szCs w:val="32"/>
        </w:rPr>
        <w:t>1.中文名称：山东盟鲁采矿工程有限公司</w:t>
      </w:r>
    </w:p>
    <w:p w14:paraId="75464EBA">
      <w:pPr>
        <w:spacing w:line="580" w:lineRule="exact"/>
        <w:ind w:firstLine="1540" w:firstLineChars="500"/>
        <w:rPr>
          <w:rFonts w:hAnsi="仿宋" w:cs="宋体"/>
          <w:color w:val="000000"/>
          <w:spacing w:val="-6"/>
          <w:kern w:val="0"/>
          <w:szCs w:val="32"/>
        </w:rPr>
      </w:pPr>
      <w:r>
        <w:rPr>
          <w:rFonts w:hint="eastAsia" w:hAnsi="仿宋" w:cs="宋体"/>
          <w:color w:val="000000"/>
          <w:spacing w:val="-6"/>
          <w:kern w:val="0"/>
          <w:szCs w:val="32"/>
        </w:rPr>
        <w:t>简称：盟鲁公司</w:t>
      </w:r>
    </w:p>
    <w:p w14:paraId="41604871">
      <w:pPr>
        <w:spacing w:line="580" w:lineRule="exact"/>
        <w:ind w:firstLine="640" w:firstLineChars="200"/>
        <w:rPr>
          <w:rStyle w:val="11"/>
          <w:b w:val="0"/>
          <w:color w:val="000000"/>
          <w:szCs w:val="32"/>
          <w:shd w:val="clear" w:color="auto" w:fill="FFFFFF"/>
        </w:rPr>
      </w:pPr>
      <w:r>
        <w:rPr>
          <w:rFonts w:hint="eastAsia" w:hAnsi="仿宋" w:cs="宋体"/>
          <w:color w:val="000000"/>
          <w:kern w:val="0"/>
          <w:szCs w:val="32"/>
        </w:rPr>
        <w:t>2.外文名称：</w:t>
      </w:r>
      <w:r>
        <w:rPr>
          <w:rStyle w:val="11"/>
          <w:rFonts w:hint="eastAsia"/>
          <w:b w:val="0"/>
          <w:color w:val="000000"/>
          <w:szCs w:val="32"/>
          <w:shd w:val="clear" w:color="auto" w:fill="FFFFFF"/>
        </w:rPr>
        <w:t>ShandongMengluMiningEngineeringCo.,Ltd.</w:t>
      </w:r>
    </w:p>
    <w:p w14:paraId="4B2DB63E">
      <w:pPr>
        <w:spacing w:line="580" w:lineRule="exact"/>
        <w:ind w:firstLine="640" w:firstLineChars="200"/>
        <w:rPr>
          <w:rFonts w:hAnsi="仿宋" w:cs="宋体"/>
          <w:color w:val="000000"/>
          <w:kern w:val="0"/>
          <w:szCs w:val="32"/>
        </w:rPr>
      </w:pPr>
      <w:r>
        <w:rPr>
          <w:rFonts w:hint="eastAsia" w:hAnsi="仿宋" w:cs="宋体"/>
          <w:color w:val="000000"/>
          <w:kern w:val="0"/>
          <w:szCs w:val="32"/>
        </w:rPr>
        <w:t>3.法定代表人：牛永明</w:t>
      </w:r>
    </w:p>
    <w:p w14:paraId="5E1E5DD3">
      <w:pPr>
        <w:spacing w:line="580" w:lineRule="exact"/>
        <w:ind w:firstLine="640" w:firstLineChars="200"/>
        <w:rPr>
          <w:rFonts w:hAnsi="仿宋" w:cs="宋体"/>
          <w:color w:val="000000"/>
          <w:kern w:val="0"/>
          <w:szCs w:val="32"/>
        </w:rPr>
      </w:pPr>
      <w:r>
        <w:rPr>
          <w:rFonts w:hint="eastAsia" w:hAnsi="仿宋" w:cs="宋体"/>
          <w:color w:val="000000"/>
          <w:kern w:val="0"/>
          <w:szCs w:val="32"/>
        </w:rPr>
        <w:t>4.注册地址：济宁高新区王因镇驻地</w:t>
      </w:r>
    </w:p>
    <w:p w14:paraId="357B0DC1">
      <w:pPr>
        <w:spacing w:line="560" w:lineRule="exact"/>
        <w:ind w:firstLine="640" w:firstLineChars="200"/>
        <w:rPr>
          <w:rFonts w:hAnsi="宋体"/>
          <w:color w:val="000000"/>
          <w:kern w:val="0"/>
          <w:szCs w:val="32"/>
        </w:rPr>
      </w:pPr>
      <w:r>
        <w:rPr>
          <w:rFonts w:hint="eastAsia" w:hAnsi="仿宋" w:cs="宋体"/>
          <w:color w:val="000000"/>
          <w:kern w:val="0"/>
          <w:szCs w:val="32"/>
        </w:rPr>
        <w:t>5.</w:t>
      </w:r>
      <w:r>
        <w:rPr>
          <w:rFonts w:hint="eastAsia" w:hAnsi="宋体"/>
          <w:color w:val="000000"/>
          <w:kern w:val="0"/>
          <w:szCs w:val="32"/>
        </w:rPr>
        <w:t>公司经营范围：一般项目:煤炭洗选；橡胶制品制造；金属丝绳及其制品制造;物料搬运装备制造;通用设备制造(不含特种设备制造)；矿山机械制造;金属制品修理;通用设备修理；专用设备修理；电气设备修理；环境保护专用设备制造；环境保护专用设备销售；煤炭及制品销售；矿山机械销售;润滑油销售;机械电气设备销售；机械设备租赁；金属</w:t>
      </w:r>
      <w:r>
        <w:rPr>
          <w:rFonts w:hint="eastAsia" w:hAnsi="宋体"/>
          <w:color w:val="000000"/>
          <w:kern w:val="0"/>
          <w:szCs w:val="32"/>
          <w:lang w:val="en-US" w:eastAsia="zh-CN"/>
        </w:rPr>
        <w:t>材</w:t>
      </w:r>
      <w:r>
        <w:rPr>
          <w:rFonts w:hint="eastAsia" w:hAnsi="宋体"/>
          <w:color w:val="000000"/>
          <w:kern w:val="0"/>
          <w:szCs w:val="32"/>
        </w:rPr>
        <w:t>料制造；金属材料销售；非居住房地产租赁；土地使用权租赁</w:t>
      </w:r>
      <w:r>
        <w:rPr>
          <w:rFonts w:hint="eastAsia" w:hAnsi="宋体"/>
          <w:color w:val="000000"/>
          <w:kern w:val="0"/>
          <w:szCs w:val="32"/>
          <w:lang w:eastAsia="zh-CN"/>
        </w:rPr>
        <w:t>；</w:t>
      </w:r>
      <w:r>
        <w:rPr>
          <w:rFonts w:hint="eastAsia" w:hAnsi="宋体"/>
          <w:color w:val="000000"/>
          <w:kern w:val="0"/>
          <w:szCs w:val="32"/>
        </w:rPr>
        <w:t>轴承钢材产品生产，钢压延加工；金属切削加工服务；轴承销售；化工产品销售(不含许可类化工产品)；合成材料制造(不含危险化学品)；金属丝绳及其制品销售；成品油仓储(不含危险化学品)；劳务服务(不含劳务派遣)；国内货物运输代理；普通机械设备安装服务;工程管理服务；工程技术服务(规划管理、勘察、设计、监理除外)；计量技术服务；网络技术服务；5G通信技术服务；信息咨询服务(不含许可类</w:t>
      </w:r>
      <w:r>
        <w:rPr>
          <w:rFonts w:hint="eastAsia" w:hAnsi="宋体"/>
          <w:color w:val="000000"/>
          <w:kern w:val="0"/>
          <w:szCs w:val="32"/>
          <w:lang w:val="en-US" w:eastAsia="zh-CN"/>
        </w:rPr>
        <w:t>信</w:t>
      </w:r>
      <w:r>
        <w:rPr>
          <w:rFonts w:hint="eastAsia" w:hAnsi="宋体"/>
          <w:color w:val="000000"/>
          <w:kern w:val="0"/>
          <w:szCs w:val="32"/>
        </w:rPr>
        <w:t>息咨询服务)；信息技术咨询服务；人力资源服务(不含职业中介活动、劳务派遣服务)；机械电气设备制造。(除依法须经批准的项目外，凭营业执照依法自主开展经营活动)</w:t>
      </w:r>
    </w:p>
    <w:p w14:paraId="02E223DC">
      <w:pPr>
        <w:spacing w:line="560" w:lineRule="exact"/>
        <w:ind w:firstLine="640" w:firstLineChars="200"/>
        <w:rPr>
          <w:rFonts w:hAnsi="宋体"/>
          <w:color w:val="000000"/>
          <w:kern w:val="0"/>
          <w:szCs w:val="32"/>
        </w:rPr>
      </w:pPr>
      <w:r>
        <w:rPr>
          <w:rFonts w:hint="eastAsia" w:hAnsi="宋体"/>
          <w:color w:val="000000"/>
          <w:kern w:val="0"/>
          <w:szCs w:val="32"/>
        </w:rPr>
        <w:t>许可项目：建设工程施工;劳务派遣服务;检验</w:t>
      </w:r>
      <w:r>
        <w:rPr>
          <w:rFonts w:hint="eastAsia" w:hAnsi="宋体"/>
          <w:color w:val="000000"/>
          <w:kern w:val="0"/>
          <w:szCs w:val="32"/>
          <w:lang w:val="en-US" w:eastAsia="zh-CN"/>
        </w:rPr>
        <w:t>检</w:t>
      </w:r>
      <w:r>
        <w:rPr>
          <w:rFonts w:hint="eastAsia" w:hAnsi="宋体"/>
          <w:color w:val="000000"/>
          <w:kern w:val="0"/>
          <w:szCs w:val="32"/>
        </w:rPr>
        <w:t>测服务；建设工程质量检测。(依法须经批准的项目，经相关部门批准后方可开展经营活动，具体经营项目以相关部门批准文件或许可证件为准)</w:t>
      </w:r>
    </w:p>
    <w:p w14:paraId="585165CF">
      <w:pPr>
        <w:spacing w:line="560" w:lineRule="exact"/>
        <w:ind w:firstLine="640" w:firstLineChars="200"/>
        <w:jc w:val="left"/>
        <w:rPr>
          <w:rFonts w:hAnsi="仿宋" w:cs="宋体"/>
          <w:color w:val="000000"/>
          <w:kern w:val="0"/>
          <w:szCs w:val="32"/>
        </w:rPr>
      </w:pPr>
      <w:r>
        <w:rPr>
          <w:rFonts w:hint="eastAsia" w:hAnsi="仿宋" w:cs="宋体"/>
          <w:color w:val="000000"/>
          <w:kern w:val="0"/>
          <w:szCs w:val="32"/>
        </w:rPr>
        <w:t>6.办公地址：山东省济宁市高新区泰山路北首；邮政编码：</w:t>
      </w:r>
      <w:r>
        <w:rPr>
          <w:color w:val="000000"/>
        </w:rPr>
        <w:t>272103</w:t>
      </w:r>
    </w:p>
    <w:p w14:paraId="40758A67">
      <w:pPr>
        <w:spacing w:line="560" w:lineRule="exact"/>
        <w:ind w:firstLine="640" w:firstLineChars="200"/>
        <w:jc w:val="left"/>
        <w:rPr>
          <w:color w:val="000000"/>
        </w:rPr>
      </w:pPr>
      <w:r>
        <w:rPr>
          <w:rFonts w:hint="eastAsia" w:hAnsi="仿宋" w:cs="宋体"/>
          <w:color w:val="000000"/>
          <w:kern w:val="0"/>
          <w:szCs w:val="32"/>
        </w:rPr>
        <w:t>7.电子信箱:</w:t>
      </w:r>
      <w:r>
        <w:rPr>
          <w:color w:val="000000"/>
        </w:rPr>
        <w:t>sdmlgsbgs@126.com</w:t>
      </w:r>
    </w:p>
    <w:p w14:paraId="6C5C4B50">
      <w:pPr>
        <w:snapToGrid w:val="0"/>
        <w:spacing w:line="560" w:lineRule="exact"/>
        <w:ind w:firstLine="643" w:firstLineChars="200"/>
        <w:outlineLvl w:val="1"/>
        <w:rPr>
          <w:rFonts w:ascii="楷体_GB2312" w:hAnsi="楷体_GB2312" w:eastAsia="楷体_GB2312" w:cs="楷体_GB2312"/>
          <w:b/>
          <w:bCs/>
          <w:color w:val="000000"/>
          <w:kern w:val="0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Cs w:val="32"/>
        </w:rPr>
        <w:t>二、企业简介</w:t>
      </w:r>
    </w:p>
    <w:p w14:paraId="27B85757">
      <w:pPr>
        <w:pStyle w:val="7"/>
        <w:widowControl/>
        <w:spacing w:beforeAutospacing="0" w:afterAutospacing="0" w:line="560" w:lineRule="exact"/>
        <w:ind w:firstLine="640" w:firstLineChars="200"/>
        <w:rPr>
          <w:rFonts w:hAnsi="宋体" w:cs="仿宋_GB2312"/>
          <w:color w:val="000000"/>
          <w:sz w:val="31"/>
          <w:szCs w:val="31"/>
          <w:lang w:bidi="ar"/>
        </w:rPr>
      </w:pPr>
      <w:r>
        <w:rPr>
          <w:rFonts w:hint="eastAsia" w:cs="仿宋_GB2312"/>
          <w:color w:val="000000"/>
          <w:sz w:val="32"/>
          <w:szCs w:val="32"/>
        </w:rPr>
        <w:t>山东盟鲁采矿工程有限公司（简称“盟鲁公司”），2016年注册成立，注册资本5000万元，坐落于山东省济宁市高新技术开发区。</w:t>
      </w:r>
      <w:r>
        <w:rPr>
          <w:rFonts w:cs="仿宋_GB2312"/>
          <w:color w:val="000000"/>
          <w:sz w:val="32"/>
          <w:szCs w:val="32"/>
        </w:rPr>
        <w:t>拥有矿山工程施工总承包贰级、建筑工程施工总承包贰级两项总承包贰级资质，以及建筑机电安装工程专业承包贰级、防水防腐保温工程专业承包贰级、建筑装修装饰工程专业承包贰级三项专业承包贰级资质。公司先后荣获“高新技术企业”“山东省专精特新企业”“山东省瞪羚企业”、国家级专精特新“小巨人”企业、“全国产品和服务质量诚信承诺企业”等称号。</w:t>
      </w:r>
    </w:p>
    <w:p w14:paraId="76F3309A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bCs/>
          <w:szCs w:val="32"/>
          <w:shd w:val="clear" w:color="auto" w:fill="FFFFFF"/>
        </w:rPr>
        <w:t>三、公司治理及管理架构</w:t>
      </w:r>
    </w:p>
    <w:p w14:paraId="77BE64D7">
      <w:pPr>
        <w:spacing w:line="560" w:lineRule="exact"/>
        <w:ind w:firstLine="640" w:firstLineChars="200"/>
        <w:rPr>
          <w:szCs w:val="32"/>
          <w:shd w:val="clear" w:color="auto" w:fill="FFFFFF"/>
        </w:rPr>
      </w:pPr>
      <w:r>
        <w:rPr>
          <w:rFonts w:hint="eastAsia"/>
          <w:szCs w:val="32"/>
          <w:shd w:val="clear" w:color="auto" w:fill="FFFFFF"/>
        </w:rPr>
        <w:t>公司严格按照现代企业制度要求，建立了规范的法人治理结构，形成了股东、董事会和经理层之间权责分明、相互制衡、协调运转的治理机制。</w:t>
      </w:r>
    </w:p>
    <w:p w14:paraId="7AFA11E2">
      <w:pPr>
        <w:spacing w:line="560" w:lineRule="exact"/>
        <w:ind w:firstLine="640" w:firstLineChars="200"/>
        <w:rPr>
          <w:szCs w:val="32"/>
          <w:shd w:val="clear" w:color="auto" w:fill="FFFFFF"/>
        </w:rPr>
      </w:pPr>
      <w:r>
        <w:rPr>
          <w:rFonts w:hint="eastAsia"/>
          <w:szCs w:val="32"/>
          <w:shd w:val="clear" w:color="auto" w:fill="FFFFFF"/>
        </w:rPr>
        <w:t>1.公司股东为</w:t>
      </w:r>
      <w:r>
        <w:rPr>
          <w:rFonts w:hint="eastAsia" w:ascii="Times New Roman" w:hAnsi="Times New Roman" w:cs="Times New Roman"/>
          <w:szCs w:val="32"/>
        </w:rPr>
        <w:t>山东能源集团鲁西矿业有限公司</w:t>
      </w:r>
      <w:r>
        <w:rPr>
          <w:rFonts w:hint="eastAsia"/>
          <w:szCs w:val="32"/>
          <w:shd w:val="clear" w:color="auto" w:fill="FFFFFF"/>
        </w:rPr>
        <w:t>，持股比例100.00%。</w:t>
      </w:r>
    </w:p>
    <w:p w14:paraId="4098D958">
      <w:pPr>
        <w:spacing w:line="560" w:lineRule="exact"/>
        <w:ind w:firstLine="640" w:firstLineChars="200"/>
        <w:rPr>
          <w:szCs w:val="32"/>
          <w:shd w:val="clear" w:color="auto" w:fill="FFFFFF"/>
        </w:rPr>
      </w:pPr>
      <w:r>
        <w:rPr>
          <w:rFonts w:hint="eastAsia"/>
          <w:szCs w:val="32"/>
        </w:rPr>
        <w:t>2.公司</w:t>
      </w:r>
      <w:r>
        <w:rPr>
          <w:rFonts w:hint="eastAsia"/>
          <w:szCs w:val="32"/>
          <w:shd w:val="clear" w:color="auto" w:fill="FFFFFF"/>
        </w:rPr>
        <w:t>董事会是公司的决策机构，由5名董事组成。</w:t>
      </w:r>
    </w:p>
    <w:p w14:paraId="44E2DEFA">
      <w:pPr>
        <w:spacing w:line="560" w:lineRule="exact"/>
        <w:ind w:firstLine="640" w:firstLineChars="200"/>
        <w:rPr>
          <w:rFonts w:hint="eastAsia"/>
          <w:szCs w:val="32"/>
          <w:shd w:val="clear" w:color="auto" w:fill="FFFFFF"/>
        </w:rPr>
      </w:pPr>
      <w:r>
        <w:rPr>
          <w:rFonts w:hint="eastAsia"/>
          <w:szCs w:val="32"/>
          <w:shd w:val="clear" w:color="auto" w:fill="FFFFFF"/>
        </w:rPr>
        <w:t>3.公司经理层在董事会的领导下，负责公司的日常经营管理工作，由1名总经理、7名副总经理、1名安全总监组成。</w:t>
      </w:r>
    </w:p>
    <w:p w14:paraId="291793CB">
      <w:pPr>
        <w:spacing w:line="560" w:lineRule="exact"/>
        <w:ind w:firstLine="640" w:firstLineChars="200"/>
        <w:rPr>
          <w:rFonts w:hint="eastAsia"/>
          <w:szCs w:val="32"/>
          <w:shd w:val="clear" w:color="auto" w:fill="FFFFFF"/>
        </w:rPr>
      </w:pPr>
      <w:r>
        <w:rPr>
          <w:rFonts w:hint="eastAsia"/>
          <w:szCs w:val="32"/>
          <w:shd w:val="clear" w:color="auto" w:fill="FFFFFF"/>
        </w:rPr>
        <w:t>4.公司设有机关科室9个，分别为综合办公室（党委办公室、董事会办公室、总经理办公室、督察办公室）、党委组织部（人力资源部）、党群工作部（党委宣传部、党委统战部、信访、工会、团委）、纪委、财务管理部、运营管理部、调度室、生产技术部、安全监察部（生态环保部）；业务中心2个，分别为综合服务中心、销售服务中心；项目部6个，其中：工作面安撤专业化队伍4支（安撤一部、二部、三部、五部），以及钻探专业化队伍2支；地面事业部3个（支护产品事业部、辅助智造事业部、设备维修事业部）。</w:t>
      </w:r>
    </w:p>
    <w:p w14:paraId="0D51FA19">
      <w:pPr>
        <w:widowControl/>
        <w:spacing w:line="560" w:lineRule="exact"/>
        <w:ind w:firstLine="643" w:firstLineChars="200"/>
        <w:jc w:val="left"/>
        <w:rPr>
          <w:rFonts w:ascii="黑体" w:hAnsi="黑体" w:eastAsia="黑体" w:cs="黑体"/>
          <w:color w:val="000000"/>
          <w:kern w:val="0"/>
          <w:szCs w:val="32"/>
          <w:highlight w:val="none"/>
          <w:lang w:bidi="ar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Cs w:val="32"/>
          <w:highlight w:val="none"/>
          <w:lang w:val="en-US" w:eastAsia="zh-CN" w:bidi="ar"/>
        </w:rPr>
        <w:t>四、2025年度</w:t>
      </w: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Cs w:val="32"/>
          <w:highlight w:val="none"/>
          <w:lang w:bidi="ar"/>
        </w:rPr>
        <w:t>主要会计数据和财务指标</w:t>
      </w:r>
    </w:p>
    <w:p w14:paraId="56232D1C">
      <w:pPr>
        <w:widowControl/>
        <w:spacing w:line="560" w:lineRule="exact"/>
        <w:ind w:firstLine="620" w:firstLineChars="200"/>
        <w:jc w:val="left"/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营业收入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eastAsia="zh-CN" w:bidi="ar"/>
        </w:rPr>
        <w:t>：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45444万元（其中主营业收入44767万元）</w:t>
      </w:r>
    </w:p>
    <w:p w14:paraId="2D8F7C3E">
      <w:pPr>
        <w:widowControl/>
        <w:spacing w:line="560" w:lineRule="exact"/>
        <w:ind w:firstLine="620" w:firstLineChars="200"/>
        <w:jc w:val="left"/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利润总额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eastAsia="zh-CN" w:bidi="ar"/>
        </w:rPr>
        <w:t>：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4400万元</w:t>
      </w:r>
    </w:p>
    <w:p w14:paraId="70FB58FB">
      <w:pPr>
        <w:widowControl/>
        <w:spacing w:line="560" w:lineRule="exact"/>
        <w:ind w:firstLine="620" w:firstLineChars="200"/>
        <w:jc w:val="left"/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净利润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eastAsia="zh-CN" w:bidi="ar"/>
        </w:rPr>
        <w:t>：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4003万元</w:t>
      </w:r>
    </w:p>
    <w:p w14:paraId="10CDC557">
      <w:pPr>
        <w:widowControl/>
        <w:spacing w:line="560" w:lineRule="exact"/>
        <w:ind w:firstLine="620" w:firstLineChars="200"/>
        <w:jc w:val="left"/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应交税费总额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eastAsia="zh-CN" w:bidi="ar"/>
        </w:rPr>
        <w:t>：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3436万元</w:t>
      </w:r>
    </w:p>
    <w:p w14:paraId="51140269">
      <w:pPr>
        <w:widowControl/>
        <w:spacing w:line="560" w:lineRule="exact"/>
        <w:ind w:firstLine="620" w:firstLineChars="200"/>
        <w:jc w:val="left"/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资产总额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eastAsia="zh-CN" w:bidi="ar"/>
        </w:rPr>
        <w:t>：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42329万元</w:t>
      </w:r>
    </w:p>
    <w:p w14:paraId="51BF3B0F">
      <w:pPr>
        <w:widowControl/>
        <w:spacing w:line="560" w:lineRule="exact"/>
        <w:ind w:firstLine="620" w:firstLineChars="200"/>
        <w:jc w:val="left"/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负债总额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eastAsia="zh-CN" w:bidi="ar"/>
        </w:rPr>
        <w:t>：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16740万元</w:t>
      </w:r>
    </w:p>
    <w:p w14:paraId="457220D4">
      <w:pPr>
        <w:widowControl/>
        <w:spacing w:line="560" w:lineRule="exact"/>
        <w:ind w:firstLine="620" w:firstLineChars="200"/>
        <w:jc w:val="left"/>
        <w:rPr>
          <w:rFonts w:hAnsi="宋体"/>
          <w:color w:val="000000"/>
          <w:kern w:val="0"/>
          <w:sz w:val="31"/>
          <w:szCs w:val="31"/>
          <w:highlight w:val="none"/>
          <w:lang w:bidi="ar"/>
        </w:rPr>
      </w:pP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所有者权益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eastAsia="zh-CN" w:bidi="ar"/>
        </w:rPr>
        <w:t>：</w:t>
      </w:r>
      <w:r>
        <w:rPr>
          <w:rFonts w:hint="eastAsia" w:hAnsi="宋体"/>
          <w:color w:val="000000"/>
          <w:kern w:val="0"/>
          <w:sz w:val="31"/>
          <w:szCs w:val="31"/>
          <w:highlight w:val="none"/>
          <w:lang w:bidi="ar"/>
        </w:rPr>
        <w:t>25589万元</w:t>
      </w:r>
    </w:p>
    <w:p w14:paraId="20794389">
      <w:pPr>
        <w:spacing w:before="312" w:beforeLines="100" w:after="312" w:afterLines="10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Cs w:val="32"/>
          <w:highlight w:val="none"/>
        </w:rPr>
        <w:t>第二节财务会计报告和审计报告摘要</w:t>
      </w:r>
    </w:p>
    <w:p w14:paraId="5CB702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一、财务会计报告</w:t>
      </w:r>
    </w:p>
    <w:p w14:paraId="475B1E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</w:pPr>
      <w:r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  <w:t>1.编制基础</w:t>
      </w:r>
    </w:p>
    <w:p w14:paraId="060C84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</w:pPr>
      <w:r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  <w:t>本公司财务报表以持续经营假设为基础，根据实际发生的交易和事项，按照财政部发布的《企业会计准则——基本准则》和各项具体会计准则、企业会计准则应用指南、企业会计准则解释及其他相关规定（以下合称“企业会计准则”）编制。</w:t>
      </w:r>
    </w:p>
    <w:p w14:paraId="2ADCAE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</w:pPr>
      <w:r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  <w:t>根据企业会计准则的相关规定，本公司会计核算以权责发生制为基础。除某些金融工具外，本财务报表均以历史成本为计量基础。资产如果发生减值，则按照相关规定计提相应的减值准备。</w:t>
      </w:r>
    </w:p>
    <w:p w14:paraId="66A1D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</w:pPr>
      <w:r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  <w:t>2.持续经营</w:t>
      </w:r>
    </w:p>
    <w:p w14:paraId="125681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</w:pPr>
      <w:r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  <w:t>本财务报表以持续经营为基础列报，本公司自报告期末起至少12个月具有持续经营能力。</w:t>
      </w:r>
    </w:p>
    <w:p w14:paraId="2A9601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left"/>
        <w:textAlignment w:val="auto"/>
        <w:rPr>
          <w:highlight w:val="none"/>
        </w:rPr>
      </w:pPr>
      <w:r>
        <w:rPr>
          <w:rFonts w:ascii="楷体_GB2312" w:hAnsi="楷体_GB2312" w:eastAsia="楷体_GB2312" w:cs="楷体_GB2312"/>
          <w:b/>
          <w:bCs/>
          <w:szCs w:val="32"/>
          <w:highlight w:val="none"/>
        </w:rPr>
        <w:t>二、审计报告的意见类型</w:t>
      </w:r>
    </w:p>
    <w:p w14:paraId="69DF47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  <w:lang w:bidi="ar"/>
        </w:rPr>
      </w:pPr>
      <w:r>
        <w:rPr>
          <w:rFonts w:hint="eastAsia" w:hAnsi="宋体"/>
          <w:snapToGrid w:val="0"/>
          <w:color w:val="000000"/>
          <w:kern w:val="0"/>
          <w:szCs w:val="32"/>
          <w:highlight w:val="none"/>
          <w:lang w:bidi="ar"/>
        </w:rPr>
        <w:t>新联谊会计师事务所（特殊普通合伙）济宁分所审计了山东盟鲁采矿工程有限公司财务报表，包括2025年12月31日的资产负债表，2025年度的利润表、现金流量表、所有者权益变动表以及相关财务报表附注。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认为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"/>
        </w:rPr>
        <w:t>盟鲁公司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财务报表在所有重大方面按照企业会计准则的规定编制，公允反映了公司2025年12月31日的财务状况以及2025年度的经营成果和现金流量。</w:t>
      </w:r>
    </w:p>
    <w:p w14:paraId="693F2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312" w:beforeLines="100" w:after="312" w:afterLines="100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Cs w:val="32"/>
          <w:highlight w:val="none"/>
        </w:rPr>
        <w:t>第三节  对外捐赠及重要事项</w:t>
      </w:r>
    </w:p>
    <w:p w14:paraId="2A5A26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ascii="楷体_GB2312" w:hAnsi="楷体_GB2312" w:eastAsia="楷体_GB2312" w:cs="楷体_GB2312"/>
          <w:szCs w:val="32"/>
          <w:highlight w:val="none"/>
        </w:rPr>
      </w:pPr>
      <w:r>
        <w:rPr>
          <w:rFonts w:hint="eastAsia"/>
          <w:szCs w:val="32"/>
          <w:highlight w:val="none"/>
        </w:rPr>
        <w:t>无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B5BEE5-3C62-4186-BBF3-6DE893C4EC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65A5720-EB6F-40BE-9EFF-0146DD3F10F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434A547-E346-417D-A66B-4F69C32A9F9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41EC97D-E1B0-4DBE-A7B9-3306ECE26FB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6CE2486-67FA-4420-9AB8-794A04ACED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jQ1MTg2NDg3ZmEzYjdkMzRjNDIxM2MxMWJiY2QifQ=="/>
  </w:docVars>
  <w:rsids>
    <w:rsidRoot w:val="003E6F23"/>
    <w:rsid w:val="003E6F23"/>
    <w:rsid w:val="00446C33"/>
    <w:rsid w:val="00686272"/>
    <w:rsid w:val="009626E1"/>
    <w:rsid w:val="00EB01CD"/>
    <w:rsid w:val="08596B99"/>
    <w:rsid w:val="095D0156"/>
    <w:rsid w:val="0D500D75"/>
    <w:rsid w:val="0DC36A25"/>
    <w:rsid w:val="0FFF1232"/>
    <w:rsid w:val="11BC055B"/>
    <w:rsid w:val="122411B2"/>
    <w:rsid w:val="12A52565"/>
    <w:rsid w:val="13486C15"/>
    <w:rsid w:val="154A2F50"/>
    <w:rsid w:val="156E10E0"/>
    <w:rsid w:val="19940C3D"/>
    <w:rsid w:val="1A290060"/>
    <w:rsid w:val="1CCA38B9"/>
    <w:rsid w:val="1D475157"/>
    <w:rsid w:val="1D5F222E"/>
    <w:rsid w:val="20036B1D"/>
    <w:rsid w:val="21A519E8"/>
    <w:rsid w:val="21D0516C"/>
    <w:rsid w:val="27335167"/>
    <w:rsid w:val="288A28A0"/>
    <w:rsid w:val="28B61412"/>
    <w:rsid w:val="2A2953D2"/>
    <w:rsid w:val="2BF55850"/>
    <w:rsid w:val="331D5E54"/>
    <w:rsid w:val="36050AA1"/>
    <w:rsid w:val="3FF4282C"/>
    <w:rsid w:val="3FFB70AB"/>
    <w:rsid w:val="40CD2B03"/>
    <w:rsid w:val="449B408D"/>
    <w:rsid w:val="45CF12AA"/>
    <w:rsid w:val="4A2233B7"/>
    <w:rsid w:val="4B5736F5"/>
    <w:rsid w:val="4C2F01CE"/>
    <w:rsid w:val="500E27F0"/>
    <w:rsid w:val="508B3790"/>
    <w:rsid w:val="50B213CE"/>
    <w:rsid w:val="54E307D3"/>
    <w:rsid w:val="56497633"/>
    <w:rsid w:val="56C54297"/>
    <w:rsid w:val="58615653"/>
    <w:rsid w:val="5A7B164E"/>
    <w:rsid w:val="60E81D2D"/>
    <w:rsid w:val="61A062DE"/>
    <w:rsid w:val="63AF3D1A"/>
    <w:rsid w:val="648E7F1A"/>
    <w:rsid w:val="66D47E98"/>
    <w:rsid w:val="67FF35A1"/>
    <w:rsid w:val="6A7B723E"/>
    <w:rsid w:val="6B0D5727"/>
    <w:rsid w:val="6B736031"/>
    <w:rsid w:val="6F1F4120"/>
    <w:rsid w:val="753040BB"/>
    <w:rsid w:val="75866801"/>
    <w:rsid w:val="7693567A"/>
    <w:rsid w:val="79C63670"/>
    <w:rsid w:val="79CA3E4A"/>
    <w:rsid w:val="7AC83418"/>
    <w:rsid w:val="7B9F2246"/>
    <w:rsid w:val="7E24193B"/>
    <w:rsid w:val="7ED1591C"/>
    <w:rsid w:val="7F68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60" w:lineRule="exact"/>
      <w:ind w:firstLine="880" w:firstLineChars="200"/>
      <w:outlineLvl w:val="0"/>
    </w:pPr>
    <w:rPr>
      <w:rFonts w:ascii="黑体" w:hAnsi="黑体" w:eastAsia="黑体" w:cs="黑体"/>
      <w:kern w:val="44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line="560" w:lineRule="exact"/>
      <w:ind w:firstLine="880" w:firstLineChars="200"/>
      <w:outlineLvl w:val="1"/>
    </w:pPr>
    <w:rPr>
      <w:rFonts w:ascii="楷体" w:hAnsi="楷体" w:eastAsia="楷体" w:cs="楷体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eastAsia="en-US"/>
    </w:r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51"/>
    <w:basedOn w:val="10"/>
    <w:qFormat/>
    <w:uiPriority w:val="0"/>
    <w:rPr>
      <w:rFonts w:hint="eastAsia" w:ascii="宋体" w:hAnsi="宋体" w:eastAsia="宋体" w:cs="宋体"/>
      <w:color w:val="103030"/>
      <w:sz w:val="18"/>
      <w:szCs w:val="18"/>
      <w:u w:val="none"/>
    </w:r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16">
    <w:name w:val="页眉 字符"/>
    <w:basedOn w:val="10"/>
    <w:link w:val="6"/>
    <w:qFormat/>
    <w:uiPriority w:val="0"/>
    <w:rPr>
      <w:rFonts w:ascii="仿宋_GB2312" w:hAnsi="仿宋_GB2312" w:eastAsia="仿宋_GB2312" w:cs="仿宋_GB2312"/>
      <w:kern w:val="2"/>
      <w:sz w:val="18"/>
      <w:szCs w:val="18"/>
    </w:rPr>
  </w:style>
  <w:style w:type="character" w:customStyle="1" w:styleId="17">
    <w:name w:val="页脚 字符"/>
    <w:basedOn w:val="10"/>
    <w:link w:val="5"/>
    <w:qFormat/>
    <w:uiPriority w:val="0"/>
    <w:rPr>
      <w:rFonts w:ascii="仿宋_GB2312" w:hAns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1892</Words>
  <Characters>2030</Characters>
  <Lines>12</Lines>
  <Paragraphs>3</Paragraphs>
  <TotalTime>18</TotalTime>
  <ScaleCrop>false</ScaleCrop>
  <LinksUpToDate>false</LinksUpToDate>
  <CharactersWithSpaces>2032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2021-11-18T00:03:00Z</dcterms:created>
  <dc:creator>Lenovo</dc:creator>
  <cp:lastModifiedBy>刘坤明</cp:lastModifiedBy>
  <dcterms:modified xsi:type="dcterms:W3CDTF">2026-07-17T06:32:44Z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9902814CA3DB4732BF8756C1AAD4FCC7_13</vt:lpwstr>
  </property>
  <property fmtid="{D5CDD505-2E9C-101B-9397-08002B2CF9AE}" pid="4" name="KSOTemplateDocerSaveRecord">
    <vt:lpwstr>eyJoZGlkIjoiMzM1MTM5MzNhMWRhZmViYjQ4MTJiZjM3YmRhYzA1YjEiLCJ1c2VySWQiOiIxNTA2MTc2NjQ2In0=</vt:lpwstr>
  </property>
</Properties>
</file>