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440EE">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临沂会宝岭铁矿有限公司</w:t>
      </w:r>
    </w:p>
    <w:p w14:paraId="6C153482">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2025年度报告</w:t>
      </w:r>
      <w:bookmarkStart w:id="6" w:name="_GoBack"/>
      <w:bookmarkEnd w:id="6"/>
      <w:r>
        <w:rPr>
          <w:rFonts w:hint="eastAsia" w:ascii="方正小标宋简体" w:hAnsi="方正小标宋简体" w:eastAsia="方正小标宋简体" w:cs="方正小标宋简体"/>
          <w:color w:val="000000"/>
          <w:kern w:val="0"/>
          <w:sz w:val="44"/>
          <w:szCs w:val="44"/>
          <w:lang w:val="en-US" w:eastAsia="zh-CN" w:bidi="ar"/>
        </w:rPr>
        <w:t>公开信息</w:t>
      </w:r>
    </w:p>
    <w:p w14:paraId="4BC52233">
      <w:pPr>
        <w:spacing w:line="560" w:lineRule="exact"/>
        <w:ind w:firstLine="640" w:firstLineChars="200"/>
        <w:rPr>
          <w:rFonts w:hint="eastAsia" w:ascii="仿宋_GB2312" w:hAnsi="仿宋" w:eastAsia="仿宋_GB2312" w:cs="宋体"/>
          <w:color w:val="000000"/>
          <w:kern w:val="0"/>
          <w:sz w:val="32"/>
          <w:szCs w:val="32"/>
        </w:rPr>
      </w:pPr>
      <w:bookmarkStart w:id="0" w:name="_Toc29180"/>
    </w:p>
    <w:p w14:paraId="3910DE18">
      <w:pPr>
        <w:spacing w:line="560" w:lineRule="exact"/>
        <w:ind w:firstLine="640" w:firstLineChars="200"/>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本公司及全体董事保证本公告内容不存在任何虚假记载、误导性陈述或者重大遗漏，并对其内容的真实性、准确性和完整性承担个别及连带责任。</w:t>
      </w:r>
    </w:p>
    <w:p w14:paraId="34F8DFA4">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一、公司基本情况</w:t>
      </w:r>
      <w:bookmarkEnd w:id="0"/>
    </w:p>
    <w:p w14:paraId="4103B932">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958" w:leftChars="304" w:hanging="320" w:hangingChars="100"/>
        <w:textAlignment w:val="auto"/>
        <w:outlineLvl w:val="9"/>
        <w:rPr>
          <w:rFonts w:hint="eastAsia" w:ascii="仿宋_GB2312" w:hAnsi="仿宋" w:eastAsia="仿宋_GB2312" w:cs="宋体"/>
          <w:color w:val="000000" w:themeColor="text1"/>
          <w:kern w:val="0"/>
          <w:sz w:val="32"/>
          <w:szCs w:val="32"/>
          <w14:textFill>
            <w14:solidFill>
              <w14:schemeClr w14:val="tx1"/>
            </w14:solidFill>
          </w14:textFill>
        </w:rPr>
      </w:pPr>
      <w:bookmarkStart w:id="1" w:name="_Toc19278"/>
      <w:r>
        <w:rPr>
          <w:rFonts w:hint="eastAsia" w:ascii="仿宋_GB2312" w:hAnsi="仿宋" w:eastAsia="仿宋_GB2312" w:cs="宋体"/>
          <w:color w:val="000000" w:themeColor="text1"/>
          <w:kern w:val="0"/>
          <w:sz w:val="32"/>
          <w:szCs w:val="32"/>
          <w:lang w:val="en-US" w:eastAsia="zh-CN"/>
          <w14:textFill>
            <w14:solidFill>
              <w14:schemeClr w14:val="tx1"/>
            </w14:solidFill>
          </w14:textFill>
        </w:rPr>
        <w:t>1.</w:t>
      </w:r>
      <w:r>
        <w:rPr>
          <w:rFonts w:hint="eastAsia" w:ascii="仿宋_GB2312" w:hAnsi="仿宋" w:eastAsia="仿宋_GB2312" w:cs="宋体"/>
          <w:color w:val="000000" w:themeColor="text1"/>
          <w:kern w:val="0"/>
          <w:sz w:val="32"/>
          <w:szCs w:val="32"/>
          <w14:textFill>
            <w14:solidFill>
              <w14:schemeClr w14:val="tx1"/>
            </w14:solidFill>
          </w14:textFill>
        </w:rPr>
        <w:t>中文名称：临沂会宝岭铁矿有限公司</w:t>
      </w:r>
      <w:r>
        <w:rPr>
          <w:rFonts w:hint="eastAsia" w:ascii="仿宋_GB2312" w:hAnsi="仿宋" w:eastAsia="仿宋_GB2312" w:cs="宋体"/>
          <w:color w:val="000000" w:themeColor="text1"/>
          <w:kern w:val="0"/>
          <w:sz w:val="32"/>
          <w:szCs w:val="32"/>
          <w14:textFill>
            <w14:solidFill>
              <w14:schemeClr w14:val="tx1"/>
            </w14:solidFill>
          </w14:textFill>
        </w:rPr>
        <w:br w:type="textWrapping"/>
      </w:r>
      <w:r>
        <w:rPr>
          <w:rFonts w:hint="eastAsia" w:ascii="仿宋_GB2312" w:hAnsi="仿宋" w:eastAsia="仿宋_GB2312" w:cs="宋体"/>
          <w:color w:val="000000" w:themeColor="text1"/>
          <w:kern w:val="0"/>
          <w:sz w:val="32"/>
          <w:szCs w:val="32"/>
          <w14:textFill>
            <w14:solidFill>
              <w14:schemeClr w14:val="tx1"/>
            </w14:solidFill>
          </w14:textFill>
        </w:rPr>
        <w:t>简称：会宝岭公司</w:t>
      </w:r>
      <w:bookmarkEnd w:id="1"/>
    </w:p>
    <w:p w14:paraId="40F5AD26">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rPr>
          <w:rFonts w:hint="default"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2.</w:t>
      </w:r>
      <w:r>
        <w:rPr>
          <w:rFonts w:hint="eastAsia" w:ascii="仿宋_GB2312" w:hAnsi="仿宋" w:eastAsia="仿宋_GB2312" w:cs="宋体"/>
          <w:color w:val="000000" w:themeColor="text1"/>
          <w:kern w:val="0"/>
          <w:sz w:val="32"/>
          <w:szCs w:val="32"/>
          <w14:textFill>
            <w14:solidFill>
              <w14:schemeClr w14:val="tx1"/>
            </w14:solidFill>
          </w14:textFill>
        </w:rPr>
        <w:t>外文名称：</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LuxiMining Huibaoling Company</w:t>
      </w:r>
    </w:p>
    <w:p w14:paraId="78C3E979">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3.</w:t>
      </w:r>
      <w:r>
        <w:rPr>
          <w:rFonts w:hint="eastAsia" w:ascii="仿宋_GB2312" w:hAnsi="仿宋" w:eastAsia="仿宋_GB2312" w:cs="宋体"/>
          <w:color w:val="000000" w:themeColor="text1"/>
          <w:kern w:val="0"/>
          <w:sz w:val="32"/>
          <w:szCs w:val="32"/>
          <w14:textFill>
            <w14:solidFill>
              <w14:schemeClr w14:val="tx1"/>
            </w14:solidFill>
          </w14:textFill>
        </w:rPr>
        <w:t>法定代表人：刘玉鼎</w:t>
      </w:r>
    </w:p>
    <w:p w14:paraId="4C745EA1">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4.</w:t>
      </w:r>
      <w:r>
        <w:rPr>
          <w:rFonts w:hint="eastAsia" w:ascii="仿宋_GB2312" w:hAnsi="仿宋" w:eastAsia="仿宋_GB2312" w:cs="宋体"/>
          <w:color w:val="000000" w:themeColor="text1"/>
          <w:kern w:val="0"/>
          <w:sz w:val="32"/>
          <w:szCs w:val="32"/>
          <w14:textFill>
            <w14:solidFill>
              <w14:schemeClr w14:val="tx1"/>
            </w14:solidFill>
          </w14:textFill>
        </w:rPr>
        <w:t>注册地址：山东省临沂市兰陵县尚岩镇杨套村</w:t>
      </w:r>
    </w:p>
    <w:p w14:paraId="6FFC5CF6">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宋体" w:eastAsia="仿宋_GB2312" w:cs="仿宋_GB2312"/>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5.</w:t>
      </w:r>
      <w:r>
        <w:rPr>
          <w:rFonts w:hint="eastAsia" w:ascii="仿宋_GB2312" w:hAnsi="宋体" w:eastAsia="仿宋_GB2312" w:cs="仿宋_GB2312"/>
          <w:color w:val="000000" w:themeColor="text1"/>
          <w:kern w:val="0"/>
          <w:sz w:val="32"/>
          <w:szCs w:val="32"/>
          <w14:textFill>
            <w14:solidFill>
              <w14:schemeClr w14:val="tx1"/>
            </w14:solidFill>
          </w14:textFill>
        </w:rPr>
        <w:t>公司经营范围：金属矿石销售；选矿；矿物洗选加工；建筑材料销售（不含黄沙、泥沙）；非金属矿及制品销售；非金属矿物制品制造；机械零件、零部件加工；专用设备修理；技术服务、技术开发、技术咨询、技术交流、技术转让、技术推广（除依法须经批准的项目外，凭营业执照依法自主开展经营活动）许可项目：矿产资源（非煤矿山）开采；货物进出口；技术进出口（依法须经批准的项目，经相关部门批准后方可开展经营活动，具体经营项目以审批结果为准）</w:t>
      </w:r>
    </w:p>
    <w:p w14:paraId="5AA2A250">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6.</w:t>
      </w:r>
      <w:r>
        <w:rPr>
          <w:rFonts w:hint="eastAsia" w:ascii="仿宋_GB2312" w:hAnsi="仿宋" w:eastAsia="仿宋_GB2312" w:cs="宋体"/>
          <w:color w:val="000000" w:themeColor="text1"/>
          <w:kern w:val="0"/>
          <w:sz w:val="32"/>
          <w:szCs w:val="32"/>
          <w14:textFill>
            <w14:solidFill>
              <w14:schemeClr w14:val="tx1"/>
            </w14:solidFill>
          </w14:textFill>
        </w:rPr>
        <w:t>办公地址：山东省临沂市兰陵县尚岩镇杨套村</w:t>
      </w:r>
    </w:p>
    <w:p w14:paraId="552162F4">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7.</w:t>
      </w:r>
      <w:r>
        <w:rPr>
          <w:rFonts w:hint="eastAsia" w:ascii="仿宋_GB2312" w:hAnsi="仿宋" w:eastAsia="仿宋_GB2312" w:cs="宋体"/>
          <w:color w:val="000000" w:themeColor="text1"/>
          <w:kern w:val="0"/>
          <w:sz w:val="32"/>
          <w:szCs w:val="32"/>
          <w14:textFill>
            <w14:solidFill>
              <w14:schemeClr w14:val="tx1"/>
            </w14:solidFill>
          </w14:textFill>
        </w:rPr>
        <w:t>电子信箱</w:t>
      </w:r>
      <w:r>
        <w:rPr>
          <w:rFonts w:hint="eastAsia" w:ascii="仿宋_GB2312" w:hAnsi="仿宋" w:eastAsia="仿宋_GB2312" w:cs="宋体"/>
          <w:color w:val="000000" w:themeColor="text1"/>
          <w:kern w:val="0"/>
          <w:sz w:val="32"/>
          <w:szCs w:val="32"/>
          <w:lang w:eastAsia="zh-CN"/>
          <w14:textFill>
            <w14:solidFill>
              <w14:schemeClr w14:val="tx1"/>
            </w14:solidFill>
          </w14:textFill>
        </w:rPr>
        <w:t>：</w:t>
      </w:r>
      <w:r>
        <w:rPr>
          <w:rFonts w:ascii="仿宋_GB2312" w:hAnsi="仿宋" w:eastAsia="仿宋_GB2312" w:cs="宋体"/>
          <w:color w:val="000000" w:themeColor="text1"/>
          <w:kern w:val="0"/>
          <w:sz w:val="32"/>
          <w:szCs w:val="32"/>
          <w14:textFill>
            <w14:solidFill>
              <w14:schemeClr w14:val="tx1"/>
            </w14:solidFill>
          </w14:textFill>
        </w:rPr>
        <w:t>hbltkbgs@163.com</w:t>
      </w:r>
    </w:p>
    <w:p w14:paraId="2A0FA6C9">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8.</w:t>
      </w:r>
      <w:r>
        <w:rPr>
          <w:rFonts w:hint="eastAsia" w:ascii="仿宋_GB2312" w:hAnsi="仿宋" w:eastAsia="仿宋_GB2312" w:cs="宋体"/>
          <w:color w:val="000000" w:themeColor="text1"/>
          <w:kern w:val="0"/>
          <w:sz w:val="32"/>
          <w:szCs w:val="32"/>
          <w14:textFill>
            <w14:solidFill>
              <w14:schemeClr w14:val="tx1"/>
            </w14:solidFill>
          </w14:textFill>
        </w:rPr>
        <w:t>企</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业统一社会信用代码： 91371324791536644K</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ab/>
      </w:r>
    </w:p>
    <w:p w14:paraId="61C4097A">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2" w:name="_Toc25707"/>
      <w:r>
        <w:rPr>
          <w:rFonts w:hint="eastAsia" w:ascii="黑体" w:hAnsi="黑体" w:eastAsia="黑体" w:cs="黑体"/>
          <w:sz w:val="32"/>
          <w:szCs w:val="32"/>
          <w:lang w:val="en-US" w:eastAsia="zh-CN"/>
        </w:rPr>
        <w:t>二、公司简介</w:t>
      </w:r>
      <w:bookmarkEnd w:id="2"/>
    </w:p>
    <w:p w14:paraId="33E90B90">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临沂会宝岭铁矿有限公司成立于2006年7月，注册资本70000万元，由临沂矿业集团有限责任公司和山东省地矿建设有限公司共同出资组成，其中临沂矿业集团有限责任公司出资68200万元，占比97.43%，山东省地矿建设有限公司出资1800万元，占比2.57%。现拥有生产经营矿井一座---会宝岭铁矿，拥有筹建矿</w:t>
      </w:r>
      <w:r>
        <w:rPr>
          <w:rFonts w:hint="eastAsia" w:ascii="仿宋_GB2312" w:hAnsi="仿宋" w:eastAsia="仿宋_GB2312" w:cs="宋体"/>
          <w:color w:val="000000" w:themeColor="text1"/>
          <w:kern w:val="0"/>
          <w:sz w:val="32"/>
          <w:szCs w:val="32"/>
          <w14:textFill>
            <w14:solidFill>
              <w14:schemeClr w14:val="tx1"/>
            </w14:solidFill>
          </w14:textFill>
        </w:rPr>
        <w:t>井一座-</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--凤凰山铁矿。</w:t>
      </w:r>
    </w:p>
    <w:p w14:paraId="1E152BD6">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三、机构设置</w:t>
      </w:r>
    </w:p>
    <w:p w14:paraId="1F09F38B">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仿宋_GB2312" w:hAnsi="仿宋_GB2312" w:eastAsia="仿宋_GB2312" w:cs="仿宋_GB2312"/>
          <w:bCs w:val="0"/>
          <w:color w:val="auto"/>
          <w:kern w:val="0"/>
          <w:sz w:val="32"/>
          <w:szCs w:val="32"/>
          <w:highlight w:val="none"/>
          <w:lang w:val="en-US" w:eastAsia="zh-CN"/>
        </w:rPr>
      </w:pPr>
      <w:bookmarkStart w:id="3" w:name="_Toc20900"/>
      <w:r>
        <w:rPr>
          <w:rFonts w:hint="eastAsia" w:ascii="仿宋_GB2312" w:hAnsi="仿宋_GB2312" w:eastAsia="仿宋_GB2312" w:cs="仿宋_GB2312"/>
          <w:bCs w:val="0"/>
          <w:color w:val="auto"/>
          <w:kern w:val="0"/>
          <w:sz w:val="32"/>
          <w:szCs w:val="32"/>
          <w:highlight w:val="none"/>
          <w:lang w:val="en-US" w:eastAsia="zh-CN"/>
        </w:rPr>
        <w:t>会宝岭公司和会宝岭铁矿、凤凰山铁矿按照“一公司两矿”模式进行复合设置和管理，机构设置如下：</w:t>
      </w:r>
    </w:p>
    <w:p w14:paraId="79E6E79E">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仿宋_GB2312" w:hAnsi="仿宋_GB2312" w:eastAsia="仿宋_GB2312" w:cs="仿宋_GB2312"/>
          <w:bCs w:val="0"/>
          <w:color w:val="auto"/>
          <w:kern w:val="0"/>
          <w:sz w:val="32"/>
          <w:szCs w:val="32"/>
          <w:highlight w:val="none"/>
          <w:lang w:val="en-US" w:eastAsia="zh-CN"/>
        </w:rPr>
      </w:pPr>
      <w:r>
        <w:rPr>
          <w:rFonts w:hint="eastAsia" w:ascii="仿宋_GB2312" w:hAnsi="仿宋_GB2312" w:eastAsia="仿宋_GB2312" w:cs="仿宋_GB2312"/>
          <w:bCs w:val="0"/>
          <w:color w:val="auto"/>
          <w:kern w:val="0"/>
          <w:sz w:val="32"/>
          <w:szCs w:val="32"/>
          <w:highlight w:val="none"/>
          <w:lang w:val="en-US" w:eastAsia="zh-CN"/>
        </w:rPr>
        <w:t>一是会宝岭公司，设立综合办公室（党委办公室、董事会办公室、总经理办公室、督察办公室）、党委组织部（人力资源部）、纪委、党群工作部（党委宣传部、党委统战部、工会、信访办公室、团委）、财务管理部、运营管理部（审计法务部）、供销管理部、后勤服务中心。</w:t>
      </w:r>
    </w:p>
    <w:p w14:paraId="45230607">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仿宋_GB2312" w:hAnsi="仿宋_GB2312" w:eastAsia="仿宋_GB2312" w:cs="仿宋_GB2312"/>
          <w:bCs w:val="0"/>
          <w:color w:val="auto"/>
          <w:kern w:val="0"/>
          <w:sz w:val="32"/>
          <w:szCs w:val="32"/>
          <w:highlight w:val="none"/>
          <w:lang w:val="en-US" w:eastAsia="zh-CN"/>
        </w:rPr>
      </w:pPr>
      <w:r>
        <w:rPr>
          <w:rFonts w:hint="eastAsia" w:ascii="仿宋_GB2312" w:hAnsi="仿宋_GB2312" w:eastAsia="仿宋_GB2312" w:cs="仿宋_GB2312"/>
          <w:bCs w:val="0"/>
          <w:color w:val="auto"/>
          <w:kern w:val="0"/>
          <w:sz w:val="32"/>
          <w:szCs w:val="32"/>
          <w:highlight w:val="none"/>
          <w:lang w:val="en-US" w:eastAsia="zh-CN"/>
        </w:rPr>
        <w:t>二是会宝岭铁矿，设立调度室、安全监察部、生产技术部、机电管理部（生态环保部）、通防管理部、地质测量部、采掘一工区、采掘二工区、机运工区、充填工区、通防工区、探放水工区、选矿厂。</w:t>
      </w:r>
    </w:p>
    <w:p w14:paraId="48958504">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仿宋_GB2312" w:hAnsi="仿宋_GB2312" w:eastAsia="仿宋_GB2312" w:cs="仿宋_GB2312"/>
          <w:bCs w:val="0"/>
          <w:color w:val="auto"/>
          <w:kern w:val="0"/>
          <w:sz w:val="32"/>
          <w:szCs w:val="32"/>
          <w:highlight w:val="none"/>
          <w:lang w:val="en-US" w:eastAsia="zh-CN"/>
        </w:rPr>
      </w:pPr>
      <w:r>
        <w:rPr>
          <w:rFonts w:hint="eastAsia" w:ascii="仿宋_GB2312" w:hAnsi="仿宋_GB2312" w:eastAsia="仿宋_GB2312" w:cs="仿宋_GB2312"/>
          <w:bCs w:val="0"/>
          <w:color w:val="auto"/>
          <w:kern w:val="0"/>
          <w:sz w:val="32"/>
          <w:szCs w:val="32"/>
          <w:highlight w:val="none"/>
          <w:lang w:val="en-US" w:eastAsia="zh-CN"/>
        </w:rPr>
        <w:t>三是凤凰山铁矿，设立调度室、安全监察部、生产技术部、机电管理部（生态环保部）、通防管理部、地质测量部、采掘一工区、采掘二工区、机运工区、充填工区、通防工区、探放水工区、选矿厂。</w:t>
      </w:r>
    </w:p>
    <w:p w14:paraId="591710A4">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bookmarkEnd w:id="3"/>
      <w:r>
        <w:rPr>
          <w:rFonts w:hint="eastAsia" w:ascii="黑体" w:hAnsi="黑体" w:eastAsia="黑体" w:cs="黑体"/>
          <w:sz w:val="32"/>
          <w:szCs w:val="32"/>
          <w:lang w:val="en-US" w:eastAsia="zh-CN"/>
        </w:rPr>
        <w:t>2025年度主要会计数据和财务指标</w:t>
      </w:r>
    </w:p>
    <w:p w14:paraId="2CA74FDD">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1.营业收入：完成6.04亿元。</w:t>
      </w:r>
    </w:p>
    <w:p w14:paraId="2C169753">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2.利润总额：完成0.48亿元。</w:t>
      </w:r>
    </w:p>
    <w:p w14:paraId="0B75A3F1">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3.净利润：完成0.35亿元。</w:t>
      </w:r>
    </w:p>
    <w:p w14:paraId="7B69D518">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4.应交税费总额：完成-0.03亿元。</w:t>
      </w:r>
    </w:p>
    <w:p w14:paraId="2AF15A0D">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5.资产总额：完成59.1亿元。</w:t>
      </w:r>
    </w:p>
    <w:p w14:paraId="76BE7924">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6.负债总额：完成48.79亿元。</w:t>
      </w:r>
    </w:p>
    <w:p w14:paraId="62830DC7">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7.所有者权益：完成10.31亿元。</w:t>
      </w:r>
    </w:p>
    <w:p w14:paraId="2D6CA0DB">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五、财务会计报告和审计报告摘要</w:t>
      </w:r>
    </w:p>
    <w:p w14:paraId="74DE9671">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（一）财务会计报告</w:t>
      </w:r>
    </w:p>
    <w:p w14:paraId="19F08B88">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1.编制基础</w:t>
      </w:r>
    </w:p>
    <w:p w14:paraId="787CE2F8">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本财务报表按照财政部发布的企业会计准则及其应用指南、解释及其他有关规定（统称“企业会计准则”）编制。</w:t>
      </w:r>
    </w:p>
    <w:p w14:paraId="373505BC">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2.持续经营</w:t>
      </w:r>
    </w:p>
    <w:p w14:paraId="543792B0">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本财务报表以持续经营为基础列报。</w:t>
      </w:r>
    </w:p>
    <w:p w14:paraId="7C92E959">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（二）审计报告意见</w:t>
      </w:r>
    </w:p>
    <w:p w14:paraId="16B4ECB7">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highlight w:val="none"/>
          <w:lang w:val="en-US" w:eastAsia="zh-CN"/>
          <w14:textFill>
            <w14:solidFill>
              <w14:schemeClr w14:val="tx1"/>
            </w14:solidFill>
          </w14:textFill>
        </w:rPr>
        <w:t>致同会计师事务所（特殊普通合伙）审计了公司财务报表，包括2025年12月31日的资产负债表，2025年度的利润表、现金流量表、所有者权益变动表以及财务报表附注。认为财务报表在所有重大方面按照企业会计准则的规定编制，公允反映了会宝岭铁矿2025年12月31日的公司财务状况以及2025年度的公司经营成果和现金流量。</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 xml:space="preserve"> </w:t>
      </w:r>
    </w:p>
    <w:p w14:paraId="37506BAC">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黑体" w:hAnsi="黑体" w:eastAsia="黑体" w:cs="黑体"/>
          <w:sz w:val="32"/>
          <w:szCs w:val="32"/>
          <w:lang w:val="en-US" w:eastAsia="zh-CN"/>
        </w:rPr>
      </w:pPr>
      <w:bookmarkStart w:id="4" w:name="_Toc14771"/>
      <w:r>
        <w:rPr>
          <w:rFonts w:hint="eastAsia" w:ascii="黑体" w:hAnsi="黑体" w:eastAsia="黑体" w:cs="黑体"/>
          <w:sz w:val="32"/>
          <w:szCs w:val="32"/>
          <w:lang w:val="en-US" w:eastAsia="zh-CN"/>
        </w:rPr>
        <w:t>六、</w:t>
      </w:r>
      <w:bookmarkEnd w:id="4"/>
      <w:bookmarkStart w:id="5" w:name="_Toc9962"/>
      <w:r>
        <w:rPr>
          <w:rFonts w:hint="eastAsia" w:ascii="黑体" w:hAnsi="黑体" w:eastAsia="黑体" w:cs="黑体"/>
          <w:sz w:val="32"/>
          <w:szCs w:val="32"/>
          <w:lang w:val="en-US" w:eastAsia="zh-CN"/>
        </w:rPr>
        <w:t>报告期内发生的重大事项及对企业的影响</w:t>
      </w:r>
      <w:bookmarkEnd w:id="5"/>
    </w:p>
    <w:p w14:paraId="62614FA2">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Cs w:val="0"/>
          <w:color w:val="auto"/>
          <w:kern w:val="0"/>
          <w:sz w:val="32"/>
          <w:szCs w:val="32"/>
          <w:highlight w:val="none"/>
          <w:lang w:val="en-US" w:eastAsia="zh-CN"/>
        </w:rPr>
        <w:t>2025年8月，会宝岭公司和会宝岭铁矿、凤凰山铁矿按照“一公司两矿”模式进行复合设置和管理</w:t>
      </w:r>
      <w:r>
        <w:rPr>
          <w:rFonts w:hint="eastAsia" w:ascii="仿宋_GB2312" w:hAnsi="仿宋" w:eastAsia="仿宋_GB2312" w:cs="宋体"/>
          <w:color w:val="000000" w:themeColor="text1"/>
          <w:kern w:val="0"/>
          <w:sz w:val="32"/>
          <w:szCs w:val="32"/>
          <w:lang w:val="en-US" w:eastAsia="zh-CN"/>
          <w14:textFill>
            <w14:solidFill>
              <w14:schemeClr w14:val="tx1"/>
            </w14:solidFill>
          </w14:textFill>
        </w:rPr>
        <w:t>优化内部管理组织架构，合理设置综合办公室、纪委、党委组织部、党群工作部、财务管理部、经营管理部（审计法务部）、供销管理部、后勤服务中心等职能部室，两矿下沉设立调度室、安全监察部、生产技术部、机电管理部、通防管理部、地质测量部、机运工区、选矿厂、通防工区、采掘一工区、采掘二工区、探放水工区、充填工区。</w:t>
      </w:r>
    </w:p>
    <w:p w14:paraId="639887AF">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left="0" w:lef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七、对外捐赠情况</w:t>
      </w:r>
    </w:p>
    <w:p w14:paraId="20ECD82A">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 w:eastAsia="仿宋_GB2312" w:cs="宋体"/>
          <w:color w:val="000000" w:themeColor="text1"/>
          <w:kern w:val="0"/>
          <w:sz w:val="32"/>
          <w:szCs w:val="32"/>
          <w:lang w:val="en-US" w:eastAsia="zh-CN"/>
          <w14:textFill>
            <w14:solidFill>
              <w14:schemeClr w14:val="tx1"/>
            </w14:solidFill>
          </w14:textFill>
        </w:rPr>
      </w:pPr>
      <w:r>
        <w:rPr>
          <w:rFonts w:hint="eastAsia" w:ascii="仿宋_GB2312" w:hAnsi="仿宋" w:eastAsia="仿宋_GB2312" w:cs="宋体"/>
          <w:color w:val="000000" w:themeColor="text1"/>
          <w:kern w:val="0"/>
          <w:sz w:val="32"/>
          <w:szCs w:val="32"/>
          <w:lang w:val="en-US" w:eastAsia="zh-CN"/>
          <w14:textFill>
            <w14:solidFill>
              <w14:schemeClr w14:val="tx1"/>
            </w14:solidFill>
          </w14:textFill>
        </w:rPr>
        <w:t>无</w:t>
      </w:r>
    </w:p>
    <w:sectPr>
      <w:head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6A301">
    <w:pPr>
      <w:spacing w:line="94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07A2FF"/>
    <w:multiLevelType w:val="singleLevel"/>
    <w:tmpl w:val="6907A2FF"/>
    <w:lvl w:ilvl="0" w:tentative="0">
      <w:start w:val="1"/>
      <w:numFmt w:val="decimal"/>
      <w:pStyle w:val="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MjQ1MTg2NDg3ZmEzYjdkMzRjNDIxM2MxMWJiY2QifQ=="/>
  </w:docVars>
  <w:rsids>
    <w:rsidRoot w:val="524123D5"/>
    <w:rsid w:val="061E3E76"/>
    <w:rsid w:val="0AF02C43"/>
    <w:rsid w:val="0B9114C0"/>
    <w:rsid w:val="0C360B29"/>
    <w:rsid w:val="0C443C04"/>
    <w:rsid w:val="0C5D68BD"/>
    <w:rsid w:val="0CC67672"/>
    <w:rsid w:val="0D5A0F4D"/>
    <w:rsid w:val="0EC3027A"/>
    <w:rsid w:val="124B0882"/>
    <w:rsid w:val="1428639F"/>
    <w:rsid w:val="15C4155E"/>
    <w:rsid w:val="17DD565E"/>
    <w:rsid w:val="1BEA14D8"/>
    <w:rsid w:val="1C4120E1"/>
    <w:rsid w:val="1DA1131B"/>
    <w:rsid w:val="200565FD"/>
    <w:rsid w:val="21E739CD"/>
    <w:rsid w:val="21EB260A"/>
    <w:rsid w:val="2201740A"/>
    <w:rsid w:val="22041EF1"/>
    <w:rsid w:val="227812D7"/>
    <w:rsid w:val="22B228A7"/>
    <w:rsid w:val="2A7F1862"/>
    <w:rsid w:val="31314EFB"/>
    <w:rsid w:val="31724C1A"/>
    <w:rsid w:val="32B557FE"/>
    <w:rsid w:val="37B743D7"/>
    <w:rsid w:val="3BD65FF9"/>
    <w:rsid w:val="3C7B08D0"/>
    <w:rsid w:val="3E246184"/>
    <w:rsid w:val="3EC76E53"/>
    <w:rsid w:val="3F0743D7"/>
    <w:rsid w:val="40E02249"/>
    <w:rsid w:val="42AF2B57"/>
    <w:rsid w:val="43D2427D"/>
    <w:rsid w:val="448F4A21"/>
    <w:rsid w:val="4C1C3A4F"/>
    <w:rsid w:val="4E651D82"/>
    <w:rsid w:val="4F493C9D"/>
    <w:rsid w:val="524123D5"/>
    <w:rsid w:val="53607807"/>
    <w:rsid w:val="558739E6"/>
    <w:rsid w:val="60F421DB"/>
    <w:rsid w:val="612944E9"/>
    <w:rsid w:val="61CC76D0"/>
    <w:rsid w:val="64C340C3"/>
    <w:rsid w:val="67673C90"/>
    <w:rsid w:val="68975621"/>
    <w:rsid w:val="6948091F"/>
    <w:rsid w:val="6A0F303F"/>
    <w:rsid w:val="6A414E93"/>
    <w:rsid w:val="6E98646C"/>
    <w:rsid w:val="73AB5FEA"/>
    <w:rsid w:val="74F160B9"/>
    <w:rsid w:val="76ED1BA7"/>
    <w:rsid w:val="77C713E2"/>
    <w:rsid w:val="78975D82"/>
    <w:rsid w:val="7A47451F"/>
    <w:rsid w:val="7AC2382A"/>
    <w:rsid w:val="7E663EE7"/>
    <w:rsid w:val="7F287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w:basedOn w:val="1"/>
    <w:next w:val="1"/>
    <w:unhideWhenUsed/>
    <w:qFormat/>
    <w:uiPriority w:val="99"/>
    <w:pPr>
      <w:spacing w:after="120"/>
      <w:ind w:left="420" w:leftChars="200"/>
    </w:pPr>
  </w:style>
  <w:style w:type="paragraph" w:styleId="5">
    <w:name w:val="toc 3"/>
    <w:basedOn w:val="1"/>
    <w:next w:val="1"/>
    <w:qFormat/>
    <w:uiPriority w:val="0"/>
    <w:pPr>
      <w:ind w:left="840" w:leftChars="400"/>
    </w:pPr>
  </w:style>
  <w:style w:type="paragraph" w:styleId="6">
    <w:name w:val="Plain Text"/>
    <w:basedOn w:val="1"/>
    <w:next w:val="7"/>
    <w:qFormat/>
    <w:uiPriority w:val="0"/>
    <w:rPr>
      <w:rFonts w:ascii="宋体" w:hAnsi="Courier New"/>
      <w:szCs w:val="21"/>
    </w:rPr>
  </w:style>
  <w:style w:type="paragraph" w:styleId="7">
    <w:name w:val="List Number 5"/>
    <w:basedOn w:val="1"/>
    <w:qFormat/>
    <w:uiPriority w:val="0"/>
    <w:pPr>
      <w:numPr>
        <w:ilvl w:val="0"/>
        <w:numId w:val="1"/>
      </w:numPr>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4"/>
    <w:next w:val="6"/>
    <w:unhideWhenUsed/>
    <w:qFormat/>
    <w:uiPriority w:val="99"/>
    <w:pPr>
      <w:ind w:firstLine="42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30bce734-7114-47ef-95c5-dae8fcee0a24</errorID>
      <errorWord>:</errorWord>
      <group>L1_Format</group>
      <groupName>格式问题</groupName>
      <ability>L2_HalfPunc</ability>
      <abilityName>全半角检查</abilityName>
      <candidateList>
        <item>：</item>
      </candidateList>
      <explain>文本全半角错误。</explain>
      <paraID>3365507C</paraID>
      <start>6</start>
      <end>7</end>
      <status>modified</status>
      <modifiedWord>：</modifiedWord>
      <trackRevisions>false</trackRevisions>
    </reviewItem>
    <reviewItem>
      <errorID>909a8b34-9e4f-48a9-aa44-55af96b4b444</errorID>
      <errorWord>:</errorWord>
      <group>L1_Format</group>
      <groupName>格式问题</groupName>
      <ability>L2_HalfPunc</ability>
      <abilityName>全半角检查</abilityName>
      <candidateList>
        <item>：</item>
      </candidateList>
      <explain>文本全半角错误。</explain>
      <paraID>1C42BE48</paraID>
      <start>12</start>
      <end>13</end>
      <status>modified</status>
      <modifiedWord>：</modifiedWord>
      <trackRevisions>false</trackRevisions>
    </reviewItem>
    <reviewItem>
      <errorID>577b45ce-9e0e-4d96-a2a6-7e5dff3085a0</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 5A12842</paraID>
      <start>11</start>
      <end>14</end>
      <status>unmodified</status>
      <modifiedWord/>
      <trackRevisions>false</trackRevisions>
    </reviewItem>
    <reviewItem>
      <errorID>7bd65c62-6016-48db-98c2-2db539ab2569</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652706DB</paraID>
      <start>60</start>
      <end>63</end>
      <status>unmodified</status>
      <modifiedWord/>
      <trackRevisions>false</trackRevisions>
    </reviewItem>
    <reviewItem>
      <errorID>03d22676-9f55-49c3-bdd3-a3ab952d5eb5</errorID>
      <errorWord>-</errorWord>
      <group>L1_Format</group>
      <groupName>格式问题</groupName>
      <ability>L2_HalfPunc</ability>
      <abilityName>全半角检查</abilityName>
      <candidateList>
        <item>－</item>
      </candidateList>
      <explain>文本全半角错误。</explain>
      <paraID> CBC654A</paraID>
      <start>4</start>
      <end>5</end>
      <status>unmodified</status>
      <modifiedWord/>
      <trackRevisions>false</trackRevisions>
    </reviewItem>
    <reviewItem>
      <errorID>06abd494-e10f-46fd-a7d2-1ec037e3c5f6</errorID>
      <errorWord>-</errorWord>
      <group>L1_Format</group>
      <groupName>格式问题</groupName>
      <ability>L2_HalfPunc</ability>
      <abilityName>全半角检查</abilityName>
      <candidateList>
        <item>－</item>
      </candidateList>
      <explain>文本全半角错误。</explain>
      <paraID>147E74EC</paraID>
      <start>4</start>
      <end>5</end>
      <status>unmodified</status>
      <modifiedWord/>
      <trackRevisions>false</trackRevisions>
    </reviewItem>
    <reviewItem>
      <errorID>9d6998f6-e0c8-4e60-aa7f-8380d4311267</errorID>
      <errorWord>-</errorWord>
      <group>L1_Format</group>
      <groupName>格式问题</groupName>
      <ability>L2_HalfPunc</ability>
      <abilityName>全半角检查</abilityName>
      <candidateList>
        <item>－</item>
      </candidateList>
      <explain>文本全半角错误。</explain>
      <paraID>34C71B42</paraID>
      <start>4</start>
      <end>5</end>
      <status>unmodified</status>
      <modifiedWord/>
      <trackRevisions>false</trackRevisions>
    </reviewItem>
    <reviewItem>
      <errorID>226e67fd-749e-4d0a-8c86-46d75f8a3755</errorID>
      <errorWord>截止</errorWord>
      <group>L1_Word</group>
      <groupName>字词问题</groupName>
      <ability>L2_Typo</ability>
      <abilityName>字词错误</abilityName>
      <candidateList>
        <item>截至</item>
      </candidateList>
      <explain>存在发音相同字词的误用。</explain>
      <paraID>5F578BAB</paraID>
      <start>24</start>
      <end>26</end>
      <status>modified</status>
      <modifiedWord>截至</modifiedWord>
      <trackRevisions>false</trackRevisions>
    </reviewItem>
    <reviewItem>
      <errorID>1a2b0d89-0f93-4708-8e62-adb1bd5201b7</errorID>
      <errorWord>行</errorWord>
      <group>L1_Word</group>
      <groupName>字词问题</groupName>
      <ability>L2_Typo</ability>
      <abilityName>字词错误</abilityName>
      <candidateList>
        <item>行为</item>
      </candidateList>
      <explain>〈名〉受思想支配而表现出来的活动：～不端｜揭露不法～。</explain>
      <paraID>7010F524</paraID>
      <start>46</start>
      <end>48</end>
      <status>modified</status>
      <modifiedWord>行为</modifiedWord>
      <trackRevisions>false</trackRevisions>
    </reviewItem>
    <reviewItem>
      <errorID>51bdb244-62d4-4e1d-a1b0-5114138d3e11</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7010F524</paraID>
      <start>120</start>
      <end>125</end>
      <status>unmodified</status>
      <modifiedWord/>
      <trackRevisions>false</trackRevisions>
    </reviewItem>
    <reviewItem>
      <errorID>0a134293-4567-40e4-9623-46904bf42b9b</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178C19FA</paraID>
      <start>24</start>
      <end>30</end>
      <status>unmodified</status>
      <modifiedWord/>
      <trackRevisions>false</trackRevisions>
    </reviewItem>
    <reviewItem>
      <errorID>9982618b-7795-4fbb-863a-075b6f862c9c</errorID>
      <errorWord>:</errorWord>
      <group>L1_Format</group>
      <groupName>格式问题</groupName>
      <ability>L2_HalfPunc</ability>
      <abilityName>全半角检查</abilityName>
      <candidateList>
        <item>：</item>
      </candidateList>
      <explain>文本全半角错误。</explain>
      <paraID>4C0D3C04</paraID>
      <start>10</start>
      <end>11</end>
      <status>modified</status>
      <modifiedWord>：</modifiedWord>
      <trackRevisions>false</trackRevisions>
    </reviewItem>
    <reviewItem>
      <errorID>2d8b6349-7c6b-418b-b147-f3a19a1e7a4b</errorID>
      <errorWord>存在的</errorWord>
      <group>L1_Word</group>
      <groupName>字词问题</groupName>
      <ability>L2_Typo</ability>
      <abilityName>字词错误</abilityName>
      <candidateList>
        <item>存在</item>
      </candidateList>
      <explain/>
      <paraID>56A93649</paraID>
      <start>67</start>
      <end>69</end>
      <status>modified</status>
      <modifiedWord>存在</modifiedWord>
      <trackRevisions>false</trackRevisions>
    </reviewItem>
    <reviewItem>
      <errorID>61cc5da4-9287-414a-9c57-29f86793a062</errorID>
      <errorWord>:</errorWord>
      <group>L1_Format</group>
      <groupName>格式问题</groupName>
      <ability>L2_HalfPunc</ability>
      <abilityName>全半角检查</abilityName>
      <candidateList>
        <item>：</item>
      </candidateList>
      <explain>文本全半角错误。</explain>
      <paraID>4021A4DD</paraID>
      <start>12</start>
      <end>13</end>
      <status>modified</status>
      <modifiedWord>：</modifiedWord>
      <trackRevisions>false</trackRevisions>
    </reviewItem>
    <reviewItem>
      <errorID>011fd2df-1bec-4292-bd46-83653164f97f</errorID>
      <errorWord>(</errorWord>
      <group>L1_Format</group>
      <groupName>格式问题</groupName>
      <ability>L2_HalfPunc</ability>
      <abilityName>全半角检查</abilityName>
      <candidateList>
        <item>（</item>
      </candidateList>
      <explain>文本全半角错误。</explain>
      <paraID>4021A4DD</paraID>
      <start>46</start>
      <end>47</end>
      <status>unmodified</status>
      <modifiedWord/>
      <trackRevisions>false</trackRevisions>
    </reviewItem>
    <reviewItem>
      <errorID>8eff63ab-bee3-4565-a99c-7bfc77332e73</errorID>
      <errorWord>)</errorWord>
      <group>L1_Format</group>
      <groupName>格式问题</groupName>
      <ability>L2_HalfPunc</ability>
      <abilityName>全半角检查</abilityName>
      <candidateList>
        <item>）</item>
      </candidateList>
      <explain>文本全半角错误。</explain>
      <paraID>4021A4DD</paraID>
      <start>49</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73d31b83-5cfe-4769-9fc4-9f9d03af4b2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1468</Words>
  <Characters>1617</Characters>
  <Lines>0</Lines>
  <Paragraphs>0</Paragraphs>
  <TotalTime>2</TotalTime>
  <ScaleCrop>false</ScaleCrop>
  <LinksUpToDate>false</LinksUpToDate>
  <CharactersWithSpaces>1622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2026-06-24T00:42:00Z</dcterms:created>
  <dc:creator>随心</dc:creator>
  <cp:lastModifiedBy>刘坤明</cp:lastModifiedBy>
  <dcterms:modified xsi:type="dcterms:W3CDTF">2026-07-17T06:31:59Z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0ED9BA13E2344E21A732391CEA8552A8_13</vt:lpwstr>
  </property>
  <property fmtid="{D5CDD505-2E9C-101B-9397-08002B2CF9AE}" pid="4" name="KSOTemplateDocerSaveRecord">
    <vt:lpwstr>eyJoZGlkIjoiNjdiOTYzY2M5YjBjNTI4NGM5OGE0OWU0MTAwNGQ0NmUiLCJ1c2VySWQiOiIxODYwMTM3NDEyIn0=</vt:lpwstr>
  </property>
</Properties>
</file>