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FA83B7">
      <w:pPr>
        <w:keepNext w:val="0"/>
        <w:keepLines w:val="0"/>
        <w:pageBreakBefore w:val="0"/>
        <w:widowControl w:val="0"/>
        <w:kinsoku/>
        <w:wordWrap/>
        <w:overflowPunct/>
        <w:topLinePunct w:val="0"/>
        <w:autoSpaceDE/>
        <w:autoSpaceDN/>
        <w:bidi w:val="0"/>
        <w:adjustRightInd w:val="0"/>
        <w:snapToGrid w:val="0"/>
        <w:spacing w:line="560" w:lineRule="exact"/>
        <w:jc w:val="center"/>
        <w:rPr>
          <w:rFonts w:hint="eastAsia" w:ascii="方正小标宋简体" w:hAnsi="方正小标宋简体" w:eastAsia="方正小标宋简体" w:cs="方正小标宋简体"/>
          <w:sz w:val="44"/>
          <w:szCs w:val="44"/>
          <w:highlight w:val="none"/>
        </w:rPr>
      </w:pPr>
    </w:p>
    <w:p w14:paraId="66411F78">
      <w:pPr>
        <w:keepNext w:val="0"/>
        <w:keepLines w:val="0"/>
        <w:pageBreakBefore w:val="0"/>
        <w:widowControl w:val="0"/>
        <w:kinsoku/>
        <w:wordWrap/>
        <w:overflowPunct/>
        <w:topLinePunct w:val="0"/>
        <w:autoSpaceDE/>
        <w:autoSpaceDN/>
        <w:bidi w:val="0"/>
        <w:adjustRightInd w:val="0"/>
        <w:snapToGrid w:val="0"/>
        <w:spacing w:line="560" w:lineRule="exact"/>
        <w:jc w:val="center"/>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山东新巨龙能源有限责任公司</w:t>
      </w:r>
    </w:p>
    <w:p w14:paraId="62781489">
      <w:pPr>
        <w:keepNext w:val="0"/>
        <w:keepLines w:val="0"/>
        <w:pageBreakBefore w:val="0"/>
        <w:widowControl w:val="0"/>
        <w:kinsoku/>
        <w:wordWrap/>
        <w:overflowPunct/>
        <w:topLinePunct w:val="0"/>
        <w:autoSpaceDE/>
        <w:autoSpaceDN/>
        <w:bidi w:val="0"/>
        <w:adjustRightInd w:val="0"/>
        <w:snapToGrid w:val="0"/>
        <w:spacing w:line="560" w:lineRule="exact"/>
        <w:jc w:val="center"/>
        <w:rPr>
          <w:rFonts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lang w:val="en-US" w:eastAsia="zh-CN"/>
        </w:rPr>
        <w:t>2025年度报告</w:t>
      </w:r>
      <w:r>
        <w:rPr>
          <w:rFonts w:hint="eastAsia" w:ascii="方正小标宋简体" w:hAnsi="方正小标宋简体" w:eastAsia="方正小标宋简体" w:cs="方正小标宋简体"/>
          <w:sz w:val="44"/>
          <w:szCs w:val="44"/>
          <w:highlight w:val="none"/>
        </w:rPr>
        <w:t>信息公开</w:t>
      </w:r>
    </w:p>
    <w:p w14:paraId="59DA5E93">
      <w:pPr>
        <w:keepNext w:val="0"/>
        <w:keepLines w:val="0"/>
        <w:pageBreakBefore w:val="0"/>
        <w:widowControl w:val="0"/>
        <w:kinsoku/>
        <w:wordWrap/>
        <w:overflowPunct/>
        <w:topLinePunct w:val="0"/>
        <w:autoSpaceDE/>
        <w:autoSpaceDN/>
        <w:bidi w:val="0"/>
        <w:adjustRightInd w:val="0"/>
        <w:snapToGrid w:val="0"/>
        <w:spacing w:line="560" w:lineRule="exact"/>
        <w:rPr>
          <w:rFonts w:ascii="仿宋_GB2312" w:hAnsi="仿宋_GB2312" w:eastAsia="仿宋_GB2312" w:cs="仿宋_GB2312"/>
          <w:sz w:val="32"/>
          <w:szCs w:val="32"/>
          <w:highlight w:val="none"/>
        </w:rPr>
      </w:pPr>
    </w:p>
    <w:p w14:paraId="50EB0028">
      <w:pPr>
        <w:spacing w:line="560" w:lineRule="exact"/>
        <w:ind w:firstLine="640" w:firstLineChars="200"/>
        <w:rPr>
          <w:rFonts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本公司董事会及全体董事保证本公告内容不存在任何虚假记载、误导性陈述或者重大遗漏，并对其内容的真实性、准确性和完整性承担个别及连带责任。</w:t>
      </w:r>
      <w:bookmarkStart w:id="1" w:name="_GoBack"/>
      <w:bookmarkEnd w:id="1"/>
    </w:p>
    <w:p w14:paraId="4226157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rPr>
          <w:rFonts w:ascii="黑体" w:hAnsi="黑体" w:eastAsia="黑体" w:cs="黑体"/>
          <w:sz w:val="32"/>
          <w:szCs w:val="32"/>
          <w:highlight w:val="none"/>
        </w:rPr>
      </w:pPr>
      <w:r>
        <w:rPr>
          <w:rFonts w:hint="eastAsia" w:ascii="黑体" w:hAnsi="黑体" w:eastAsia="黑体" w:cs="黑体"/>
          <w:sz w:val="32"/>
          <w:szCs w:val="32"/>
          <w:highlight w:val="none"/>
        </w:rPr>
        <w:t>一、企业信息</w:t>
      </w:r>
    </w:p>
    <w:p w14:paraId="744D062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1.山东新巨龙能源有限责任公司成立于2003年11月19日，于2004年6月开工建设，2009年底投产运营，是国家“十五”重点建设项目，隶属于山东能源集团鲁西矿业有限公司的国有特大型煤炭企业。</w:t>
      </w:r>
    </w:p>
    <w:p w14:paraId="5715FB6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2.新巨龙矿井具有资源丰富、煤种稀缺、装备高端、技术先进、交通便利、客户稳定、盈利能力强等优势，井田面积142km</w:t>
      </w:r>
      <w:r>
        <w:rPr>
          <w:rFonts w:hint="eastAsia" w:ascii="仿宋_GB2312" w:hAnsi="仿宋_GB2312" w:eastAsia="仿宋_GB2312" w:cs="仿宋_GB2312"/>
          <w:sz w:val="32"/>
          <w:szCs w:val="32"/>
          <w:highlight w:val="none"/>
          <w:vertAlign w:val="superscript"/>
        </w:rPr>
        <w:t>2</w:t>
      </w:r>
      <w:r>
        <w:rPr>
          <w:rFonts w:hint="eastAsia" w:ascii="仿宋_GB2312" w:hAnsi="仿宋_GB2312" w:eastAsia="仿宋_GB2312" w:cs="仿宋_GB2312"/>
          <w:sz w:val="32"/>
          <w:szCs w:val="32"/>
          <w:highlight w:val="none"/>
        </w:rPr>
        <w:t>，煤种以肥煤为主，属低灰、低硫、低磷、高发热量、强粘结性的优质稀缺炼焦煤。主要从事煤炭开采、洗选、加工及销售。经营范围：建筑材料、矿山机械的销售；煤炭开采、洗选、加工，采煤技术的咨询服务</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矿区内自用铁路维修。</w:t>
      </w:r>
    </w:p>
    <w:p w14:paraId="19E2DBF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3.公司统一社会信用代码为913700007563990580，公司住所为山东省菏泽市巨野县龙固镇，公司法定代表人为纪永虎，注册资本为人民币100,000.00万元，实收资本为人民币100,000.00万元，</w:t>
      </w:r>
      <w:bookmarkStart w:id="0" w:name="OLE_LINK1"/>
      <w:r>
        <w:rPr>
          <w:rFonts w:hint="eastAsia" w:ascii="仿宋_GB2312" w:hAnsi="仿宋_GB2312" w:eastAsia="仿宋_GB2312" w:cs="仿宋_GB2312"/>
          <w:sz w:val="32"/>
          <w:szCs w:val="32"/>
          <w:highlight w:val="none"/>
        </w:rPr>
        <w:t>是守信激励对象。</w:t>
      </w:r>
    </w:p>
    <w:p w14:paraId="4C10D42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rPr>
          <w:rFonts w:ascii="黑体" w:hAnsi="黑体" w:eastAsia="黑体" w:cs="黑体"/>
          <w:sz w:val="32"/>
          <w:szCs w:val="32"/>
          <w:highlight w:val="none"/>
        </w:rPr>
      </w:pPr>
      <w:r>
        <w:rPr>
          <w:rFonts w:hint="eastAsia" w:ascii="黑体" w:hAnsi="黑体" w:eastAsia="黑体" w:cs="黑体"/>
          <w:sz w:val="32"/>
          <w:szCs w:val="32"/>
          <w:highlight w:val="none"/>
        </w:rPr>
        <w:t>二、公司治理及管理架构</w:t>
      </w:r>
    </w:p>
    <w:p w14:paraId="200A742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根据《公司章程》及运营需要，公司设股东会、董事会、经理层和若干职能部门。</w:t>
      </w:r>
    </w:p>
    <w:p w14:paraId="490338CF">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left"/>
        <w:rPr>
          <w:rFonts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rPr>
        <w:t>机构设置：</w:t>
      </w:r>
      <w:r>
        <w:rPr>
          <w:rFonts w:hint="eastAsia" w:ascii="仿宋_GB2312" w:hAnsi="仿宋_GB2312" w:eastAsia="仿宋_GB2312" w:cs="仿宋_GB2312"/>
          <w:sz w:val="32"/>
          <w:szCs w:val="32"/>
          <w:highlight w:val="none"/>
        </w:rPr>
        <w:t>经鲁西矿业批复，新巨龙公司设置机构30个，其中党委工作机构4个、职能部室9个、基层单位15个、中心2个</w:t>
      </w:r>
    </w:p>
    <w:p w14:paraId="7D495573">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rPr>
          <w:rFonts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rPr>
        <w:t>（1）党委工作机构：</w:t>
      </w:r>
      <w:r>
        <w:rPr>
          <w:rFonts w:hint="eastAsia" w:ascii="仿宋_GB2312" w:hAnsi="仿宋_GB2312" w:eastAsia="仿宋_GB2312" w:cs="仿宋_GB2312"/>
          <w:sz w:val="32"/>
          <w:szCs w:val="32"/>
          <w:highlight w:val="none"/>
        </w:rPr>
        <w:t>综合办公室（党委办公室、董事会办公室、总经理办公室、督察办公室、压煤搬迁办公室）；党委组织部（人力资源部）；纪委；党群工作部（党委宣传部、党委统战部、工会、团委）</w:t>
      </w:r>
    </w:p>
    <w:p w14:paraId="58AFBBC2">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rPr>
          <w:rFonts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t>（2）职能部室：</w:t>
      </w:r>
      <w:r>
        <w:rPr>
          <w:rFonts w:hint="eastAsia" w:ascii="仿宋_GB2312" w:hAnsi="仿宋_GB2312" w:eastAsia="仿宋_GB2312" w:cs="仿宋_GB2312"/>
          <w:sz w:val="32"/>
          <w:szCs w:val="32"/>
          <w:highlight w:val="none"/>
          <w:shd w:val="clear" w:color="auto" w:fill="FFFFFF"/>
        </w:rPr>
        <w:t>财务管理部、运营管理部（审计法务部）、调度室、安全监察部（生态环保部）、生产技术部、机电管理部、地测测量部、通防管理部、防冲办公室</w:t>
      </w:r>
    </w:p>
    <w:p w14:paraId="44937505">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rPr>
          <w:rFonts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t>（3）基层单位：</w:t>
      </w:r>
      <w:r>
        <w:rPr>
          <w:rFonts w:hint="eastAsia" w:ascii="仿宋_GB2312" w:hAnsi="仿宋_GB2312" w:eastAsia="仿宋_GB2312" w:cs="仿宋_GB2312"/>
          <w:sz w:val="32"/>
          <w:szCs w:val="32"/>
          <w:highlight w:val="none"/>
          <w:shd w:val="clear" w:color="auto" w:fill="FFFFFF"/>
        </w:rPr>
        <w:t>采煤一区、采煤二区、掘进一区、掘进二区、掘进三区、开拓工区、机电工区、皮带工区、运输工区、通防工区、防冲工区、安装准备工区、巷修工区、煤质发运工区、新矿巨野选煤有限公司</w:t>
      </w:r>
    </w:p>
    <w:p w14:paraId="11B033EC">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rPr>
          <w:rFonts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t>（4）中心：</w:t>
      </w:r>
      <w:r>
        <w:rPr>
          <w:rFonts w:hint="eastAsia" w:ascii="仿宋_GB2312" w:hAnsi="仿宋_GB2312" w:eastAsia="仿宋_GB2312" w:cs="仿宋_GB2312"/>
          <w:sz w:val="32"/>
          <w:szCs w:val="32"/>
          <w:highlight w:val="none"/>
          <w:shd w:val="clear" w:color="auto" w:fill="FFFFFF"/>
        </w:rPr>
        <w:t>生产服务中心、综合服务中心</w:t>
      </w:r>
    </w:p>
    <w:p w14:paraId="64339FF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rPr>
          <w:rFonts w:ascii="黑体" w:hAnsi="黑体" w:eastAsia="黑体" w:cs="黑体"/>
          <w:sz w:val="32"/>
          <w:szCs w:val="32"/>
          <w:highlight w:val="none"/>
        </w:rPr>
      </w:pPr>
      <w:r>
        <w:rPr>
          <w:rFonts w:hint="eastAsia" w:ascii="黑体" w:hAnsi="黑体" w:eastAsia="黑体" w:cs="黑体"/>
          <w:sz w:val="32"/>
          <w:szCs w:val="32"/>
          <w:highlight w:val="none"/>
        </w:rPr>
        <w:t>三、</w:t>
      </w:r>
      <w:r>
        <w:rPr>
          <w:rFonts w:hint="eastAsia" w:ascii="黑体" w:hAnsi="黑体" w:eastAsia="黑体" w:cs="黑体"/>
          <w:sz w:val="32"/>
          <w:szCs w:val="32"/>
          <w:highlight w:val="none"/>
          <w:lang w:val="en-US" w:eastAsia="zh-CN"/>
        </w:rPr>
        <w:t>2025年度</w:t>
      </w:r>
      <w:r>
        <w:rPr>
          <w:rFonts w:hint="eastAsia" w:ascii="黑体" w:hAnsi="黑体" w:eastAsia="黑体" w:cs="黑体"/>
          <w:sz w:val="32"/>
          <w:szCs w:val="32"/>
          <w:highlight w:val="none"/>
        </w:rPr>
        <w:t>主要会计数据和财务指标</w:t>
      </w:r>
    </w:p>
    <w:p w14:paraId="09E80A7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eastAsia" w:ascii="仿宋_GB2312" w:hAnsi="Times New Roman" w:eastAsia="仿宋_GB2312" w:cs="Times New Roman"/>
          <w:sz w:val="32"/>
          <w:szCs w:val="32"/>
          <w:highlight w:val="none"/>
          <w:lang w:val="en-US" w:eastAsia="zh-CN"/>
        </w:rPr>
      </w:pPr>
      <w:r>
        <w:rPr>
          <w:rFonts w:hint="eastAsia" w:ascii="仿宋_GB2312" w:hAnsi="Times New Roman" w:eastAsia="仿宋_GB2312" w:cs="Times New Roman"/>
          <w:sz w:val="32"/>
          <w:szCs w:val="32"/>
          <w:highlight w:val="none"/>
        </w:rPr>
        <w:t>1.营业收入：</w:t>
      </w:r>
      <w:r>
        <w:rPr>
          <w:rFonts w:hint="eastAsia" w:ascii="仿宋_GB2312" w:eastAsia="仿宋_GB2312" w:cs="Times New Roman"/>
          <w:sz w:val="32"/>
          <w:szCs w:val="32"/>
          <w:highlight w:val="none"/>
          <w:lang w:val="en-US" w:eastAsia="zh-CN"/>
        </w:rPr>
        <w:t>44.07</w:t>
      </w:r>
      <w:r>
        <w:rPr>
          <w:rFonts w:hint="eastAsia" w:ascii="仿宋_GB2312" w:eastAsia="仿宋_GB2312" w:cs="Times New Roman"/>
          <w:sz w:val="32"/>
          <w:szCs w:val="32"/>
          <w:highlight w:val="none"/>
        </w:rPr>
        <w:t>亿</w:t>
      </w:r>
      <w:r>
        <w:rPr>
          <w:rFonts w:hint="eastAsia" w:ascii="仿宋_GB2312" w:hAnsi="Times New Roman" w:eastAsia="仿宋_GB2312" w:cs="Times New Roman"/>
          <w:sz w:val="32"/>
          <w:szCs w:val="32"/>
          <w:highlight w:val="none"/>
        </w:rPr>
        <w:t>元</w:t>
      </w:r>
      <w:r>
        <w:rPr>
          <w:rFonts w:hint="eastAsia" w:ascii="仿宋_GB2312" w:hAnsi="Times New Roman" w:eastAsia="仿宋_GB2312" w:cs="Times New Roman"/>
          <w:sz w:val="32"/>
          <w:szCs w:val="32"/>
          <w:highlight w:val="none"/>
          <w:lang w:eastAsia="zh-CN"/>
        </w:rPr>
        <w:t>。</w:t>
      </w:r>
    </w:p>
    <w:p w14:paraId="4ABB3A3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eastAsia" w:ascii="仿宋_GB2312" w:hAnsi="Times New Roman" w:eastAsia="仿宋_GB2312" w:cs="Times New Roman"/>
          <w:sz w:val="32"/>
          <w:szCs w:val="32"/>
          <w:highlight w:val="none"/>
          <w:lang w:val="en-US" w:eastAsia="zh-CN"/>
        </w:rPr>
      </w:pPr>
      <w:r>
        <w:rPr>
          <w:rFonts w:hint="eastAsia" w:ascii="仿宋_GB2312" w:hAnsi="Times New Roman" w:eastAsia="仿宋_GB2312" w:cs="Times New Roman"/>
          <w:sz w:val="32"/>
          <w:szCs w:val="32"/>
          <w:highlight w:val="none"/>
        </w:rPr>
        <w:t>2.利润总额：</w:t>
      </w:r>
      <w:r>
        <w:rPr>
          <w:rFonts w:hint="eastAsia" w:ascii="仿宋_GB2312" w:hAnsi="Times New Roman" w:eastAsia="仿宋_GB2312" w:cs="Times New Roman"/>
          <w:sz w:val="32"/>
          <w:szCs w:val="32"/>
          <w:highlight w:val="none"/>
          <w:lang w:val="en-US" w:eastAsia="zh-CN"/>
        </w:rPr>
        <w:t>17.53</w:t>
      </w:r>
      <w:r>
        <w:rPr>
          <w:rFonts w:hint="eastAsia" w:ascii="仿宋_GB2312" w:eastAsia="仿宋_GB2312" w:cs="Times New Roman"/>
          <w:sz w:val="32"/>
          <w:szCs w:val="32"/>
          <w:highlight w:val="none"/>
        </w:rPr>
        <w:t>亿</w:t>
      </w:r>
      <w:r>
        <w:rPr>
          <w:rFonts w:hint="eastAsia" w:ascii="仿宋_GB2312" w:hAnsi="Times New Roman" w:eastAsia="仿宋_GB2312" w:cs="Times New Roman"/>
          <w:sz w:val="32"/>
          <w:szCs w:val="32"/>
          <w:highlight w:val="none"/>
        </w:rPr>
        <w:t>元</w:t>
      </w:r>
      <w:r>
        <w:rPr>
          <w:rFonts w:hint="eastAsia" w:ascii="仿宋_GB2312" w:hAnsi="Times New Roman" w:eastAsia="仿宋_GB2312" w:cs="Times New Roman"/>
          <w:sz w:val="32"/>
          <w:szCs w:val="32"/>
          <w:highlight w:val="none"/>
          <w:lang w:eastAsia="zh-CN"/>
        </w:rPr>
        <w:t>。</w:t>
      </w:r>
    </w:p>
    <w:p w14:paraId="1E560DC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rPr>
          <w:rFonts w:hint="eastAsia" w:ascii="仿宋_GB2312" w:hAnsi="宋体" w:eastAsia="仿宋_GB2312"/>
          <w:sz w:val="32"/>
          <w:szCs w:val="32"/>
          <w:highlight w:val="none"/>
          <w:lang w:eastAsia="zh-CN"/>
        </w:rPr>
      </w:pPr>
      <w:r>
        <w:rPr>
          <w:rFonts w:hint="eastAsia" w:ascii="仿宋_GB2312" w:hAnsi="宋体" w:eastAsia="仿宋_GB2312"/>
          <w:sz w:val="32"/>
          <w:szCs w:val="32"/>
          <w:highlight w:val="none"/>
        </w:rPr>
        <w:t>3.净利润：</w:t>
      </w:r>
      <w:r>
        <w:rPr>
          <w:rFonts w:hint="eastAsia" w:ascii="仿宋_GB2312" w:hAnsi="宋体" w:eastAsia="仿宋_GB2312"/>
          <w:sz w:val="32"/>
          <w:szCs w:val="32"/>
          <w:highlight w:val="none"/>
          <w:lang w:val="en-US" w:eastAsia="zh-CN"/>
        </w:rPr>
        <w:t>13.02</w:t>
      </w:r>
      <w:r>
        <w:rPr>
          <w:rFonts w:hint="eastAsia" w:ascii="仿宋_GB2312" w:hAnsi="宋体" w:eastAsia="仿宋_GB2312" w:cs="Times New Roman"/>
          <w:sz w:val="32"/>
          <w:szCs w:val="32"/>
          <w:highlight w:val="none"/>
          <w:lang w:bidi="ar"/>
        </w:rPr>
        <w:t>亿元</w:t>
      </w:r>
      <w:r>
        <w:rPr>
          <w:rFonts w:hint="eastAsia" w:ascii="仿宋_GB2312" w:hAnsi="宋体" w:eastAsia="仿宋_GB2312" w:cs="Times New Roman"/>
          <w:sz w:val="32"/>
          <w:szCs w:val="32"/>
          <w:highlight w:val="none"/>
          <w:lang w:eastAsia="zh-CN" w:bidi="ar"/>
        </w:rPr>
        <w:t>。</w:t>
      </w:r>
    </w:p>
    <w:p w14:paraId="335BE51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rPr>
          <w:rFonts w:hint="eastAsia" w:ascii="仿宋_GB2312" w:hAnsi="宋体" w:eastAsia="仿宋_GB2312"/>
          <w:sz w:val="32"/>
          <w:szCs w:val="32"/>
          <w:highlight w:val="none"/>
          <w:lang w:eastAsia="zh-CN"/>
        </w:rPr>
      </w:pPr>
      <w:r>
        <w:rPr>
          <w:rFonts w:hint="eastAsia" w:ascii="仿宋_GB2312" w:hAnsi="宋体" w:eastAsia="仿宋_GB2312"/>
          <w:sz w:val="32"/>
          <w:szCs w:val="32"/>
          <w:highlight w:val="none"/>
        </w:rPr>
        <w:t>4.应交税费总额：</w:t>
      </w:r>
      <w:r>
        <w:rPr>
          <w:rFonts w:hint="eastAsia" w:ascii="仿宋_GB2312" w:hAnsi="宋体" w:eastAsia="仿宋_GB2312"/>
          <w:sz w:val="32"/>
          <w:szCs w:val="32"/>
          <w:highlight w:val="none"/>
          <w:lang w:val="en-US" w:eastAsia="zh-CN"/>
        </w:rPr>
        <w:t>11.86</w:t>
      </w:r>
      <w:r>
        <w:rPr>
          <w:rFonts w:hint="eastAsia" w:ascii="仿宋_GB2312" w:hAnsi="宋体" w:eastAsia="仿宋_GB2312"/>
          <w:sz w:val="32"/>
          <w:szCs w:val="32"/>
          <w:highlight w:val="none"/>
        </w:rPr>
        <w:t>亿元</w:t>
      </w:r>
      <w:r>
        <w:rPr>
          <w:rFonts w:hint="eastAsia" w:ascii="仿宋_GB2312" w:hAnsi="宋体" w:eastAsia="仿宋_GB2312"/>
          <w:sz w:val="32"/>
          <w:szCs w:val="32"/>
          <w:highlight w:val="none"/>
          <w:lang w:eastAsia="zh-CN"/>
        </w:rPr>
        <w:t>。</w:t>
      </w:r>
    </w:p>
    <w:p w14:paraId="698186E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rPr>
          <w:rFonts w:hint="eastAsia" w:ascii="仿宋_GB2312" w:hAnsi="宋体" w:eastAsia="仿宋_GB2312"/>
          <w:sz w:val="32"/>
          <w:szCs w:val="32"/>
          <w:highlight w:val="none"/>
          <w:lang w:eastAsia="zh-CN"/>
        </w:rPr>
      </w:pPr>
      <w:r>
        <w:rPr>
          <w:rFonts w:hint="eastAsia" w:ascii="仿宋_GB2312" w:hAnsi="宋体" w:eastAsia="仿宋_GB2312"/>
          <w:sz w:val="32"/>
          <w:szCs w:val="32"/>
          <w:highlight w:val="none"/>
        </w:rPr>
        <w:t>5.资产总额：</w:t>
      </w:r>
      <w:r>
        <w:rPr>
          <w:rFonts w:hint="eastAsia" w:ascii="仿宋_GB2312" w:hAnsi="宋体" w:eastAsia="仿宋_GB2312"/>
          <w:sz w:val="32"/>
          <w:szCs w:val="32"/>
          <w:highlight w:val="none"/>
          <w:lang w:val="en-US" w:eastAsia="zh-CN"/>
        </w:rPr>
        <w:t>108.28</w:t>
      </w:r>
      <w:r>
        <w:rPr>
          <w:rFonts w:hint="eastAsia" w:ascii="仿宋_GB2312" w:hAnsi="宋体" w:eastAsia="仿宋_GB2312"/>
          <w:sz w:val="32"/>
          <w:szCs w:val="32"/>
          <w:highlight w:val="none"/>
        </w:rPr>
        <w:t>亿元</w:t>
      </w:r>
      <w:r>
        <w:rPr>
          <w:rFonts w:hint="eastAsia" w:ascii="仿宋_GB2312" w:hAnsi="宋体" w:eastAsia="仿宋_GB2312"/>
          <w:sz w:val="32"/>
          <w:szCs w:val="32"/>
          <w:highlight w:val="none"/>
          <w:lang w:eastAsia="zh-CN"/>
        </w:rPr>
        <w:t>。</w:t>
      </w:r>
    </w:p>
    <w:p w14:paraId="2F982F7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rPr>
          <w:rFonts w:hint="eastAsia" w:ascii="仿宋_GB2312" w:hAnsi="宋体" w:eastAsia="仿宋_GB2312"/>
          <w:sz w:val="32"/>
          <w:szCs w:val="32"/>
          <w:highlight w:val="none"/>
          <w:lang w:eastAsia="zh-CN"/>
        </w:rPr>
      </w:pPr>
      <w:r>
        <w:rPr>
          <w:rFonts w:hint="eastAsia" w:ascii="仿宋_GB2312" w:hAnsi="宋体" w:eastAsia="仿宋_GB2312"/>
          <w:sz w:val="32"/>
          <w:szCs w:val="32"/>
          <w:highlight w:val="none"/>
        </w:rPr>
        <w:t>6.负债总额：</w:t>
      </w:r>
      <w:r>
        <w:rPr>
          <w:rFonts w:hint="eastAsia" w:ascii="仿宋_GB2312" w:hAnsi="宋体" w:eastAsia="仿宋_GB2312"/>
          <w:sz w:val="32"/>
          <w:szCs w:val="32"/>
          <w:highlight w:val="none"/>
          <w:lang w:val="en-US" w:eastAsia="zh-CN"/>
        </w:rPr>
        <w:t>58.64</w:t>
      </w:r>
      <w:r>
        <w:rPr>
          <w:rFonts w:hint="eastAsia" w:ascii="仿宋_GB2312" w:hAnsi="宋体" w:eastAsia="仿宋_GB2312"/>
          <w:sz w:val="32"/>
          <w:szCs w:val="32"/>
          <w:highlight w:val="none"/>
        </w:rPr>
        <w:t>亿元</w:t>
      </w:r>
      <w:r>
        <w:rPr>
          <w:rFonts w:hint="eastAsia" w:ascii="仿宋_GB2312" w:hAnsi="宋体" w:eastAsia="仿宋_GB2312"/>
          <w:sz w:val="32"/>
          <w:szCs w:val="32"/>
          <w:highlight w:val="none"/>
          <w:lang w:eastAsia="zh-CN"/>
        </w:rPr>
        <w:t>。</w:t>
      </w:r>
    </w:p>
    <w:p w14:paraId="378066D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rPr>
          <w:rFonts w:hint="eastAsia" w:ascii="仿宋_GB2312" w:hAnsi="仿宋_GB2312" w:eastAsia="仿宋_GB2312" w:cs="仿宋_GB2312"/>
          <w:sz w:val="32"/>
          <w:szCs w:val="32"/>
          <w:highlight w:val="none"/>
          <w:lang w:eastAsia="zh-CN"/>
        </w:rPr>
      </w:pPr>
      <w:r>
        <w:rPr>
          <w:rFonts w:hint="eastAsia" w:ascii="仿宋_GB2312" w:hAnsi="宋体" w:eastAsia="仿宋_GB2312"/>
          <w:sz w:val="32"/>
          <w:szCs w:val="32"/>
          <w:highlight w:val="none"/>
        </w:rPr>
        <w:t>7.所有者权益：</w:t>
      </w:r>
      <w:r>
        <w:rPr>
          <w:rFonts w:hint="eastAsia" w:ascii="仿宋_GB2312" w:hAnsi="宋体" w:eastAsia="仿宋_GB2312"/>
          <w:sz w:val="32"/>
          <w:szCs w:val="32"/>
          <w:highlight w:val="none"/>
          <w:lang w:val="en-US" w:eastAsia="zh-CN"/>
        </w:rPr>
        <w:t>49.64</w:t>
      </w:r>
      <w:r>
        <w:rPr>
          <w:rFonts w:hint="eastAsia" w:ascii="仿宋_GB2312" w:hAnsi="宋体" w:eastAsia="仿宋_GB2312"/>
          <w:sz w:val="32"/>
          <w:szCs w:val="32"/>
          <w:highlight w:val="none"/>
        </w:rPr>
        <w:t>亿元</w:t>
      </w:r>
      <w:r>
        <w:rPr>
          <w:rFonts w:hint="eastAsia" w:ascii="仿宋_GB2312" w:hAnsi="宋体" w:eastAsia="仿宋_GB2312"/>
          <w:sz w:val="32"/>
          <w:szCs w:val="32"/>
          <w:highlight w:val="none"/>
          <w:lang w:eastAsia="zh-CN"/>
        </w:rPr>
        <w:t>。</w:t>
      </w:r>
    </w:p>
    <w:p w14:paraId="54F46B8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rPr>
        <w:t>四、财务会计报告和审计报告摘要</w:t>
      </w:r>
    </w:p>
    <w:p w14:paraId="729494A4">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eastAsia" w:ascii="楷体_GB2312" w:hAnsi="楷体_GB2312" w:eastAsia="楷体_GB2312" w:cs="楷体_GB2312"/>
          <w:b/>
          <w:bCs/>
          <w:sz w:val="32"/>
          <w:szCs w:val="32"/>
          <w:highlight w:val="none"/>
        </w:rPr>
      </w:pPr>
      <w:r>
        <w:rPr>
          <w:rFonts w:hint="eastAsia" w:ascii="楷体_GB2312" w:hAnsi="楷体_GB2312" w:eastAsia="楷体_GB2312" w:cs="楷体_GB2312"/>
          <w:b/>
          <w:bCs/>
          <w:sz w:val="32"/>
          <w:szCs w:val="32"/>
          <w:highlight w:val="none"/>
          <w:lang w:bidi="ar"/>
        </w:rPr>
        <w:t>（一）财务会计报告</w:t>
      </w:r>
    </w:p>
    <w:p w14:paraId="38952174">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ascii="仿宋_GB2312" w:hAnsi="仿宋_GB2312" w:eastAsia="仿宋_GB2312" w:cs="仿宋_GB2312"/>
          <w:b/>
          <w:bCs/>
          <w:sz w:val="32"/>
          <w:szCs w:val="32"/>
          <w:highlight w:val="none"/>
          <w:lang w:bidi="ar"/>
        </w:rPr>
      </w:pPr>
      <w:r>
        <w:rPr>
          <w:rFonts w:hint="eastAsia" w:ascii="仿宋_GB2312" w:hAnsi="仿宋_GB2312" w:eastAsia="仿宋_GB2312" w:cs="仿宋_GB2312"/>
          <w:b/>
          <w:bCs/>
          <w:sz w:val="32"/>
          <w:szCs w:val="32"/>
          <w:highlight w:val="none"/>
          <w:lang w:bidi="ar"/>
        </w:rPr>
        <w:t>1.编制基础</w:t>
      </w:r>
    </w:p>
    <w:p w14:paraId="1C55D53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highlight w:val="none"/>
          <w:lang w:bidi="ar"/>
        </w:rPr>
      </w:pPr>
      <w:r>
        <w:rPr>
          <w:rFonts w:hint="eastAsia" w:ascii="仿宋_GB2312" w:hAnsi="仿宋_GB2312" w:eastAsia="仿宋_GB2312" w:cs="仿宋_GB2312"/>
          <w:sz w:val="32"/>
          <w:szCs w:val="32"/>
          <w:highlight w:val="none"/>
          <w:lang w:bidi="ar"/>
        </w:rPr>
        <w:t>本公司财务报表以持续经营假设为基础，根据实际发生的交易和事项，按照财政部发布的《企业会计准则——基本准则》和各项具体会计准则、企业会计准则应用指南、企业会计准则解释及其他相关规定（以下合称“企业会计准则”）</w:t>
      </w:r>
      <w:r>
        <w:rPr>
          <w:rFonts w:hint="eastAsia" w:ascii="仿宋_GB2312" w:hAnsi="仿宋_GB2312" w:eastAsia="仿宋_GB2312" w:cs="仿宋_GB2312"/>
          <w:sz w:val="32"/>
          <w:szCs w:val="32"/>
          <w:highlight w:val="none"/>
          <w:lang w:val="en-US" w:eastAsia="zh-CN" w:bidi="ar"/>
        </w:rPr>
        <w:t>的规定</w:t>
      </w:r>
      <w:r>
        <w:rPr>
          <w:rFonts w:hint="eastAsia" w:ascii="仿宋_GB2312" w:hAnsi="仿宋_GB2312" w:eastAsia="仿宋_GB2312" w:cs="仿宋_GB2312"/>
          <w:sz w:val="32"/>
          <w:szCs w:val="32"/>
          <w:highlight w:val="none"/>
          <w:lang w:bidi="ar"/>
        </w:rPr>
        <w:t>编制。</w:t>
      </w:r>
    </w:p>
    <w:p w14:paraId="76450F9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highlight w:val="none"/>
          <w:lang w:bidi="ar"/>
        </w:rPr>
      </w:pPr>
      <w:r>
        <w:rPr>
          <w:rFonts w:hint="eastAsia" w:ascii="仿宋_GB2312" w:hAnsi="仿宋_GB2312" w:eastAsia="仿宋_GB2312" w:cs="仿宋_GB2312"/>
          <w:sz w:val="32"/>
          <w:szCs w:val="32"/>
          <w:highlight w:val="none"/>
          <w:lang w:bidi="ar"/>
        </w:rPr>
        <w:t>根据企业会计准则的相关规定，本公司会计核算以权责发生制为基础。除某些金融工具外，本财务报表均以历史成本为计量基础。资产如果发生减值，则按照相关规定计提相应的减值准备。</w:t>
      </w:r>
    </w:p>
    <w:p w14:paraId="3F204EAA">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ascii="仿宋_GB2312" w:hAnsi="仿宋_GB2312" w:eastAsia="仿宋_GB2312" w:cs="仿宋_GB2312"/>
          <w:b/>
          <w:bCs/>
          <w:sz w:val="32"/>
          <w:szCs w:val="32"/>
          <w:highlight w:val="none"/>
          <w:lang w:bidi="ar"/>
        </w:rPr>
      </w:pPr>
      <w:r>
        <w:rPr>
          <w:rFonts w:hint="eastAsia" w:ascii="仿宋_GB2312" w:hAnsi="仿宋_GB2312" w:eastAsia="仿宋_GB2312" w:cs="仿宋_GB2312"/>
          <w:b/>
          <w:bCs/>
          <w:sz w:val="32"/>
          <w:szCs w:val="32"/>
          <w:highlight w:val="none"/>
          <w:lang w:bidi="ar"/>
        </w:rPr>
        <w:t>2.持续经营</w:t>
      </w:r>
    </w:p>
    <w:p w14:paraId="7813B7B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highlight w:val="none"/>
          <w:lang w:bidi="ar"/>
        </w:rPr>
      </w:pPr>
      <w:r>
        <w:rPr>
          <w:rFonts w:hint="eastAsia" w:ascii="仿宋_GB2312" w:hAnsi="仿宋_GB2312" w:eastAsia="仿宋_GB2312" w:cs="仿宋_GB2312"/>
          <w:sz w:val="32"/>
          <w:szCs w:val="32"/>
          <w:highlight w:val="none"/>
          <w:lang w:bidi="ar"/>
        </w:rPr>
        <w:t>本财务报表以持续经营为基础列报，本公司自报告期末起至少12个月具有持续经营能力。</w:t>
      </w:r>
    </w:p>
    <w:p w14:paraId="101CCB53">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eastAsia" w:ascii="楷体_GB2312" w:hAnsi="楷体_GB2312" w:eastAsia="楷体_GB2312" w:cs="楷体_GB2312"/>
          <w:b/>
          <w:bCs/>
          <w:sz w:val="32"/>
          <w:szCs w:val="32"/>
          <w:highlight w:val="none"/>
          <w:lang w:bidi="ar"/>
        </w:rPr>
      </w:pPr>
      <w:r>
        <w:rPr>
          <w:rFonts w:hint="eastAsia" w:ascii="楷体_GB2312" w:hAnsi="楷体_GB2312" w:eastAsia="楷体_GB2312" w:cs="楷体_GB2312"/>
          <w:b/>
          <w:bCs/>
          <w:sz w:val="32"/>
          <w:szCs w:val="32"/>
          <w:highlight w:val="none"/>
          <w:lang w:bidi="ar"/>
        </w:rPr>
        <w:t>（二）审计报告意见</w:t>
      </w:r>
    </w:p>
    <w:p w14:paraId="27CB211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highlight w:val="none"/>
        </w:rPr>
      </w:pPr>
      <w:r>
        <w:rPr>
          <w:rFonts w:ascii="仿宋_GB2312" w:hAnsi="仿宋_GB2312" w:eastAsia="仿宋_GB2312" w:cs="仿宋_GB2312"/>
          <w:sz w:val="32"/>
          <w:szCs w:val="32"/>
          <w:highlight w:val="none"/>
        </w:rPr>
        <w:t>新联谊会计师事务所（特殊普通合伙）</w:t>
      </w:r>
      <w:r>
        <w:rPr>
          <w:rFonts w:hint="eastAsia" w:ascii="仿宋_GB2312" w:hAnsi="仿宋_GB2312" w:eastAsia="仿宋_GB2312" w:cs="仿宋_GB2312"/>
          <w:sz w:val="32"/>
          <w:szCs w:val="32"/>
          <w:highlight w:val="none"/>
          <w:lang w:val="en-US" w:eastAsia="zh-CN"/>
        </w:rPr>
        <w:t>济宁分所</w:t>
      </w:r>
      <w:r>
        <w:rPr>
          <w:rFonts w:hint="eastAsia" w:ascii="仿宋_GB2312" w:hAnsi="仿宋_GB2312" w:eastAsia="仿宋_GB2312" w:cs="仿宋_GB2312"/>
          <w:sz w:val="32"/>
          <w:szCs w:val="32"/>
          <w:highlight w:val="none"/>
        </w:rPr>
        <w:t>审计了山东新巨龙能源有限责任公司</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以下简称“新巨龙公司”）</w:t>
      </w:r>
      <w:r>
        <w:rPr>
          <w:rFonts w:hint="eastAsia" w:ascii="仿宋_GB2312" w:hAnsi="仿宋_GB2312" w:eastAsia="仿宋_GB2312" w:cs="仿宋_GB2312"/>
          <w:sz w:val="32"/>
          <w:szCs w:val="32"/>
          <w:highlight w:val="none"/>
        </w:rPr>
        <w:t>财务报表，包括2025年12月31日的资产负债表，2025年度的利润表、现金流量表、所有者权益变动表以及相关财务报表附注。认为新巨龙公司财务报表在所有重大方面按照企业会计准则的规定编制，公允反映了</w:t>
      </w:r>
      <w:r>
        <w:rPr>
          <w:rFonts w:hint="eastAsia" w:ascii="仿宋_GB2312" w:hAnsi="仿宋_GB2312" w:eastAsia="仿宋_GB2312" w:cs="仿宋_GB2312"/>
          <w:sz w:val="32"/>
          <w:szCs w:val="32"/>
          <w:highlight w:val="none"/>
          <w:lang w:val="en-US" w:eastAsia="zh-CN"/>
        </w:rPr>
        <w:t>新巨龙</w:t>
      </w:r>
      <w:r>
        <w:rPr>
          <w:rFonts w:hint="eastAsia" w:ascii="仿宋_GB2312" w:hAnsi="仿宋_GB2312" w:eastAsia="仿宋_GB2312" w:cs="仿宋_GB2312"/>
          <w:sz w:val="32"/>
          <w:szCs w:val="32"/>
          <w:highlight w:val="none"/>
        </w:rPr>
        <w:t>公司2025年12月31日的财务状况以及2025年度的经营成果和现金流量。</w:t>
      </w:r>
    </w:p>
    <w:p w14:paraId="6D59DFB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rPr>
          <w:rFonts w:ascii="黑体" w:hAnsi="黑体" w:eastAsia="黑体" w:cs="黑体"/>
          <w:sz w:val="32"/>
          <w:szCs w:val="32"/>
          <w:highlight w:val="none"/>
        </w:rPr>
      </w:pPr>
      <w:r>
        <w:rPr>
          <w:rFonts w:hint="eastAsia" w:ascii="黑体" w:hAnsi="黑体" w:eastAsia="黑体" w:cs="黑体"/>
          <w:sz w:val="32"/>
          <w:szCs w:val="32"/>
          <w:highlight w:val="none"/>
        </w:rPr>
        <w:t>五、对外大额捐赠、赞助情况</w:t>
      </w:r>
    </w:p>
    <w:p w14:paraId="29F0A38D">
      <w:pPr>
        <w:pStyle w:val="2"/>
        <w:keepNext w:val="0"/>
        <w:keepLines w:val="0"/>
        <w:pageBreakBefore w:val="0"/>
        <w:widowControl w:val="0"/>
        <w:kinsoku/>
        <w:wordWrap/>
        <w:overflowPunct/>
        <w:topLinePunct w:val="0"/>
        <w:autoSpaceDE/>
        <w:autoSpaceDN/>
        <w:bidi w:val="0"/>
        <w:adjustRightInd w:val="0"/>
        <w:snapToGrid w:val="0"/>
        <w:spacing w:line="560" w:lineRule="exact"/>
        <w:ind w:firstLine="64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2025年度，未发生对外大额捐赠、赞助情况。</w:t>
      </w:r>
    </w:p>
    <w:p w14:paraId="2AFB899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rPr>
          <w:rFonts w:ascii="黑体" w:hAnsi="黑体" w:eastAsia="黑体" w:cs="黑体"/>
          <w:sz w:val="32"/>
          <w:szCs w:val="32"/>
          <w:highlight w:val="none"/>
        </w:rPr>
      </w:pPr>
      <w:r>
        <w:rPr>
          <w:rFonts w:hint="eastAsia" w:ascii="黑体" w:hAnsi="黑体" w:eastAsia="黑体" w:cs="黑体"/>
          <w:sz w:val="32"/>
          <w:szCs w:val="32"/>
          <w:highlight w:val="none"/>
        </w:rPr>
        <w:t>六、年度内发生的重大事项及对企业的影响</w:t>
      </w:r>
    </w:p>
    <w:p w14:paraId="4760E94F">
      <w:pPr>
        <w:pStyle w:val="2"/>
        <w:keepNext w:val="0"/>
        <w:keepLines w:val="0"/>
        <w:pageBreakBefore w:val="0"/>
        <w:widowControl w:val="0"/>
        <w:kinsoku/>
        <w:wordWrap/>
        <w:overflowPunct/>
        <w:topLinePunct w:val="0"/>
        <w:autoSpaceDE/>
        <w:autoSpaceDN/>
        <w:bidi w:val="0"/>
        <w:adjustRightInd w:val="0"/>
        <w:snapToGrid w:val="0"/>
        <w:spacing w:line="560" w:lineRule="exact"/>
        <w:ind w:firstLine="64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2025年度，未发生重大事项。</w:t>
      </w:r>
    </w:p>
    <w:p w14:paraId="440F8D4C">
      <w:pPr>
        <w:keepNext w:val="0"/>
        <w:keepLines w:val="0"/>
        <w:pageBreakBefore w:val="0"/>
        <w:widowControl w:val="0"/>
        <w:kinsoku/>
        <w:wordWrap/>
        <w:overflowPunct/>
        <w:topLinePunct w:val="0"/>
        <w:autoSpaceDE/>
        <w:autoSpaceDN/>
        <w:bidi w:val="0"/>
        <w:adjustRightInd w:val="0"/>
        <w:snapToGrid w:val="0"/>
        <w:spacing w:line="560" w:lineRule="exact"/>
        <w:rPr>
          <w:rFonts w:ascii="仿宋_GB2312" w:hAnsi="仿宋_GB2312" w:eastAsia="仿宋_GB2312" w:cs="仿宋_GB2312"/>
          <w:sz w:val="32"/>
          <w:szCs w:val="32"/>
          <w:highlight w:val="none"/>
        </w:rPr>
      </w:pPr>
    </w:p>
    <w:bookmarkEnd w:id="0"/>
    <w:p w14:paraId="710E8A22">
      <w:pPr>
        <w:pStyle w:val="2"/>
        <w:keepNext w:val="0"/>
        <w:keepLines w:val="0"/>
        <w:pageBreakBefore w:val="0"/>
        <w:widowControl w:val="0"/>
        <w:kinsoku/>
        <w:wordWrap/>
        <w:overflowPunct/>
        <w:topLinePunct w:val="0"/>
        <w:autoSpaceDE/>
        <w:autoSpaceDN/>
        <w:bidi w:val="0"/>
        <w:adjustRightInd w:val="0"/>
        <w:snapToGrid w:val="0"/>
        <w:spacing w:line="560" w:lineRule="exact"/>
        <w:rPr>
          <w:highlight w:val="none"/>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8"/>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I3MjQ1MTg2NDg3ZmEzYjdkMzRjNDIxM2MxMWJiY2QifQ=="/>
  </w:docVars>
  <w:rsids>
    <w:rsidRoot w:val="001C1E7E"/>
    <w:rsid w:val="000F15A2"/>
    <w:rsid w:val="00165FC4"/>
    <w:rsid w:val="001C1E7E"/>
    <w:rsid w:val="00360E24"/>
    <w:rsid w:val="003C0915"/>
    <w:rsid w:val="004C2406"/>
    <w:rsid w:val="00873578"/>
    <w:rsid w:val="00A723F4"/>
    <w:rsid w:val="00B66C58"/>
    <w:rsid w:val="00CE72AE"/>
    <w:rsid w:val="00D5063D"/>
    <w:rsid w:val="00FC0394"/>
    <w:rsid w:val="01853E11"/>
    <w:rsid w:val="01D9415D"/>
    <w:rsid w:val="02306473"/>
    <w:rsid w:val="02C866AB"/>
    <w:rsid w:val="03101E00"/>
    <w:rsid w:val="0314369E"/>
    <w:rsid w:val="03393105"/>
    <w:rsid w:val="037647E2"/>
    <w:rsid w:val="03FE7EAB"/>
    <w:rsid w:val="05B30F86"/>
    <w:rsid w:val="05C018BB"/>
    <w:rsid w:val="063E0A32"/>
    <w:rsid w:val="06F061D0"/>
    <w:rsid w:val="07117EF5"/>
    <w:rsid w:val="071E1F77"/>
    <w:rsid w:val="07CD6512"/>
    <w:rsid w:val="07FF1E34"/>
    <w:rsid w:val="0874698D"/>
    <w:rsid w:val="08DD4532"/>
    <w:rsid w:val="095C020E"/>
    <w:rsid w:val="0A165F4E"/>
    <w:rsid w:val="0A577730"/>
    <w:rsid w:val="0ACC751E"/>
    <w:rsid w:val="0ADD6A6C"/>
    <w:rsid w:val="0B4E7969"/>
    <w:rsid w:val="0C0A02D3"/>
    <w:rsid w:val="0C3C0826"/>
    <w:rsid w:val="0D5D3E94"/>
    <w:rsid w:val="0D904269"/>
    <w:rsid w:val="0D9553DC"/>
    <w:rsid w:val="0E601E8E"/>
    <w:rsid w:val="0EBB3568"/>
    <w:rsid w:val="0EC47258"/>
    <w:rsid w:val="0F580DB7"/>
    <w:rsid w:val="0FC430FB"/>
    <w:rsid w:val="0FF30ADF"/>
    <w:rsid w:val="10DB69A3"/>
    <w:rsid w:val="110C12EC"/>
    <w:rsid w:val="114E06C3"/>
    <w:rsid w:val="11641C95"/>
    <w:rsid w:val="11B61DC5"/>
    <w:rsid w:val="120F47DE"/>
    <w:rsid w:val="12D22C2E"/>
    <w:rsid w:val="12D469A6"/>
    <w:rsid w:val="135713D3"/>
    <w:rsid w:val="13620456"/>
    <w:rsid w:val="13655850"/>
    <w:rsid w:val="13723F7D"/>
    <w:rsid w:val="147C3A3A"/>
    <w:rsid w:val="149A59CD"/>
    <w:rsid w:val="14B20F69"/>
    <w:rsid w:val="150A407B"/>
    <w:rsid w:val="160B0931"/>
    <w:rsid w:val="16774218"/>
    <w:rsid w:val="170151A8"/>
    <w:rsid w:val="17101F77"/>
    <w:rsid w:val="176F6C9D"/>
    <w:rsid w:val="17C82150"/>
    <w:rsid w:val="186B3909"/>
    <w:rsid w:val="18AB1F57"/>
    <w:rsid w:val="18DC0363"/>
    <w:rsid w:val="194F6D87"/>
    <w:rsid w:val="19595E57"/>
    <w:rsid w:val="1A206975"/>
    <w:rsid w:val="1AE300CE"/>
    <w:rsid w:val="1B26371D"/>
    <w:rsid w:val="1BC25F36"/>
    <w:rsid w:val="1C2838BF"/>
    <w:rsid w:val="1C4A1C20"/>
    <w:rsid w:val="1D1207F7"/>
    <w:rsid w:val="1D474C34"/>
    <w:rsid w:val="1DB7139E"/>
    <w:rsid w:val="1E05210A"/>
    <w:rsid w:val="1EA35E34"/>
    <w:rsid w:val="1ED51BA6"/>
    <w:rsid w:val="1F550E6F"/>
    <w:rsid w:val="1FA45952"/>
    <w:rsid w:val="218926BE"/>
    <w:rsid w:val="221019E7"/>
    <w:rsid w:val="227C4964"/>
    <w:rsid w:val="23275611"/>
    <w:rsid w:val="2378782E"/>
    <w:rsid w:val="23817D3E"/>
    <w:rsid w:val="23E629DD"/>
    <w:rsid w:val="24743B45"/>
    <w:rsid w:val="25EE5B79"/>
    <w:rsid w:val="261849A4"/>
    <w:rsid w:val="266B0F78"/>
    <w:rsid w:val="267B0179"/>
    <w:rsid w:val="26E33204"/>
    <w:rsid w:val="270A0791"/>
    <w:rsid w:val="27363334"/>
    <w:rsid w:val="27433CA3"/>
    <w:rsid w:val="27736336"/>
    <w:rsid w:val="27982240"/>
    <w:rsid w:val="27C60B5C"/>
    <w:rsid w:val="27CC1EEA"/>
    <w:rsid w:val="28101DD7"/>
    <w:rsid w:val="282633A8"/>
    <w:rsid w:val="28A16ED3"/>
    <w:rsid w:val="28F434A6"/>
    <w:rsid w:val="29253B8C"/>
    <w:rsid w:val="2A8F77B6"/>
    <w:rsid w:val="2B0B4AD7"/>
    <w:rsid w:val="2B1C2247"/>
    <w:rsid w:val="2B275DB5"/>
    <w:rsid w:val="2B563FA5"/>
    <w:rsid w:val="2C324A12"/>
    <w:rsid w:val="2C4604BD"/>
    <w:rsid w:val="2C8608B9"/>
    <w:rsid w:val="2CA81346"/>
    <w:rsid w:val="2DCB048A"/>
    <w:rsid w:val="2E134AD8"/>
    <w:rsid w:val="2E141EF5"/>
    <w:rsid w:val="2E1A1A14"/>
    <w:rsid w:val="2E6469D8"/>
    <w:rsid w:val="2E8725BB"/>
    <w:rsid w:val="2ECB6A58"/>
    <w:rsid w:val="2FB15C4D"/>
    <w:rsid w:val="302208F9"/>
    <w:rsid w:val="31EA3699"/>
    <w:rsid w:val="31FB3532"/>
    <w:rsid w:val="32847649"/>
    <w:rsid w:val="32B141B6"/>
    <w:rsid w:val="32BB5035"/>
    <w:rsid w:val="32F347CF"/>
    <w:rsid w:val="34473024"/>
    <w:rsid w:val="34C24459"/>
    <w:rsid w:val="34DB376C"/>
    <w:rsid w:val="3538471B"/>
    <w:rsid w:val="357D4824"/>
    <w:rsid w:val="358065ED"/>
    <w:rsid w:val="35814314"/>
    <w:rsid w:val="36387D53"/>
    <w:rsid w:val="365C316A"/>
    <w:rsid w:val="36E1618D"/>
    <w:rsid w:val="372C4753"/>
    <w:rsid w:val="37F52D97"/>
    <w:rsid w:val="38053B40"/>
    <w:rsid w:val="38084878"/>
    <w:rsid w:val="39CD7B28"/>
    <w:rsid w:val="39DA2245"/>
    <w:rsid w:val="3A06128C"/>
    <w:rsid w:val="3A5A5133"/>
    <w:rsid w:val="3A683D3D"/>
    <w:rsid w:val="3A744447"/>
    <w:rsid w:val="3AC0768C"/>
    <w:rsid w:val="3AEC66D3"/>
    <w:rsid w:val="3B141786"/>
    <w:rsid w:val="3BB879E0"/>
    <w:rsid w:val="3C687FDC"/>
    <w:rsid w:val="3D9A41C5"/>
    <w:rsid w:val="3DE511B8"/>
    <w:rsid w:val="3EB017C6"/>
    <w:rsid w:val="3EDE27D7"/>
    <w:rsid w:val="3FAE21A9"/>
    <w:rsid w:val="3FC75019"/>
    <w:rsid w:val="40416B7A"/>
    <w:rsid w:val="40B97058"/>
    <w:rsid w:val="40CF687B"/>
    <w:rsid w:val="41A2189A"/>
    <w:rsid w:val="41D34AE2"/>
    <w:rsid w:val="41EC520B"/>
    <w:rsid w:val="42044303"/>
    <w:rsid w:val="42972DEB"/>
    <w:rsid w:val="42CE66BF"/>
    <w:rsid w:val="431762B8"/>
    <w:rsid w:val="43635059"/>
    <w:rsid w:val="43F247C7"/>
    <w:rsid w:val="44C94FBE"/>
    <w:rsid w:val="451633CE"/>
    <w:rsid w:val="4559740C"/>
    <w:rsid w:val="456357E4"/>
    <w:rsid w:val="45667082"/>
    <w:rsid w:val="456B14EC"/>
    <w:rsid w:val="457B2B2E"/>
    <w:rsid w:val="45D43FEC"/>
    <w:rsid w:val="46841EB6"/>
    <w:rsid w:val="469F284C"/>
    <w:rsid w:val="47213261"/>
    <w:rsid w:val="474562DB"/>
    <w:rsid w:val="477E4B57"/>
    <w:rsid w:val="47ED75E7"/>
    <w:rsid w:val="481B494B"/>
    <w:rsid w:val="488E6118"/>
    <w:rsid w:val="48AA285D"/>
    <w:rsid w:val="4924528A"/>
    <w:rsid w:val="49507E2D"/>
    <w:rsid w:val="49754618"/>
    <w:rsid w:val="4A164642"/>
    <w:rsid w:val="4BA34B8C"/>
    <w:rsid w:val="4C40062D"/>
    <w:rsid w:val="4CB42DC9"/>
    <w:rsid w:val="4D6B3488"/>
    <w:rsid w:val="4EC05A55"/>
    <w:rsid w:val="4FCB6FDD"/>
    <w:rsid w:val="50E53551"/>
    <w:rsid w:val="510559A1"/>
    <w:rsid w:val="51654692"/>
    <w:rsid w:val="519A258E"/>
    <w:rsid w:val="51BB4EEF"/>
    <w:rsid w:val="51E8273B"/>
    <w:rsid w:val="524D7600"/>
    <w:rsid w:val="534F55FA"/>
    <w:rsid w:val="536A5F90"/>
    <w:rsid w:val="53794425"/>
    <w:rsid w:val="53D0673A"/>
    <w:rsid w:val="545A0CF3"/>
    <w:rsid w:val="54613836"/>
    <w:rsid w:val="54B56081"/>
    <w:rsid w:val="54C16083"/>
    <w:rsid w:val="54DB69A8"/>
    <w:rsid w:val="54EA382C"/>
    <w:rsid w:val="551F66C5"/>
    <w:rsid w:val="553B00BA"/>
    <w:rsid w:val="5621327D"/>
    <w:rsid w:val="56446F6C"/>
    <w:rsid w:val="565076BF"/>
    <w:rsid w:val="566969D2"/>
    <w:rsid w:val="572A6162"/>
    <w:rsid w:val="57917F8F"/>
    <w:rsid w:val="57C2283E"/>
    <w:rsid w:val="57D305A7"/>
    <w:rsid w:val="57E00F16"/>
    <w:rsid w:val="582F1556"/>
    <w:rsid w:val="5876373C"/>
    <w:rsid w:val="59532C52"/>
    <w:rsid w:val="59953743"/>
    <w:rsid w:val="59975605"/>
    <w:rsid w:val="5A6951F3"/>
    <w:rsid w:val="5A753B98"/>
    <w:rsid w:val="5AD52888"/>
    <w:rsid w:val="5AFF5640"/>
    <w:rsid w:val="5B0957EE"/>
    <w:rsid w:val="5B57329D"/>
    <w:rsid w:val="5B5F03A4"/>
    <w:rsid w:val="5B974C80"/>
    <w:rsid w:val="5BA04C44"/>
    <w:rsid w:val="5BF1724E"/>
    <w:rsid w:val="5BFD2097"/>
    <w:rsid w:val="5C6E55F6"/>
    <w:rsid w:val="5D7C523D"/>
    <w:rsid w:val="5E1831B8"/>
    <w:rsid w:val="5F530220"/>
    <w:rsid w:val="60393BDD"/>
    <w:rsid w:val="605204D7"/>
    <w:rsid w:val="60714E01"/>
    <w:rsid w:val="60C018E5"/>
    <w:rsid w:val="60CA4511"/>
    <w:rsid w:val="60EE3BDD"/>
    <w:rsid w:val="60FD6695"/>
    <w:rsid w:val="616B1851"/>
    <w:rsid w:val="625B18C5"/>
    <w:rsid w:val="626369CC"/>
    <w:rsid w:val="629B6165"/>
    <w:rsid w:val="62DB2A06"/>
    <w:rsid w:val="633A772C"/>
    <w:rsid w:val="636B5B38"/>
    <w:rsid w:val="63A33836"/>
    <w:rsid w:val="63C14E99"/>
    <w:rsid w:val="644545DB"/>
    <w:rsid w:val="645B2050"/>
    <w:rsid w:val="64A07A63"/>
    <w:rsid w:val="64C338A7"/>
    <w:rsid w:val="64FB2EEB"/>
    <w:rsid w:val="650224CC"/>
    <w:rsid w:val="650D2C1F"/>
    <w:rsid w:val="65710D2C"/>
    <w:rsid w:val="65780778"/>
    <w:rsid w:val="66AA4BC9"/>
    <w:rsid w:val="67444AD8"/>
    <w:rsid w:val="67780823"/>
    <w:rsid w:val="67D6379C"/>
    <w:rsid w:val="67EC0BE1"/>
    <w:rsid w:val="6931512E"/>
    <w:rsid w:val="699F5772"/>
    <w:rsid w:val="6A6D6639"/>
    <w:rsid w:val="6A731776"/>
    <w:rsid w:val="6B080110"/>
    <w:rsid w:val="6BF012D0"/>
    <w:rsid w:val="6C060AF4"/>
    <w:rsid w:val="6C066DF7"/>
    <w:rsid w:val="6C2E35A5"/>
    <w:rsid w:val="6CC462B9"/>
    <w:rsid w:val="6CE64481"/>
    <w:rsid w:val="6DFE57FA"/>
    <w:rsid w:val="6E7855AD"/>
    <w:rsid w:val="6F6F075E"/>
    <w:rsid w:val="6F975F07"/>
    <w:rsid w:val="701A7609"/>
    <w:rsid w:val="701B2694"/>
    <w:rsid w:val="7083730A"/>
    <w:rsid w:val="70B56644"/>
    <w:rsid w:val="70D0347E"/>
    <w:rsid w:val="71184E25"/>
    <w:rsid w:val="71193077"/>
    <w:rsid w:val="71E05A8A"/>
    <w:rsid w:val="722E2B52"/>
    <w:rsid w:val="726F2B8F"/>
    <w:rsid w:val="72E01973"/>
    <w:rsid w:val="731A4E85"/>
    <w:rsid w:val="73247AB1"/>
    <w:rsid w:val="73B61051"/>
    <w:rsid w:val="73F92CEC"/>
    <w:rsid w:val="74082F2F"/>
    <w:rsid w:val="742A10F7"/>
    <w:rsid w:val="7460720F"/>
    <w:rsid w:val="74AC5FB0"/>
    <w:rsid w:val="74BB61F3"/>
    <w:rsid w:val="758962F1"/>
    <w:rsid w:val="75E654F2"/>
    <w:rsid w:val="76100383"/>
    <w:rsid w:val="762B7E80"/>
    <w:rsid w:val="769B008A"/>
    <w:rsid w:val="771D5CF5"/>
    <w:rsid w:val="77456248"/>
    <w:rsid w:val="78085BF3"/>
    <w:rsid w:val="78227FDA"/>
    <w:rsid w:val="785371DA"/>
    <w:rsid w:val="78AA5A8F"/>
    <w:rsid w:val="790C34C1"/>
    <w:rsid w:val="791660EE"/>
    <w:rsid w:val="79334EF2"/>
    <w:rsid w:val="799B6FD9"/>
    <w:rsid w:val="79C21DD2"/>
    <w:rsid w:val="7A097A01"/>
    <w:rsid w:val="7A0F3269"/>
    <w:rsid w:val="7A165836"/>
    <w:rsid w:val="7AE55D78"/>
    <w:rsid w:val="7B1B3E90"/>
    <w:rsid w:val="7B254D35"/>
    <w:rsid w:val="7B9754B9"/>
    <w:rsid w:val="7C7A4BE6"/>
    <w:rsid w:val="7CB743B9"/>
    <w:rsid w:val="7E357016"/>
    <w:rsid w:val="7EE60311"/>
    <w:rsid w:val="7F1B7FBA"/>
    <w:rsid w:val="7F2F3A66"/>
    <w:rsid w:val="7FA75CF2"/>
    <w:rsid w:val="7FC669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1"/>
    <w:qFormat/>
    <w:uiPriority w:val="0"/>
    <w:pPr>
      <w:ind w:firstLine="420" w:firstLineChars="200"/>
    </w:pPr>
  </w:style>
  <w:style w:type="paragraph" w:styleId="3">
    <w:name w:val="footer"/>
    <w:basedOn w:val="1"/>
    <w:link w:val="8"/>
    <w:qFormat/>
    <w:uiPriority w:val="0"/>
    <w:pPr>
      <w:tabs>
        <w:tab w:val="center" w:pos="4153"/>
        <w:tab w:val="right" w:pos="8306"/>
      </w:tabs>
      <w:snapToGrid w:val="0"/>
      <w:jc w:val="left"/>
    </w:pPr>
    <w:rPr>
      <w:sz w:val="18"/>
      <w:szCs w:val="18"/>
    </w:rPr>
  </w:style>
  <w:style w:type="paragraph" w:styleId="4">
    <w:name w:val="header"/>
    <w:basedOn w:val="1"/>
    <w:link w:val="7"/>
    <w:qFormat/>
    <w:uiPriority w:val="0"/>
    <w:pPr>
      <w:tabs>
        <w:tab w:val="center" w:pos="4153"/>
        <w:tab w:val="right" w:pos="8306"/>
      </w:tabs>
      <w:snapToGrid w:val="0"/>
      <w:jc w:val="center"/>
    </w:pPr>
    <w:rPr>
      <w:sz w:val="18"/>
      <w:szCs w:val="18"/>
    </w:rPr>
  </w:style>
  <w:style w:type="character" w:customStyle="1" w:styleId="7">
    <w:name w:val="页眉 字符"/>
    <w:basedOn w:val="6"/>
    <w:link w:val="4"/>
    <w:qFormat/>
    <w:uiPriority w:val="0"/>
    <w:rPr>
      <w:kern w:val="2"/>
      <w:sz w:val="18"/>
      <w:szCs w:val="18"/>
    </w:rPr>
  </w:style>
  <w:style w:type="character" w:customStyle="1" w:styleId="8">
    <w:name w:val="页脚 字符"/>
    <w:basedOn w:val="6"/>
    <w:link w:val="3"/>
    <w:qFormat/>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1382</Words>
  <Characters>1505</Characters>
  <Lines>12</Lines>
  <Paragraphs>3</Paragraphs>
  <TotalTime>0</TotalTime>
  <ScaleCrop>false</ScaleCrop>
  <LinksUpToDate>false</LinksUpToDate>
  <CharactersWithSpaces>1505</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2023-04-03T13:42:00Z</dcterms:created>
  <dc:creator>Administrator</dc:creator>
  <cp:lastModifiedBy>刘坤明</cp:lastModifiedBy>
  <dcterms:modified xsi:type="dcterms:W3CDTF">2026-07-17T06:33:05Z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89119A72AC82474DBF03B0E414823FD8</vt:lpwstr>
  </property>
  <property fmtid="{D5CDD505-2E9C-101B-9397-08002B2CF9AE}" pid="4" name="5B77E7CEEC58BC6AFAE8886BEB80DBEB">
    <vt:lpwstr>otCYQxs9Dbw2bUEn/Soxv9pYAoWsCRIsU8+gIbxzzmNcJN13+qHIPyWmbF9hFzPHyi2m8DLwi54E5OVVM5pJ0yGmgAiYTaR6oYUdYZxdjep6I9xviFUFZ9aTScfBW9OGZaxihtUirXPmMnmp9arj7lXPNY05ioczrRnC5CNHuGOFjq9ZH7uPeyfHxG4O+PFEAz6J15H9b+MKso25OFuRCC7GHr+BIQvMKBiA7YpenK2RiTsYtCVICodiwYSnaSy</vt:lpwstr>
  </property>
  <property fmtid="{D5CDD505-2E9C-101B-9397-08002B2CF9AE}" pid="5" name="KSOTemplateDocerSaveRecord">
    <vt:lpwstr>eyJoZGlkIjoiNDRmYTZiYjkxN2UzNmE5NjE0NTQzODMxMDFiMmY5YWMiLCJ1c2VySWQiOiIxNTM1NTIzMTg3In0=</vt:lpwstr>
  </property>
</Properties>
</file>