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19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方正小标宋简体" w:eastAsia="方正小标宋简体"/>
          <w:color w:val="000000"/>
          <w:kern w:val="32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kern w:val="32"/>
          <w:sz w:val="44"/>
          <w:szCs w:val="44"/>
        </w:rPr>
        <w:t>肥城矿业集团单县能源有限责任公司</w:t>
      </w:r>
    </w:p>
    <w:p w14:paraId="03636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方正小标宋简体" w:eastAsia="方正小标宋简体"/>
          <w:color w:val="000000"/>
          <w:kern w:val="32"/>
          <w:sz w:val="44"/>
          <w:szCs w:val="44"/>
        </w:rPr>
        <w:t>2025年度</w:t>
      </w:r>
      <w:r>
        <w:rPr>
          <w:rFonts w:hint="eastAsia" w:ascii="方正小标宋简体" w:eastAsia="方正小标宋简体"/>
          <w:color w:val="000000"/>
          <w:kern w:val="32"/>
          <w:sz w:val="44"/>
          <w:szCs w:val="44"/>
          <w:lang w:val="en-US" w:eastAsia="zh-CN"/>
        </w:rPr>
        <w:t>报告</w:t>
      </w:r>
      <w:bookmarkStart w:id="0" w:name="_GoBack"/>
      <w:bookmarkEnd w:id="0"/>
      <w:r>
        <w:rPr>
          <w:rFonts w:hint="eastAsia" w:ascii="方正小标宋简体" w:eastAsia="方正小标宋简体"/>
          <w:color w:val="000000"/>
          <w:kern w:val="32"/>
          <w:sz w:val="44"/>
          <w:szCs w:val="44"/>
        </w:rPr>
        <w:t>信息公开</w:t>
      </w:r>
    </w:p>
    <w:p w14:paraId="7108F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</w:p>
    <w:p w14:paraId="34769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本公司董事会及全体董事保证本公告内容不存在任何虚假记载、误导性陈述或者重大遗漏，并对其内容的真实性、准确性和完整性承担个别及连带责任。</w:t>
      </w:r>
    </w:p>
    <w:p w14:paraId="72479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一、公司基本情况</w:t>
      </w:r>
    </w:p>
    <w:p w14:paraId="24BC9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1.中文名称：肥城矿业集团单县能源有限责任公司；简称：单县能源</w:t>
      </w:r>
    </w:p>
    <w:p w14:paraId="3CE4A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2.外文名称：Feicheng Mining Group Danxian Energy Co., Ltd</w:t>
      </w:r>
    </w:p>
    <w:p w14:paraId="0FF9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3.法定代表人：孔凡军</w:t>
      </w:r>
    </w:p>
    <w:p w14:paraId="2B8DE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4.注册地址：山东省菏泽市单县李田楼镇政府北邻</w:t>
      </w:r>
    </w:p>
    <w:p w14:paraId="0D1A0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5.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公司经营范围：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煤炭开采、洗选、加工、销售（有效期限以许可证为准）；建筑材料、煤矸石、五金交电、钢材、木材、家具、矿山设备、日用品、电器配件销售及维修；装饰装修；橡胶制品加工、销售；备案范围内的进出口业务；设备租赁。（依法须经批准的项目，经相关部门批准后方可开展经营活动）。</w:t>
      </w:r>
    </w:p>
    <w:p w14:paraId="5BD74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6.办公地址：山东省菏泽市单县李田楼镇政府北邻；邮政编码：274300</w:t>
      </w:r>
    </w:p>
    <w:p w14:paraId="58D6B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7.电子信箱：bgs607@126.com</w:t>
      </w:r>
    </w:p>
    <w:p w14:paraId="48DC7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8.企业统一社会信用代码：9137000067452090X9</w:t>
      </w:r>
    </w:p>
    <w:p w14:paraId="30EEC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1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9.企业简介：肥城矿业集团单县能源有限责任公司于2008年4月经省国资委批准注册成立，注册资本7亿元，2009年4月开工建设，2013年11月投产。公司位于素有“中原锁钥、四省通衢”之称的山东省菏泽市单县境内，距离单县县城东约15公里，处于京沪、京九、陇海、新石四条铁路干线“井”字形结构中间，交通十分便利。</w:t>
      </w:r>
    </w:p>
    <w:p w14:paraId="4725E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二、公司治理及管理架构</w:t>
      </w:r>
    </w:p>
    <w:p w14:paraId="6A633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1"/>
        <w:rPr>
          <w:rFonts w:ascii="仿宋_GB2312" w:eastAsia="仿宋_GB2312" w:cs="仿宋_GB2312"/>
          <w:snapToGrid w:val="0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snapToGrid w:val="0"/>
          <w:color w:val="000000"/>
          <w:sz w:val="32"/>
          <w:szCs w:val="32"/>
        </w:rPr>
        <w:t>肥城矿业集团单县能源有限责任公司建立以党委会、董事会、经理层为主体的法人治理结构，公司设立综合办公室（党委办公室、董事会办公室、总经理办公室、督察办公室、压煤搬迁办公室）、党委组织部（人力资源部）、纪委、党群工作部（党委宣传部、党委统战部、工会、信访办公室、团委）、财务管理部、运营管理部（审计法务部）、调度室、安全监察部（生态环保部）、生产技术部、机电管理部（设备管理部）、通防管理部、地质测量部、防冲办公室、生产服务中心、综合服务中心、采煤一区、采煤二区、掘进一区、掘进二区、机电工区、运输工区、通防工区、防冲工区。</w:t>
      </w:r>
    </w:p>
    <w:p w14:paraId="4638C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三、主要财务数据和财务指标</w:t>
      </w:r>
    </w:p>
    <w:p w14:paraId="443B4E4C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1.营业收入：完成</w:t>
      </w:r>
      <w:r>
        <w:rPr>
          <w:rFonts w:hint="default" w:ascii="仿宋_GB2312" w:eastAsia="仿宋_GB2312" w:cs="仿宋_GB2312"/>
          <w:snapToGrid w:val="0"/>
          <w:color w:val="000000"/>
          <w:kern w:val="2"/>
          <w:sz w:val="32"/>
          <w:szCs w:val="32"/>
          <w:lang w:eastAsia="zh-CN" w:bidi="ar-SA"/>
          <w:woUserID w:val="1"/>
        </w:rPr>
        <w:t>2.50</w:t>
      </w:r>
      <w:r>
        <w:rPr>
          <w:rFonts w:hint="default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亿元。</w:t>
      </w:r>
    </w:p>
    <w:p w14:paraId="0B622412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2.利润总额：完成</w:t>
      </w:r>
      <w:r>
        <w:rPr>
          <w:rFonts w:hint="default" w:ascii="仿宋_GB2312" w:eastAsia="仿宋_GB2312" w:cs="仿宋_GB2312"/>
          <w:snapToGrid w:val="0"/>
          <w:color w:val="000000"/>
          <w:kern w:val="2"/>
          <w:sz w:val="32"/>
          <w:szCs w:val="32"/>
          <w:lang w:eastAsia="zh-CN" w:bidi="ar-SA"/>
          <w:woUserID w:val="1"/>
        </w:rPr>
        <w:t>-2.72</w:t>
      </w:r>
      <w:r>
        <w:rPr>
          <w:rFonts w:hint="default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亿元。</w:t>
      </w:r>
    </w:p>
    <w:p w14:paraId="36A879AE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3.净利润：</w:t>
      </w:r>
      <w:r>
        <w:rPr>
          <w:rFonts w:hint="default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完成</w:t>
      </w:r>
      <w:r>
        <w:rPr>
          <w:rFonts w:hint="default" w:ascii="仿宋_GB2312" w:eastAsia="仿宋_GB2312" w:cs="仿宋_GB2312"/>
          <w:snapToGrid w:val="0"/>
          <w:color w:val="000000"/>
          <w:kern w:val="2"/>
          <w:sz w:val="32"/>
          <w:szCs w:val="32"/>
          <w:lang w:eastAsia="zh-CN" w:bidi="ar-SA"/>
          <w:woUserID w:val="1"/>
        </w:rPr>
        <w:t>-2.83</w:t>
      </w:r>
      <w:r>
        <w:rPr>
          <w:rFonts w:hint="eastAsia" w:ascii="仿宋_GB2312" w:eastAsia="仿宋_GB2312" w:cs="仿宋_GB2312"/>
          <w:snapToGrid w:val="0"/>
          <w:color w:val="000000"/>
          <w:kern w:val="2"/>
          <w:sz w:val="32"/>
          <w:szCs w:val="32"/>
          <w:lang w:val="en-US" w:eastAsia="zh-CN" w:bidi="ar-SA"/>
        </w:rPr>
        <w:t>亿元</w:t>
      </w:r>
      <w:r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。</w:t>
      </w:r>
    </w:p>
    <w:p w14:paraId="6BA89335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4.应交税费总额：</w:t>
      </w:r>
      <w:r>
        <w:rPr>
          <w:rFonts w:hint="default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完成</w:t>
      </w:r>
      <w:r>
        <w:rPr>
          <w:rFonts w:hint="default" w:ascii="仿宋_GB2312" w:eastAsia="仿宋_GB2312" w:cs="仿宋_GB2312"/>
          <w:snapToGrid w:val="0"/>
          <w:color w:val="000000"/>
          <w:kern w:val="2"/>
          <w:sz w:val="32"/>
          <w:szCs w:val="32"/>
          <w:lang w:eastAsia="zh-CN" w:bidi="ar-SA"/>
          <w:woUserID w:val="1"/>
        </w:rPr>
        <w:t>0.41</w:t>
      </w:r>
      <w:r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亿元。</w:t>
      </w:r>
    </w:p>
    <w:p w14:paraId="634E05EF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5.资产总额：</w:t>
      </w:r>
      <w:r>
        <w:rPr>
          <w:rFonts w:hint="default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完成</w:t>
      </w:r>
      <w:r>
        <w:rPr>
          <w:rFonts w:hint="default" w:ascii="仿宋_GB2312" w:eastAsia="仿宋_GB2312" w:cs="仿宋_GB2312"/>
          <w:snapToGrid w:val="0"/>
          <w:color w:val="000000"/>
          <w:kern w:val="2"/>
          <w:sz w:val="32"/>
          <w:szCs w:val="32"/>
          <w:lang w:eastAsia="zh-CN" w:bidi="ar-SA"/>
          <w:woUserID w:val="1"/>
        </w:rPr>
        <w:t>29.28</w:t>
      </w:r>
      <w:r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亿元。</w:t>
      </w:r>
    </w:p>
    <w:p w14:paraId="1C448D01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6.负债总额：</w:t>
      </w:r>
      <w:r>
        <w:rPr>
          <w:rFonts w:hint="default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完成</w:t>
      </w:r>
      <w:r>
        <w:rPr>
          <w:rFonts w:hint="default" w:ascii="仿宋_GB2312" w:eastAsia="仿宋_GB2312" w:cs="仿宋_GB2312"/>
          <w:snapToGrid w:val="0"/>
          <w:color w:val="000000"/>
          <w:kern w:val="2"/>
          <w:sz w:val="32"/>
          <w:szCs w:val="32"/>
          <w:lang w:eastAsia="zh-CN" w:bidi="ar-SA"/>
          <w:woUserID w:val="1"/>
        </w:rPr>
        <w:t>29.74</w:t>
      </w:r>
      <w:r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亿元。</w:t>
      </w:r>
    </w:p>
    <w:p w14:paraId="7D635F0F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woUserID w:val="1"/>
        </w:rPr>
      </w:pPr>
      <w:r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7.所有者权益：</w:t>
      </w:r>
      <w:r>
        <w:rPr>
          <w:rFonts w:hint="default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完成</w:t>
      </w:r>
      <w:r>
        <w:rPr>
          <w:rFonts w:hint="default" w:ascii="仿宋_GB2312" w:eastAsia="仿宋_GB2312" w:cs="仿宋_GB2312"/>
          <w:snapToGrid w:val="0"/>
          <w:color w:val="000000"/>
          <w:kern w:val="2"/>
          <w:sz w:val="32"/>
          <w:szCs w:val="32"/>
          <w:lang w:eastAsia="zh-CN" w:bidi="ar-SA"/>
          <w:woUserID w:val="1"/>
        </w:rPr>
        <w:t>-0.46</w:t>
      </w:r>
      <w:r>
        <w:rPr>
          <w:rFonts w:hint="eastAsia" w:ascii="仿宋_GB2312" w:eastAsia="仿宋_GB2312" w:cs="仿宋_GB2312" w:hAnsiTheme="minorHAnsi"/>
          <w:snapToGrid w:val="0"/>
          <w:color w:val="000000"/>
          <w:kern w:val="2"/>
          <w:sz w:val="32"/>
          <w:szCs w:val="32"/>
          <w:lang w:val="en-US" w:eastAsia="zh-CN" w:bidi="ar-SA"/>
        </w:rPr>
        <w:t>亿元。</w:t>
      </w:r>
    </w:p>
    <w:p w14:paraId="47C69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四、财务会计报告和审计报告摘要</w:t>
      </w:r>
    </w:p>
    <w:p w14:paraId="21F9730C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woUserID w:val="1"/>
        </w:rPr>
      </w:pPr>
      <w:r>
        <w:rPr>
          <w:rFonts w:ascii="楷体" w:hAnsi="楷体" w:eastAsia="楷体" w:cs="楷体"/>
          <w:sz w:val="32"/>
          <w:szCs w:val="32"/>
          <w:woUserID w:val="1"/>
        </w:rPr>
        <w:t>（一）财务会计报告</w:t>
      </w:r>
    </w:p>
    <w:p w14:paraId="42105E62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woUserID w:val="1"/>
        </w:rPr>
      </w:pPr>
      <w:r>
        <w:rPr>
          <w:rFonts w:ascii="仿宋_GB2312" w:eastAsia="仿宋_GB2312" w:cs="仿宋_GB2312"/>
          <w:sz w:val="32"/>
          <w:szCs w:val="32"/>
          <w:woUserID w:val="1"/>
        </w:rPr>
        <w:t>1.编制基础</w:t>
      </w:r>
    </w:p>
    <w:p w14:paraId="1C70B534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woUserID w:val="1"/>
        </w:rPr>
      </w:pPr>
      <w:r>
        <w:rPr>
          <w:rFonts w:hint="default" w:ascii="仿宋_GB2312" w:eastAsia="仿宋_GB2312" w:cs="仿宋_GB2312"/>
          <w:sz w:val="32"/>
          <w:szCs w:val="32"/>
          <w:woUserID w:val="1"/>
        </w:rPr>
        <w:t>本公司财务报表以持续经营假设为基础，根据实际发生的交易和事项，按照财政部发布的《企业会计准则——基本准则》和各项具体会计准则、企业会计准则应用指南、企业会计准则解释及其他相关规定（以下合称“企业会计准则”）编制。</w:t>
      </w:r>
    </w:p>
    <w:p w14:paraId="4593C698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woUserID w:val="1"/>
        </w:rPr>
      </w:pPr>
      <w:r>
        <w:rPr>
          <w:rFonts w:hint="default" w:ascii="仿宋_GB2312" w:eastAsia="仿宋_GB2312" w:cs="仿宋_GB2312"/>
          <w:sz w:val="32"/>
          <w:szCs w:val="32"/>
          <w:woUserID w:val="1"/>
        </w:rPr>
        <w:t>根据企业会计准则的相关规定，本公司会计核算以权责发生制为基础。除某些金融工具外，本财务报表均以历史成本为计量基础。资产如果发生减值，则按照相关规定计提相应的减值准备。</w:t>
      </w:r>
    </w:p>
    <w:p w14:paraId="5BDF3B28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woUserID w:val="1"/>
        </w:rPr>
      </w:pPr>
      <w:r>
        <w:rPr>
          <w:rFonts w:hint="default" w:ascii="仿宋_GB2312" w:eastAsia="仿宋_GB2312" w:cs="仿宋_GB2312"/>
          <w:sz w:val="32"/>
          <w:szCs w:val="32"/>
          <w:woUserID w:val="1"/>
        </w:rPr>
        <w:t>2.持续经营</w:t>
      </w:r>
    </w:p>
    <w:p w14:paraId="3C380715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woUserID w:val="1"/>
        </w:rPr>
      </w:pPr>
      <w:r>
        <w:rPr>
          <w:rFonts w:hint="default" w:ascii="仿宋_GB2312" w:eastAsia="仿宋_GB2312" w:cs="仿宋_GB2312"/>
          <w:sz w:val="32"/>
          <w:szCs w:val="32"/>
          <w:woUserID w:val="1"/>
        </w:rPr>
        <w:t>本财务报表以持续经营为基础列报，本公司自报告期末起至少12个月具有持续经营能力。</w:t>
      </w:r>
    </w:p>
    <w:p w14:paraId="70146152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woUserID w:val="1"/>
        </w:rPr>
      </w:pPr>
      <w:r>
        <w:rPr>
          <w:rFonts w:hint="default" w:ascii="楷体" w:hAnsi="楷体" w:eastAsia="楷体" w:cs="楷体"/>
          <w:sz w:val="32"/>
          <w:szCs w:val="32"/>
          <w:woUserID w:val="1"/>
        </w:rPr>
        <w:t>（二）审计报告意见</w:t>
      </w:r>
    </w:p>
    <w:p w14:paraId="2704E650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firstLine="640"/>
        <w:jc w:val="left"/>
        <w:textAlignment w:val="auto"/>
        <w:rPr>
          <w:rFonts w:ascii="仿宋_GB2312" w:eastAsia="仿宋_GB2312" w:cs="仿宋_GB2312"/>
          <w:snapToGrid w:val="0"/>
          <w:color w:val="000000"/>
          <w:sz w:val="32"/>
          <w:szCs w:val="32"/>
        </w:rPr>
      </w:pPr>
      <w:r>
        <w:rPr>
          <w:rFonts w:hint="default" w:ascii="仿宋_GB2312" w:eastAsia="仿宋_GB2312" w:cs="仿宋_GB2312"/>
          <w:sz w:val="32"/>
          <w:szCs w:val="32"/>
          <w:woUserID w:val="1"/>
        </w:rPr>
        <w:t>新联谊会计师事务所（特殊普通合伙）济宁分所审计了公司财务报表，包括2025年12月31日的资产负债表，2025年度的利润表、现金流量表、所有者权益变动表以及财务报表附注。认为财务报表在所有重大方面按照企业会计准则的规定编制，公允反映了公司2025年12月31日的财务状况以及2025年度的经营成果和现金流量。</w:t>
      </w:r>
    </w:p>
    <w:p w14:paraId="4F304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ascii="黑体" w:hAnsi="黑体" w:eastAsia="黑体" w:cs="黑体"/>
          <w:color w:val="000000"/>
          <w:kern w:val="0"/>
          <w:sz w:val="32"/>
          <w:szCs w:val="32"/>
        </w:rPr>
        <w:t>五、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对外大额捐赠、赞助情况</w:t>
      </w:r>
    </w:p>
    <w:p w14:paraId="562F2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 w:cs="仿宋_GB2312"/>
          <w:snapToGrid w:val="0"/>
          <w:color w:val="000000"/>
          <w:sz w:val="32"/>
          <w:szCs w:val="32"/>
        </w:rPr>
      </w:pPr>
      <w:r>
        <w:rPr>
          <w:rFonts w:ascii="仿宋_GB2312" w:eastAsia="仿宋_GB2312" w:cs="仿宋_GB2312"/>
          <w:snapToGrid w:val="0"/>
          <w:color w:val="000000"/>
          <w:sz w:val="32"/>
          <w:szCs w:val="32"/>
        </w:rPr>
        <w:t>无</w:t>
      </w:r>
    </w:p>
    <w:p w14:paraId="37D71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六、年度内发生的重大事项及对企业的影响</w:t>
      </w:r>
    </w:p>
    <w:p w14:paraId="35257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9"/>
        <w:rPr>
          <w:rFonts w:ascii="仿宋_GB2312" w:eastAsia="仿宋_GB2312" w:cs="仿宋_GB2312"/>
          <w:snapToGrid w:val="0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snapToGrid w:val="0"/>
          <w:color w:val="000000"/>
          <w:sz w:val="32"/>
          <w:szCs w:val="32"/>
        </w:rPr>
        <w:t>无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3MjQ1MTg2NDg3ZmEzYjdkMzRjNDIxM2MxMWJiY2QifQ=="/>
  </w:docVars>
  <w:rsids>
    <w:rsidRoot w:val="624E0F87"/>
    <w:rsid w:val="00102E62"/>
    <w:rsid w:val="001E12B9"/>
    <w:rsid w:val="00224FAA"/>
    <w:rsid w:val="002404A2"/>
    <w:rsid w:val="003654CA"/>
    <w:rsid w:val="00384D55"/>
    <w:rsid w:val="00421BB4"/>
    <w:rsid w:val="004319CB"/>
    <w:rsid w:val="004E4E5F"/>
    <w:rsid w:val="004E6A95"/>
    <w:rsid w:val="004F4D62"/>
    <w:rsid w:val="005B6DC3"/>
    <w:rsid w:val="00605C5B"/>
    <w:rsid w:val="00612C5F"/>
    <w:rsid w:val="00630C4D"/>
    <w:rsid w:val="006D05AB"/>
    <w:rsid w:val="007C610E"/>
    <w:rsid w:val="008C7527"/>
    <w:rsid w:val="008F69E1"/>
    <w:rsid w:val="009A5A21"/>
    <w:rsid w:val="009F557D"/>
    <w:rsid w:val="00A16443"/>
    <w:rsid w:val="00A50406"/>
    <w:rsid w:val="00AF7CA6"/>
    <w:rsid w:val="00C82C36"/>
    <w:rsid w:val="00CE2A71"/>
    <w:rsid w:val="00D12D40"/>
    <w:rsid w:val="00D27238"/>
    <w:rsid w:val="00D51213"/>
    <w:rsid w:val="00E51AC7"/>
    <w:rsid w:val="00EC4F84"/>
    <w:rsid w:val="00F02CB9"/>
    <w:rsid w:val="00F123C3"/>
    <w:rsid w:val="00F16AB2"/>
    <w:rsid w:val="01DE0C9A"/>
    <w:rsid w:val="02A07FD8"/>
    <w:rsid w:val="0485309E"/>
    <w:rsid w:val="04C05037"/>
    <w:rsid w:val="0AF777B5"/>
    <w:rsid w:val="0F23453E"/>
    <w:rsid w:val="16794A56"/>
    <w:rsid w:val="189C1DF5"/>
    <w:rsid w:val="193A32DB"/>
    <w:rsid w:val="1F446BEF"/>
    <w:rsid w:val="1F4FD96F"/>
    <w:rsid w:val="21460F34"/>
    <w:rsid w:val="22785FE0"/>
    <w:rsid w:val="28BA02C9"/>
    <w:rsid w:val="2B5C3850"/>
    <w:rsid w:val="2DB22BC3"/>
    <w:rsid w:val="312B5F03"/>
    <w:rsid w:val="334252EC"/>
    <w:rsid w:val="35FE81F5"/>
    <w:rsid w:val="3757544A"/>
    <w:rsid w:val="39981C2C"/>
    <w:rsid w:val="39CA42F7"/>
    <w:rsid w:val="3AEA32A4"/>
    <w:rsid w:val="3D9E54FD"/>
    <w:rsid w:val="3E5F0F6A"/>
    <w:rsid w:val="3EBF661E"/>
    <w:rsid w:val="3EF9316D"/>
    <w:rsid w:val="3FF32B73"/>
    <w:rsid w:val="3FFD0A3B"/>
    <w:rsid w:val="431F09B2"/>
    <w:rsid w:val="4BDC1E4C"/>
    <w:rsid w:val="4BED4059"/>
    <w:rsid w:val="4C8D7FC1"/>
    <w:rsid w:val="50036373"/>
    <w:rsid w:val="50EB6722"/>
    <w:rsid w:val="52932754"/>
    <w:rsid w:val="54B86D7B"/>
    <w:rsid w:val="624E0F87"/>
    <w:rsid w:val="63277AAB"/>
    <w:rsid w:val="63FE11FD"/>
    <w:rsid w:val="6C9E1CD6"/>
    <w:rsid w:val="6CC63ED4"/>
    <w:rsid w:val="6DE13E07"/>
    <w:rsid w:val="6EBB9D8A"/>
    <w:rsid w:val="70ED5388"/>
    <w:rsid w:val="725302C3"/>
    <w:rsid w:val="776C3A27"/>
    <w:rsid w:val="78CA1CAD"/>
    <w:rsid w:val="79F55D40"/>
    <w:rsid w:val="7A9540A5"/>
    <w:rsid w:val="7CFB72D1"/>
    <w:rsid w:val="7EF710A9"/>
    <w:rsid w:val="7FBA28B2"/>
    <w:rsid w:val="7FBF5C3B"/>
    <w:rsid w:val="7FDA48C6"/>
    <w:rsid w:val="AC775498"/>
    <w:rsid w:val="B7FED167"/>
    <w:rsid w:val="BB5F55E9"/>
    <w:rsid w:val="BDFE6A6E"/>
    <w:rsid w:val="BEFF1810"/>
    <w:rsid w:val="BFFD9C89"/>
    <w:rsid w:val="DBBBBDD0"/>
    <w:rsid w:val="DCADE083"/>
    <w:rsid w:val="DFCDAC74"/>
    <w:rsid w:val="F6FF4407"/>
    <w:rsid w:val="FB7FD823"/>
    <w:rsid w:val="FBDF881D"/>
    <w:rsid w:val="FBFFF838"/>
    <w:rsid w:val="FD3F387F"/>
    <w:rsid w:val="FDDC7C76"/>
    <w:rsid w:val="FDF32521"/>
    <w:rsid w:val="FE730F6F"/>
    <w:rsid w:val="FFFF9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font91"/>
    <w:basedOn w:val="6"/>
    <w:qFormat/>
    <w:uiPriority w:val="0"/>
    <w:rPr>
      <w:rFonts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10">
    <w:name w:val="font51"/>
    <w:basedOn w:val="6"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1">
    <w:name w:val="font61"/>
    <w:basedOn w:val="6"/>
    <w:qFormat/>
    <w:uiPriority w:val="0"/>
    <w:rPr>
      <w:rFonts w:ascii="宋体" w:hAnsi="宋体" w:eastAsia="宋体" w:cs="宋体"/>
      <w:color w:val="403030"/>
      <w:sz w:val="16"/>
      <w:szCs w:val="16"/>
      <w:u w:val="none"/>
    </w:rPr>
  </w:style>
  <w:style w:type="character" w:customStyle="1" w:styleId="12">
    <w:name w:val="15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3">
    <w:name w:val="10"/>
    <w:basedOn w:val="6"/>
    <w:qFormat/>
    <w:uiPriority w:val="0"/>
    <w:rPr>
      <w:rFonts w:hint="default" w:ascii="Times New Roman" w:hAnsi="Times New Roman" w:cs="Times New Roman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15">
    <w:name w:val="font71"/>
    <w:basedOn w:val="6"/>
    <w:qFormat/>
    <w:uiPriority w:val="0"/>
    <w:rPr>
      <w:rFonts w:ascii="宋体" w:hAnsi="宋体" w:eastAsia="宋体" w:cs="宋体"/>
      <w:color w:val="40303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4</Pages>
  <Words>1313</Words>
  <Characters>1456</Characters>
  <Lines>44</Lines>
  <Paragraphs>12</Paragraphs>
  <TotalTime>44</TotalTime>
  <ScaleCrop>false</ScaleCrop>
  <LinksUpToDate>false</LinksUpToDate>
  <CharactersWithSpaces>1462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2023-02-20T07:40:00Z</dcterms:created>
  <dc:creator>水云轩</dc:creator>
  <cp:lastModifiedBy>刘坤明</cp:lastModifiedBy>
  <cp:lastPrinted>2026-06-29T22:39:00Z</cp:lastPrinted>
  <dcterms:modified xsi:type="dcterms:W3CDTF">2026-07-17T06:31:39Z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97C842C3AD59412D95A8A96DF3466E8D</vt:lpwstr>
  </property>
  <property fmtid="{D5CDD505-2E9C-101B-9397-08002B2CF9AE}" pid="4" name="5B77E7CEEC58BC6AFAE8886BEB80DBEB">
    <vt:lpwstr>otCYQxs9Dbw2bUEn/Soxv9pYAoWsCRIsU8+gIbxzzmNcJN13+qHIPyWmbF9hFzPHyi2m8DLwi54E5OVVM5pJ0yGmgAiYTaR6oYUdYZxdjep6I9xviFUFZ9aTScfBW9OGocFFvdK/O/4sOVT0yceqlS8Qadz5TJtQJvKuiOqxAnb9f9CLbLVAHcH7hUzshRaQG1TRAKdVDrgTD9ZNa+eCWFBeVORc1xzCpFGFOQL4GmDpXWE7WP7OFzN5hFK4Wi5</vt:lpwstr>
  </property>
  <property fmtid="{D5CDD505-2E9C-101B-9397-08002B2CF9AE}" pid="5" name="KSOTemplateDocerSaveRecord">
    <vt:lpwstr>eyJoZGlkIjoiMTRmYWU1N2E5YTgxOTU1ZmY2NGU4N2E3N2NlOTNmZjUiLCJ1c2VySWQiOiIxNDgxMDA5Nzk4In0=</vt:lpwstr>
  </property>
</Properties>
</file>