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B9DC5">
      <w:pPr>
        <w:spacing w:line="560" w:lineRule="exact"/>
        <w:jc w:val="center"/>
        <w:rPr>
          <w:rFonts w:hint="eastAsia" w:ascii="方正小标宋简体" w:hAnsi="方正小标宋简体" w:eastAsia="方正小标宋简体" w:cs="方正小标宋简体"/>
          <w:sz w:val="44"/>
          <w:szCs w:val="44"/>
          <w:lang w:val="en-US" w:eastAsia="zh-CN"/>
        </w:rPr>
      </w:pPr>
    </w:p>
    <w:p w14:paraId="11D1D83F">
      <w:pPr>
        <w:spacing w:line="560" w:lineRule="exact"/>
        <w:jc w:val="center"/>
        <w:rPr>
          <w:rFonts w:hint="default"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fldChar w:fldCharType="begin"/>
      </w:r>
      <w:r>
        <w:rPr>
          <w:rFonts w:hint="eastAsia" w:ascii="方正小标宋简体" w:hAnsi="方正小标宋简体" w:eastAsia="方正小标宋简体" w:cs="方正小标宋简体"/>
          <w:sz w:val="44"/>
          <w:szCs w:val="44"/>
        </w:rPr>
        <w:instrText xml:space="preserve"> HYPERLINK "https://baike.baidu.com/item/%E5%8D%A1%E6%9D%BE%E7%A7%91%E6%8A%80%E8%82%A1%E4%BB%BD%E6%9C%89%E9%99%90%E5%85%AC%E5%8F%B8/20060088?fromModule=search-result_lemma" \t "https://baike.baidu.com/_blank" </w:instrText>
      </w:r>
      <w:r>
        <w:rPr>
          <w:rFonts w:hint="eastAsia" w:ascii="方正小标宋简体" w:hAnsi="方正小标宋简体" w:eastAsia="方正小标宋简体" w:cs="方正小标宋简体"/>
          <w:sz w:val="44"/>
          <w:szCs w:val="44"/>
        </w:rPr>
        <w:fldChar w:fldCharType="separate"/>
      </w:r>
      <w:r>
        <w:rPr>
          <w:rFonts w:hint="default" w:ascii="方正小标宋简体" w:hAnsi="方正小标宋简体" w:eastAsia="方正小标宋简体" w:cs="方正小标宋简体"/>
          <w:sz w:val="44"/>
          <w:szCs w:val="44"/>
        </w:rPr>
        <w:t>卡松科技股份有限公司</w:t>
      </w:r>
      <w:r>
        <w:rPr>
          <w:rFonts w:hint="default" w:ascii="方正小标宋简体" w:hAnsi="方正小标宋简体" w:eastAsia="方正小标宋简体" w:cs="方正小标宋简体"/>
          <w:sz w:val="44"/>
          <w:szCs w:val="44"/>
        </w:rPr>
        <w:fldChar w:fldCharType="end"/>
      </w:r>
    </w:p>
    <w:p w14:paraId="2A86B921">
      <w:pPr>
        <w:spacing w:line="560" w:lineRule="exact"/>
        <w:jc w:val="center"/>
        <w:rPr>
          <w:rFonts w:hint="eastAsia" w:ascii="黑体" w:hAnsi="黑体" w:eastAsia="方正小标宋简体"/>
          <w:sz w:val="32"/>
          <w:szCs w:val="32"/>
          <w:lang w:val="en-US"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报告</w:t>
      </w:r>
      <w:bookmarkStart w:id="1" w:name="_GoBack"/>
      <w:bookmarkEnd w:id="1"/>
      <w:r>
        <w:rPr>
          <w:rFonts w:hint="eastAsia" w:ascii="方正小标宋简体" w:hAnsi="方正小标宋简体" w:eastAsia="方正小标宋简体" w:cs="方正小标宋简体"/>
          <w:sz w:val="44"/>
          <w:szCs w:val="44"/>
        </w:rPr>
        <w:t>信息公</w:t>
      </w:r>
      <w:r>
        <w:rPr>
          <w:rFonts w:hint="eastAsia" w:ascii="方正小标宋简体" w:hAnsi="方正小标宋简体" w:eastAsia="方正小标宋简体" w:cs="方正小标宋简体"/>
          <w:sz w:val="44"/>
          <w:szCs w:val="44"/>
          <w:lang w:val="en-US" w:eastAsia="zh-CN"/>
        </w:rPr>
        <w:t>开</w:t>
      </w:r>
    </w:p>
    <w:p w14:paraId="0632F3A6">
      <w:pPr>
        <w:spacing w:line="560" w:lineRule="exact"/>
        <w:ind w:firstLine="640" w:firstLineChars="200"/>
        <w:rPr>
          <w:rFonts w:hint="eastAsia" w:ascii="黑体" w:hAnsi="黑体" w:eastAsia="黑体"/>
          <w:sz w:val="32"/>
          <w:szCs w:val="32"/>
        </w:rPr>
      </w:pPr>
    </w:p>
    <w:p w14:paraId="693C56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本公司董事会及全体董事保证本公告内容不存在任何虚假记载、误导性陈述或者重大遗漏，并对其内容的真实性、准确性和完整性承担个别及连带责任。</w:t>
      </w:r>
    </w:p>
    <w:p w14:paraId="5C18246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一、公司基本情况</w:t>
      </w:r>
    </w:p>
    <w:p w14:paraId="3A994B5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1.中文名称：</w:t>
      </w:r>
      <w:r>
        <w:rPr>
          <w:rFonts w:hint="eastAsia" w:ascii="仿宋_GB2312" w:hAnsi="仿宋" w:eastAsia="仿宋_GB2312" w:cs="宋体"/>
          <w:color w:val="000000"/>
          <w:kern w:val="0"/>
          <w:sz w:val="32"/>
          <w:szCs w:val="32"/>
          <w:lang w:val="en-US" w:eastAsia="zh-CN"/>
        </w:rPr>
        <w:t>卡松科技股份有限公司</w:t>
      </w:r>
      <w:r>
        <w:rPr>
          <w:rFonts w:hint="eastAsia" w:ascii="仿宋_GB2312" w:hAnsi="仿宋" w:eastAsia="仿宋_GB2312" w:cs="宋体"/>
          <w:color w:val="000000"/>
          <w:kern w:val="0"/>
          <w:sz w:val="32"/>
          <w:szCs w:val="32"/>
        </w:rPr>
        <w:t>；</w:t>
      </w:r>
    </w:p>
    <w:p w14:paraId="56E01715">
      <w:pPr>
        <w:keepNext w:val="0"/>
        <w:keepLines w:val="0"/>
        <w:pageBreakBefore w:val="0"/>
        <w:widowControl w:val="0"/>
        <w:kinsoku/>
        <w:wordWrap/>
        <w:overflowPunct/>
        <w:topLinePunct w:val="0"/>
        <w:autoSpaceDE/>
        <w:autoSpaceDN/>
        <w:bidi w:val="0"/>
        <w:adjustRightInd/>
        <w:spacing w:line="560" w:lineRule="exact"/>
        <w:ind w:firstLine="1600" w:firstLineChars="500"/>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简称：</w:t>
      </w:r>
      <w:r>
        <w:rPr>
          <w:rFonts w:hint="eastAsia" w:ascii="仿宋_GB2312" w:hAnsi="仿宋" w:eastAsia="仿宋_GB2312" w:cs="宋体"/>
          <w:color w:val="000000"/>
          <w:kern w:val="0"/>
          <w:sz w:val="32"/>
          <w:szCs w:val="32"/>
          <w:lang w:val="en-US" w:eastAsia="zh-CN"/>
        </w:rPr>
        <w:t>卡松科技</w:t>
      </w:r>
    </w:p>
    <w:p w14:paraId="4017CE5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2.外文名称：KASONG SCIENCE AND TECHNOLOGY CO.,LTD</w:t>
      </w:r>
    </w:p>
    <w:p w14:paraId="53F2956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3.法定代表人：</w:t>
      </w:r>
      <w:r>
        <w:rPr>
          <w:rFonts w:hint="eastAsia" w:ascii="仿宋_GB2312" w:hAnsi="仿宋" w:eastAsia="仿宋_GB2312" w:cs="宋体"/>
          <w:color w:val="000000"/>
          <w:kern w:val="0"/>
          <w:sz w:val="32"/>
          <w:szCs w:val="32"/>
          <w:lang w:val="en-US" w:eastAsia="zh-CN"/>
        </w:rPr>
        <w:t>赵之玉</w:t>
      </w:r>
    </w:p>
    <w:p w14:paraId="0FBE749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4.注册地址：山东省济宁市任城区运河经济开发区新材料产业园辰光路与长兴路交界处</w:t>
      </w:r>
    </w:p>
    <w:p w14:paraId="572AB6B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5.公司经营范围：一般项目：润滑油销售；润滑油加工、制造(不含危险化学品);成品油批发(不含危险化学品);石油制品制造(不含危险化学品);石油制品销售(不含危险化学品);化工产品销售(不含许可类化工产品);专用化学产品制造(不含危险化学品);专用化学产品销售(不含危险化学品);专用设备制造(不含许可类专业设备制造);五金产品制造；劳动保护用品销售；新材料技术研发；货物进出口；技术进出口；网络技术服务；互联网数据服务；智能控制系统集成；信息系统集成服务；信息技术咨询服务；物联网技术服务；工程和技术研究和试验发展；计算机软硬件及辅助设备批发；计算机软硬件及辅助设备零售；计算机软硬件及外围设备制造；通信设备制造；通讯设备销售；网络设备制造；网络设备销售；智能仪器仪表销售；仪器仪表销售；实验分析仪器销售；供应用仪器仪表销售；智能车载设备销售；终端测试设备制造；终端测试设备销售；技术服务、技术开发、技术咨询、技术交流、技术转让、技术推广；环境监测专用仪器仪表制造；环境监测专用仪器仪表销售；环境保护专用设备制造；环境保护专用设备销售；气体、液体分离及纯</w:t>
      </w:r>
      <w:r>
        <w:rPr>
          <w:rFonts w:hint="eastAsia" w:ascii="仿宋_GB2312" w:hAnsi="仿宋" w:eastAsia="仿宋_GB2312" w:cs="宋体"/>
          <w:color w:val="000000"/>
          <w:kern w:val="0"/>
          <w:sz w:val="32"/>
          <w:szCs w:val="32"/>
          <w:lang w:val="en-US"/>
        </w:rPr>
        <w:t>净</w:t>
      </w:r>
      <w:r>
        <w:rPr>
          <w:rFonts w:hint="eastAsia" w:ascii="仿宋_GB2312" w:hAnsi="仿宋" w:eastAsia="仿宋_GB2312" w:cs="宋体"/>
          <w:color w:val="000000"/>
          <w:kern w:val="0"/>
          <w:sz w:val="32"/>
          <w:szCs w:val="32"/>
        </w:rPr>
        <w:t>设备</w:t>
      </w:r>
      <w:bookmarkStart w:id="0" w:name="第三章__股份"/>
      <w:bookmarkEnd w:id="0"/>
      <w:r>
        <w:rPr>
          <w:rFonts w:hint="eastAsia" w:ascii="仿宋_GB2312" w:hAnsi="仿宋" w:eastAsia="仿宋_GB2312" w:cs="宋体"/>
          <w:color w:val="000000"/>
          <w:kern w:val="0"/>
          <w:sz w:val="32"/>
          <w:szCs w:val="32"/>
        </w:rPr>
        <w:t>制造；气体、液体分离及纯净设备销售；环保咨询服务；资源再生利用技术研发；信息系统运行维护服务；实验分析仪器制造；智能仪器仪表制造；物联网设备制造；物联网技术研发；机械设备研发；工业自动控制系统装置制造；矿山机械制造；矿山机械销售；仪器仪表修理；软件开发；人工智能理论与算法软件开发。(除依法须经批准的项目外，凭营业执照依法自主开展经营活动)许可项目：第二、三类监控化学品和第四类监控化学品中含磷、硫、氟的特定有机化学品生产；计算机信息系统安全专用产品销售；电气安装服务；施工专业作业。(依法须经批准的项目，经相关部门批准后方可开展经营活动，具体经营项目以相关部门批准文件或许可证件为准)。</w:t>
      </w:r>
    </w:p>
    <w:p w14:paraId="42BC2A5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6.办公地址：山东省济宁市任城区运河经济开发区新材料产业园辰光路与长兴路交界处；邮政编码：27</w:t>
      </w:r>
      <w:r>
        <w:rPr>
          <w:rFonts w:hint="eastAsia" w:ascii="仿宋_GB2312" w:hAnsi="仿宋" w:eastAsia="仿宋_GB2312" w:cs="宋体"/>
          <w:color w:val="000000"/>
          <w:kern w:val="0"/>
          <w:sz w:val="32"/>
          <w:szCs w:val="32"/>
          <w:lang w:val="en-US" w:eastAsia="zh-CN"/>
        </w:rPr>
        <w:t>21</w:t>
      </w:r>
      <w:r>
        <w:rPr>
          <w:rFonts w:hint="eastAsia" w:ascii="仿宋_GB2312" w:hAnsi="仿宋" w:eastAsia="仿宋_GB2312" w:cs="宋体"/>
          <w:color w:val="000000"/>
          <w:kern w:val="0"/>
          <w:sz w:val="32"/>
          <w:szCs w:val="32"/>
        </w:rPr>
        <w:t>00</w:t>
      </w:r>
    </w:p>
    <w:p w14:paraId="7A92F27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7.网址：http://</w:t>
      </w:r>
      <w:r>
        <w:rPr>
          <w:rFonts w:hint="eastAsia" w:ascii="仿宋_GB2312" w:hAnsi="仿宋" w:eastAsia="仿宋_GB2312" w:cs="宋体"/>
          <w:color w:val="000000"/>
          <w:kern w:val="0"/>
          <w:sz w:val="32"/>
          <w:szCs w:val="32"/>
          <w:lang w:val="en-US" w:eastAsia="zh-CN"/>
        </w:rPr>
        <w:t>chinakasong</w:t>
      </w:r>
      <w:r>
        <w:rPr>
          <w:rFonts w:hint="eastAsia" w:ascii="仿宋_GB2312" w:hAnsi="仿宋" w:eastAsia="仿宋_GB2312" w:cs="宋体"/>
          <w:color w:val="000000"/>
          <w:kern w:val="0"/>
          <w:sz w:val="32"/>
          <w:szCs w:val="32"/>
        </w:rPr>
        <w:t>.com/</w:t>
      </w:r>
    </w:p>
    <w:p w14:paraId="0AE1B50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8.电子信箱:Kssjfwb@126.com</w:t>
      </w:r>
    </w:p>
    <w:p w14:paraId="292D6AB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9.企业统一社会信用代码:9137</w:t>
      </w:r>
      <w:r>
        <w:rPr>
          <w:rFonts w:hint="eastAsia" w:ascii="仿宋_GB2312" w:hAnsi="仿宋" w:eastAsia="仿宋_GB2312" w:cs="宋体"/>
          <w:color w:val="000000"/>
          <w:kern w:val="0"/>
          <w:sz w:val="32"/>
          <w:szCs w:val="32"/>
          <w:lang w:val="en-US" w:eastAsia="zh-CN"/>
        </w:rPr>
        <w:t xml:space="preserve"> </w:t>
      </w:r>
      <w:r>
        <w:rPr>
          <w:rFonts w:hint="eastAsia" w:ascii="仿宋_GB2312" w:hAnsi="仿宋" w:eastAsia="仿宋_GB2312" w:cs="宋体"/>
          <w:color w:val="000000"/>
          <w:kern w:val="0"/>
          <w:sz w:val="32"/>
          <w:szCs w:val="32"/>
        </w:rPr>
        <w:t>0800</w:t>
      </w:r>
      <w:r>
        <w:rPr>
          <w:rFonts w:hint="eastAsia" w:ascii="仿宋_GB2312" w:hAnsi="仿宋" w:eastAsia="仿宋_GB2312" w:cs="宋体"/>
          <w:color w:val="000000"/>
          <w:kern w:val="0"/>
          <w:sz w:val="32"/>
          <w:szCs w:val="32"/>
          <w:lang w:val="en-US" w:eastAsia="zh-CN"/>
        </w:rPr>
        <w:t xml:space="preserve"> </w:t>
      </w:r>
      <w:r>
        <w:rPr>
          <w:rFonts w:hint="eastAsia" w:ascii="仿宋_GB2312" w:hAnsi="仿宋" w:eastAsia="仿宋_GB2312" w:cs="宋体"/>
          <w:color w:val="000000"/>
          <w:kern w:val="0"/>
          <w:sz w:val="32"/>
          <w:szCs w:val="32"/>
        </w:rPr>
        <w:t>7752</w:t>
      </w:r>
      <w:r>
        <w:rPr>
          <w:rFonts w:hint="eastAsia" w:ascii="仿宋_GB2312" w:hAnsi="仿宋" w:eastAsia="仿宋_GB2312" w:cs="宋体"/>
          <w:color w:val="000000"/>
          <w:kern w:val="0"/>
          <w:sz w:val="32"/>
          <w:szCs w:val="32"/>
          <w:lang w:val="en-US" w:eastAsia="zh-CN"/>
        </w:rPr>
        <w:t xml:space="preserve"> </w:t>
      </w:r>
      <w:r>
        <w:rPr>
          <w:rFonts w:hint="eastAsia" w:ascii="仿宋_GB2312" w:hAnsi="仿宋" w:eastAsia="仿宋_GB2312" w:cs="宋体"/>
          <w:color w:val="000000"/>
          <w:kern w:val="0"/>
          <w:sz w:val="32"/>
          <w:szCs w:val="32"/>
        </w:rPr>
        <w:t>623</w:t>
      </w:r>
      <w:r>
        <w:rPr>
          <w:rFonts w:hint="eastAsia" w:ascii="仿宋_GB2312" w:hAnsi="仿宋" w:eastAsia="仿宋_GB2312" w:cs="宋体"/>
          <w:color w:val="000000"/>
          <w:kern w:val="0"/>
          <w:sz w:val="32"/>
          <w:szCs w:val="32"/>
          <w:lang w:val="en-US" w:eastAsia="zh-CN"/>
        </w:rPr>
        <w:t xml:space="preserve"> </w:t>
      </w:r>
      <w:r>
        <w:rPr>
          <w:rFonts w:hint="eastAsia" w:ascii="仿宋_GB2312" w:hAnsi="仿宋" w:eastAsia="仿宋_GB2312" w:cs="宋体"/>
          <w:color w:val="000000"/>
          <w:kern w:val="0"/>
          <w:sz w:val="32"/>
          <w:szCs w:val="32"/>
        </w:rPr>
        <w:t>213</w:t>
      </w:r>
    </w:p>
    <w:p w14:paraId="4EF266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1"/>
        <w:rPr>
          <w:rFonts w:hint="eastAsia" w:ascii="仿宋_GB2312" w:hAnsi="仿宋" w:eastAsia="仿宋_GB2312" w:cs="宋体"/>
          <w:color w:val="000000"/>
          <w:kern w:val="0"/>
          <w:sz w:val="32"/>
          <w:szCs w:val="32"/>
          <w:highlight w:val="none"/>
        </w:rPr>
      </w:pPr>
      <w:r>
        <w:rPr>
          <w:rFonts w:hint="eastAsia" w:ascii="仿宋_GB2312" w:hAnsi="仿宋" w:eastAsia="仿宋_GB2312" w:cs="宋体"/>
          <w:color w:val="000000"/>
          <w:kern w:val="0"/>
          <w:sz w:val="32"/>
          <w:szCs w:val="32"/>
          <w:highlight w:val="none"/>
        </w:rPr>
        <w:t>10.企业简介：卡松科技股份有限公司成立于2005年，是隶属于山东能源集团有限公司的国有控股企业。</w:t>
      </w:r>
      <w:r>
        <w:rPr>
          <w:rFonts w:hint="eastAsia" w:ascii="仿宋_GB2312" w:hAnsi="仿宋" w:eastAsia="仿宋_GB2312" w:cs="宋体"/>
          <w:color w:val="000000"/>
          <w:kern w:val="0"/>
          <w:sz w:val="32"/>
          <w:szCs w:val="32"/>
          <w:highlight w:val="none"/>
          <w:lang w:val="en-US" w:eastAsia="zh-CN"/>
        </w:rPr>
        <w:t>卡松科技是</w:t>
      </w:r>
      <w:r>
        <w:rPr>
          <w:rFonts w:hint="eastAsia" w:ascii="仿宋_GB2312" w:hAnsi="仿宋" w:eastAsia="仿宋_GB2312" w:cs="宋体"/>
          <w:color w:val="000000"/>
          <w:kern w:val="0"/>
          <w:sz w:val="32"/>
          <w:szCs w:val="32"/>
          <w:highlight w:val="none"/>
        </w:rPr>
        <w:t>以“倾力打造中国特油第一品牌”为目标的国家高新技术企业、国家专精特新“小巨人”企业。2025年成功在全国中小企业股份转让系统</w:t>
      </w:r>
      <w:r>
        <w:rPr>
          <w:rFonts w:hint="eastAsia" w:ascii="仿宋_GB2312" w:hAnsi="仿宋" w:eastAsia="仿宋_GB2312" w:cs="宋体"/>
          <w:color w:val="000000"/>
          <w:kern w:val="0"/>
          <w:sz w:val="32"/>
          <w:szCs w:val="32"/>
          <w:highlight w:val="none"/>
          <w:lang w:val="en-US" w:eastAsia="zh-CN"/>
        </w:rPr>
        <w:t>(</w:t>
      </w:r>
      <w:r>
        <w:rPr>
          <w:rFonts w:hint="eastAsia" w:ascii="仿宋_GB2312" w:hAnsi="仿宋" w:eastAsia="仿宋_GB2312" w:cs="宋体"/>
          <w:color w:val="000000"/>
          <w:kern w:val="0"/>
          <w:sz w:val="32"/>
          <w:szCs w:val="32"/>
          <w:highlight w:val="none"/>
        </w:rPr>
        <w:t>“新三板”</w:t>
      </w:r>
      <w:r>
        <w:rPr>
          <w:rFonts w:hint="eastAsia" w:ascii="仿宋_GB2312" w:hAnsi="仿宋" w:eastAsia="仿宋_GB2312" w:cs="宋体"/>
          <w:color w:val="000000"/>
          <w:kern w:val="0"/>
          <w:sz w:val="32"/>
          <w:szCs w:val="32"/>
          <w:highlight w:val="none"/>
          <w:lang w:val="en-US" w:eastAsia="zh-CN"/>
        </w:rPr>
        <w:t>)</w:t>
      </w:r>
      <w:r>
        <w:rPr>
          <w:rFonts w:hint="eastAsia" w:ascii="仿宋_GB2312" w:hAnsi="仿宋" w:eastAsia="仿宋_GB2312" w:cs="宋体"/>
          <w:color w:val="000000"/>
          <w:kern w:val="0"/>
          <w:sz w:val="32"/>
          <w:szCs w:val="32"/>
          <w:highlight w:val="none"/>
        </w:rPr>
        <w:t>挂牌上市（证券代码：874917）。</w:t>
      </w:r>
    </w:p>
    <w:p w14:paraId="0A3A0AE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1"/>
        <w:rPr>
          <w:rFonts w:hint="eastAsia" w:ascii="仿宋_GB2312" w:eastAsia="仿宋_GB2312"/>
          <w:sz w:val="32"/>
          <w:szCs w:val="32"/>
          <w:lang w:eastAsia="zh-CN"/>
        </w:rPr>
      </w:pPr>
      <w:r>
        <w:rPr>
          <w:rFonts w:hint="default" w:ascii="仿宋_GB2312" w:hAnsi="仿宋" w:eastAsia="仿宋_GB2312" w:cs="宋体"/>
          <w:color w:val="000000"/>
          <w:kern w:val="0"/>
          <w:sz w:val="32"/>
          <w:szCs w:val="32"/>
          <w:highlight w:val="none"/>
          <w:lang w:val="en-US" w:eastAsia="zh-CN" w:bidi="ar-SA"/>
        </w:rPr>
        <w:t>卡松科技积淀了国家CNAS实验室、全国院士专家工作站、全国博士后科研工作站、国家品牌培育试点企业、全国守合同重信用企业和山东省创新型企业、山东省“专精特新”中小企业、山东省制造业单项冠军企业、山东省高端品牌培育企业、山东省上市后备企业、山东省瞪羚企业、</w:t>
      </w:r>
      <w:r>
        <w:rPr>
          <w:rFonts w:hint="eastAsia" w:ascii="仿宋_GB2312" w:hAnsi="仿宋" w:eastAsia="仿宋_GB2312" w:cs="宋体"/>
          <w:color w:val="000000"/>
          <w:kern w:val="0"/>
          <w:sz w:val="32"/>
          <w:szCs w:val="32"/>
          <w:highlight w:val="none"/>
          <w:lang w:val="en-US" w:eastAsia="zh-CN" w:bidi="ar-SA"/>
        </w:rPr>
        <w:t>山东省</w:t>
      </w:r>
      <w:r>
        <w:rPr>
          <w:rFonts w:hint="default" w:ascii="仿宋_GB2312" w:hAnsi="仿宋" w:eastAsia="仿宋_GB2312" w:cs="宋体"/>
          <w:color w:val="000000"/>
          <w:kern w:val="0"/>
          <w:sz w:val="32"/>
          <w:szCs w:val="32"/>
          <w:highlight w:val="none"/>
          <w:lang w:val="en-US" w:eastAsia="zh-CN" w:bidi="ar-SA"/>
        </w:rPr>
        <w:t>智能工厂</w:t>
      </w:r>
      <w:r>
        <w:rPr>
          <w:rFonts w:hint="eastAsia" w:ascii="仿宋_GB2312" w:hAnsi="仿宋" w:eastAsia="仿宋_GB2312" w:cs="宋体"/>
          <w:color w:val="000000"/>
          <w:kern w:val="0"/>
          <w:sz w:val="32"/>
          <w:szCs w:val="32"/>
          <w:highlight w:val="none"/>
          <w:lang w:val="en-US" w:eastAsia="zh-CN" w:bidi="ar-SA"/>
        </w:rPr>
        <w:t>、</w:t>
      </w:r>
      <w:r>
        <w:rPr>
          <w:rFonts w:hint="default" w:ascii="仿宋_GB2312" w:hAnsi="仿宋" w:eastAsia="仿宋_GB2312" w:cs="宋体"/>
          <w:color w:val="000000"/>
          <w:kern w:val="0"/>
          <w:sz w:val="32"/>
          <w:szCs w:val="32"/>
          <w:highlight w:val="none"/>
          <w:lang w:val="en-US" w:eastAsia="zh-CN" w:bidi="ar-SA"/>
        </w:rPr>
        <w:t>山东省绿色工厂、山东省数字经济“晨星工厂”等荣誉资质。多次承担国家导向计划、国家重点新产品、国家火炬计划、中央重点建设基金、山东省重点研发计划、山东省技术创新项目、山东创新工业产品、山东省工业互联网重点平台、山东省智能制造优秀场景等国家级、省级重大项目，通过质量管理体系、环境管理体系、职业健康安全管理体系、能源管理体系、数据管理能力成熟度评估（DCMM）等认证，多项技术成果被鉴定为</w:t>
      </w:r>
      <w:r>
        <w:rPr>
          <w:rFonts w:ascii="仿宋_GB2312" w:hAnsi="宋体" w:eastAsia="仿宋_GB2312" w:cs="仿宋_GB2312"/>
          <w:color w:val="000000"/>
          <w:kern w:val="0"/>
          <w:sz w:val="31"/>
          <w:szCs w:val="31"/>
          <w:lang w:val="en-US" w:eastAsia="zh-CN" w:bidi="ar"/>
        </w:rPr>
        <w:t>国际领先水平，矿用油液实现煤安标全系列取证，获得国家发</w:t>
      </w:r>
      <w:r>
        <w:rPr>
          <w:rFonts w:hint="eastAsia" w:ascii="仿宋_GB2312" w:hAnsi="宋体" w:eastAsia="仿宋_GB2312" w:cs="仿宋_GB2312"/>
          <w:color w:val="000000"/>
          <w:kern w:val="0"/>
          <w:sz w:val="31"/>
          <w:szCs w:val="31"/>
          <w:lang w:val="en-US" w:eastAsia="zh-CN" w:bidi="ar"/>
        </w:rPr>
        <w:t>明专利数十件，荣获国家级、省级科技成果奖励数十项，制定国家标准、山东省地方标准、团体标准十余项，发表专业论文、技术专篇数十篇</w:t>
      </w:r>
      <w:r>
        <w:rPr>
          <w:rFonts w:hint="eastAsia" w:ascii="仿宋_GB2312" w:eastAsia="仿宋_GB2312"/>
          <w:sz w:val="32"/>
          <w:szCs w:val="32"/>
        </w:rPr>
        <w:t>。</w:t>
      </w:r>
    </w:p>
    <w:p w14:paraId="403325B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二、公司治理及管理架构</w:t>
      </w:r>
    </w:p>
    <w:p w14:paraId="518D17A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卡松科技股份有限公司建立以股东会、支委会、董事会、监事会、经理层为主体的法人治理结构，公司设立综合办公室、财经中心、营销中心、技术中心、生产中心、数智化部、人力资源部、安全环保部、物资供应部、审计法务部共十个部门（中心）。</w:t>
      </w:r>
    </w:p>
    <w:p w14:paraId="0E66F81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、主要财务数据和财务指标</w:t>
      </w:r>
    </w:p>
    <w:p w14:paraId="7A1376E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卡松科技2025年度实现营业收入31,195.53万元（其中主营业务收入31,180.26万元），利润总额1,011.21万元，净利润1,047.38万元，应交税费总额1,307.18万元，资产总额35,103.08万元，负债总额14,093.13万元，所有者权益21,009.95万元。</w:t>
      </w:r>
    </w:p>
    <w:p w14:paraId="6190D19C">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cstheme="minorBidi"/>
          <w:kern w:val="2"/>
          <w:sz w:val="32"/>
          <w:szCs w:val="32"/>
          <w:lang w:val="en-US" w:eastAsia="zh-CN" w:bidi="ar-SA"/>
        </w:rPr>
        <w:t>四、</w:t>
      </w:r>
      <w:r>
        <w:rPr>
          <w:rFonts w:hint="eastAsia" w:ascii="黑体" w:hAnsi="黑体" w:eastAsia="黑体"/>
          <w:sz w:val="32"/>
          <w:szCs w:val="32"/>
          <w:lang w:val="en-US" w:eastAsia="zh-CN"/>
        </w:rPr>
        <w:t>财务会计报告和审计报告摘要</w:t>
      </w:r>
    </w:p>
    <w:p w14:paraId="562132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（一）财务会计报告</w:t>
      </w:r>
    </w:p>
    <w:p w14:paraId="6B2A2D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1.编制基础</w:t>
      </w:r>
    </w:p>
    <w:p w14:paraId="6FFDE6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本财务报表以公司持续经营假设为基础，根据实际发生的交易事项，按照企业会计准则的有关规定，并基于以下所述重要会计政策、会计估计进行编制。</w:t>
      </w:r>
    </w:p>
    <w:p w14:paraId="57FEE7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2.持续经营</w:t>
      </w:r>
    </w:p>
    <w:p w14:paraId="512C2A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公司对报告期末起12个月的持续经营能力进行了评价，未发现对持续经营能力产生重大怀疑的事项或情况。因此，本财务报表系在持续经营假设的基础上编制。</w:t>
      </w:r>
    </w:p>
    <w:p w14:paraId="4A97D305">
      <w:pPr>
        <w:numPr>
          <w:ilvl w:val="0"/>
          <w:numId w:val="0"/>
        </w:numPr>
        <w:spacing w:line="560" w:lineRule="exact"/>
        <w:ind w:firstLine="640" w:firstLineChars="200"/>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highlight w:val="none"/>
          <w:lang w:val="en-US" w:eastAsia="zh-CN"/>
        </w:rPr>
        <w:t>审计报告意见</w:t>
      </w:r>
    </w:p>
    <w:p w14:paraId="620119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天职国际会计师事务所（特殊普通合伙）审计了卡松科技股份有限公司(以下简称“卡松科技公司”)财务报表，包括2025年12月31日的资产负债表，2025年度的利润表、现金流量表、股东权益变动表，以及财务报表附注。</w:t>
      </w:r>
    </w:p>
    <w:p w14:paraId="543D9D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认为，卡松科技公司的财务报表在所有重大方面按照企业会计准则的规定编制，公允反映了卡松科技公司2025年12月31日的财务状况以及2025年度的经营成果和现金流量。</w:t>
      </w:r>
    </w:p>
    <w:p w14:paraId="032E3A95">
      <w:p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五、对外大额捐赠、赞助情况</w:t>
      </w:r>
    </w:p>
    <w:p w14:paraId="00952F5A">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06E2DEAD">
      <w:p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六、年度内发生的重大事项及对企业的影响</w:t>
      </w:r>
    </w:p>
    <w:p w14:paraId="433C3D36">
      <w:pPr>
        <w:spacing w:line="560" w:lineRule="exact"/>
        <w:ind w:firstLine="640" w:firstLineChars="200"/>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lang w:val="en-US" w:eastAsia="zh-CN"/>
        </w:rPr>
        <w:t>2025年12月31日，公司取得全国中小企业股份转让系统（新三板）挂牌同意函，顺利完成“新三板”挂牌任务，成功登陆资本市场，开启了卡松科技实体经营＋资本运营发展的新阶段。</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56DA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3C721">
                          <w:pPr>
                            <w:pStyle w:val="3"/>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D3C721">
                    <w:pPr>
                      <w:pStyle w:val="3"/>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3MjQ1MTg2NDg3ZmEzYjdkMzRjNDIxM2MxMWJiY2QifQ=="/>
  </w:docVars>
  <w:rsids>
    <w:rsidRoot w:val="00E71F08"/>
    <w:rsid w:val="00032C56"/>
    <w:rsid w:val="00035D3F"/>
    <w:rsid w:val="000D0932"/>
    <w:rsid w:val="0020427D"/>
    <w:rsid w:val="00214598"/>
    <w:rsid w:val="00247054"/>
    <w:rsid w:val="003721D8"/>
    <w:rsid w:val="00393F31"/>
    <w:rsid w:val="003D4134"/>
    <w:rsid w:val="004368F9"/>
    <w:rsid w:val="00440406"/>
    <w:rsid w:val="00464D74"/>
    <w:rsid w:val="00495958"/>
    <w:rsid w:val="00557A64"/>
    <w:rsid w:val="005C5421"/>
    <w:rsid w:val="006343E5"/>
    <w:rsid w:val="006439B4"/>
    <w:rsid w:val="00650647"/>
    <w:rsid w:val="006746A9"/>
    <w:rsid w:val="00680FAB"/>
    <w:rsid w:val="006D3C8C"/>
    <w:rsid w:val="006E31F6"/>
    <w:rsid w:val="006E3D01"/>
    <w:rsid w:val="00703A91"/>
    <w:rsid w:val="007E6A24"/>
    <w:rsid w:val="007F42F5"/>
    <w:rsid w:val="00856C0C"/>
    <w:rsid w:val="00896BBF"/>
    <w:rsid w:val="008A1FCC"/>
    <w:rsid w:val="009974EA"/>
    <w:rsid w:val="009B5E1E"/>
    <w:rsid w:val="00B830B0"/>
    <w:rsid w:val="00BA66F2"/>
    <w:rsid w:val="00BA6C60"/>
    <w:rsid w:val="00C3156B"/>
    <w:rsid w:val="00C36B82"/>
    <w:rsid w:val="00CF246B"/>
    <w:rsid w:val="00CF37B4"/>
    <w:rsid w:val="00D11D4D"/>
    <w:rsid w:val="00D543FC"/>
    <w:rsid w:val="00D82C2E"/>
    <w:rsid w:val="00E40B51"/>
    <w:rsid w:val="00E50113"/>
    <w:rsid w:val="00E71F08"/>
    <w:rsid w:val="00F2193F"/>
    <w:rsid w:val="01DC338D"/>
    <w:rsid w:val="09376339"/>
    <w:rsid w:val="09820DC9"/>
    <w:rsid w:val="0EEC67B6"/>
    <w:rsid w:val="1152168B"/>
    <w:rsid w:val="1B214621"/>
    <w:rsid w:val="1CB86F6A"/>
    <w:rsid w:val="1F0B7BF4"/>
    <w:rsid w:val="1F6A67BE"/>
    <w:rsid w:val="200D4C0E"/>
    <w:rsid w:val="22E45B36"/>
    <w:rsid w:val="23623247"/>
    <w:rsid w:val="243C25FD"/>
    <w:rsid w:val="28643ED1"/>
    <w:rsid w:val="29F8226D"/>
    <w:rsid w:val="2AB27175"/>
    <w:rsid w:val="2E6052BF"/>
    <w:rsid w:val="2F9A414A"/>
    <w:rsid w:val="30BC6FA0"/>
    <w:rsid w:val="31E57E30"/>
    <w:rsid w:val="35F04FF6"/>
    <w:rsid w:val="364E5E3D"/>
    <w:rsid w:val="407E15A8"/>
    <w:rsid w:val="455A697F"/>
    <w:rsid w:val="45E306D3"/>
    <w:rsid w:val="464F7B16"/>
    <w:rsid w:val="49615D80"/>
    <w:rsid w:val="49E27234"/>
    <w:rsid w:val="49FD236C"/>
    <w:rsid w:val="4A912EBD"/>
    <w:rsid w:val="4DAD54A5"/>
    <w:rsid w:val="52B8657D"/>
    <w:rsid w:val="55774994"/>
    <w:rsid w:val="55B51BB5"/>
    <w:rsid w:val="58DB276C"/>
    <w:rsid w:val="59187EEF"/>
    <w:rsid w:val="5FF4295F"/>
    <w:rsid w:val="6211560E"/>
    <w:rsid w:val="6999636A"/>
    <w:rsid w:val="6BC009EB"/>
    <w:rsid w:val="6F147D1D"/>
    <w:rsid w:val="75E062DB"/>
    <w:rsid w:val="768242F2"/>
    <w:rsid w:val="778D68D7"/>
    <w:rsid w:val="79892D64"/>
    <w:rsid w:val="7B551519"/>
    <w:rsid w:val="7E6F659B"/>
    <w:rsid w:val="7E734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uiPriority w:val="99"/>
    <w:rPr>
      <w:color w:val="0000FF"/>
      <w:u w:val="single"/>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widowControl/>
      <w:ind w:firstLine="420" w:firstLineChars="200"/>
      <w:jc w:val="left"/>
    </w:pPr>
    <w:rPr>
      <w:rFonts w:ascii="Times New Roman" w:hAnsi="Times New Roman" w:eastAsia="宋体" w:cs="Times New Roman"/>
      <w:snapToGrid w:val="0"/>
      <w:kern w:val="0"/>
      <w:sz w:val="20"/>
      <w:szCs w:val="20"/>
      <w:lang w:val="en-GB" w:eastAsia="en-US"/>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2228</Words>
  <Characters>2439</Characters>
  <Lines>59</Lines>
  <Paragraphs>16</Paragraphs>
  <TotalTime>27</TotalTime>
  <ScaleCrop>false</ScaleCrop>
  <LinksUpToDate>false</LinksUpToDate>
  <CharactersWithSpaces>2447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2023-06-26T01:53:00Z</dcterms:created>
  <dc:creator>Lenovo</dc:creator>
  <cp:lastModifiedBy>刘坤明</cp:lastModifiedBy>
  <cp:lastPrinted>2026-06-23T07:19:00Z</cp:lastPrinted>
  <dcterms:modified xsi:type="dcterms:W3CDTF">2026-07-17T06:31:53Z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</vt:lpwstr>
  </property>
  <property fmtid="{D5CDD505-2E9C-101B-9397-08002B2CF9AE}" pid="3" name="KSOProductBuildVer">
    <vt:lpwstr>2052-12.1.0.18276</vt:lpwstr>
  </property>
  <property fmtid="{D5CDD505-2E9C-101B-9397-08002B2CF9AE}" pid="4" name="ICV">
    <vt:lpwstr>1F9E6A362A99413ABD2F04DF63A3FA82</vt:lpwstr>
  </property>
  <property fmtid="{D5CDD505-2E9C-101B-9397-08002B2CF9AE}" pid="5" name="KSOTemplateDocerSaveRecord">
    <vt:lpwstr>eyJoZGlkIjoiZThmMzJkZjQ0OGUyMTY0MTQzZjg2ZTczZjU0NjU3NjQiLCJ1c2VySWQiOiIxNDk2OTc5NTU2In0=</vt:lpwstr>
  </property>
</Properties>
</file>