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F0C1C">
      <w:pPr>
        <w:spacing w:line="560" w:lineRule="exact"/>
        <w:jc w:val="center"/>
        <w:rPr>
          <w:rFonts w:hint="eastAsia" w:ascii="方正小标宋简体" w:eastAsia="方正小标宋简体"/>
          <w:kern w:val="32"/>
          <w:sz w:val="44"/>
          <w:szCs w:val="44"/>
        </w:rPr>
      </w:pPr>
    </w:p>
    <w:p w14:paraId="116CCC00">
      <w:pPr>
        <w:spacing w:line="560" w:lineRule="exact"/>
        <w:jc w:val="center"/>
        <w:rPr>
          <w:rFonts w:ascii="方正小标宋简体" w:eastAsia="方正小标宋简体"/>
          <w:kern w:val="32"/>
          <w:sz w:val="44"/>
          <w:szCs w:val="44"/>
        </w:rPr>
      </w:pPr>
      <w:r>
        <w:rPr>
          <w:rFonts w:hint="eastAsia" w:ascii="方正小标宋简体" w:eastAsia="方正小标宋简体"/>
          <w:kern w:val="32"/>
          <w:sz w:val="44"/>
          <w:szCs w:val="44"/>
        </w:rPr>
        <w:t>山东东山新驿煤矿有限公司</w:t>
      </w:r>
    </w:p>
    <w:p w14:paraId="6B542961">
      <w:pPr>
        <w:spacing w:line="56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eastAsia="方正小标宋简体"/>
          <w:kern w:val="32"/>
          <w:sz w:val="44"/>
          <w:szCs w:val="44"/>
        </w:rPr>
        <w:t>2025年度</w:t>
      </w:r>
      <w:r>
        <w:rPr>
          <w:rFonts w:hint="eastAsia" w:ascii="方正小标宋简体" w:eastAsia="方正小标宋简体"/>
          <w:kern w:val="32"/>
          <w:sz w:val="44"/>
          <w:szCs w:val="44"/>
          <w:lang w:val="en-US" w:eastAsia="zh-CN"/>
        </w:rPr>
        <w:t>报告</w:t>
      </w:r>
      <w:bookmarkStart w:id="0" w:name="_GoBack"/>
      <w:bookmarkEnd w:id="0"/>
      <w:r>
        <w:rPr>
          <w:rFonts w:hint="eastAsia" w:ascii="方正小标宋简体" w:eastAsia="方正小标宋简体"/>
          <w:kern w:val="32"/>
          <w:sz w:val="44"/>
          <w:szCs w:val="44"/>
        </w:rPr>
        <w:t>信息公开</w:t>
      </w:r>
    </w:p>
    <w:p w14:paraId="23C10950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</w:p>
    <w:p w14:paraId="50EB002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本公司董事会及全体董事保证本公告内容不存在任何虚假记载、误导性陈述或者重大遗漏，并对其内容的真实性、准确性和完整性承担个别及连带责任。</w:t>
      </w:r>
    </w:p>
    <w:p w14:paraId="7144F83D">
      <w:pPr>
        <w:spacing w:line="560" w:lineRule="exact"/>
        <w:ind w:firstLine="640" w:firstLineChars="200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一、公司基本情况</w:t>
      </w:r>
    </w:p>
    <w:p w14:paraId="71503D29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1.中文名称：山东东山新驿煤矿有限公司；简称：新驿煤矿</w:t>
      </w:r>
    </w:p>
    <w:p w14:paraId="09598F51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2.外文名称：Shandong Dongshan Xinyi Coal Mine Co., Ltd.</w:t>
      </w:r>
    </w:p>
    <w:p w14:paraId="6B14DACC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3.法定代表人：苗磊</w:t>
      </w:r>
    </w:p>
    <w:p w14:paraId="2993D7FA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4.注册地址：山东省济宁市兖州区新驿镇</w:t>
      </w:r>
    </w:p>
    <w:p w14:paraId="0CA04C94">
      <w:pPr>
        <w:spacing w:line="560" w:lineRule="exact"/>
        <w:ind w:firstLine="640" w:firstLineChars="200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5.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公司经营范围：一般项目：煤炭洗选：煤炭及制品销售；企业管理；物业管理；机械设备租赁；特种设备出租：住房租赁；矿山机械制造；矿山机械销售；技术服务、技术开发、技术咨询、技术交流、技术转让、技术推广；信息技术咨询服务；普通机械设备安装服务；专用设备修理；工业机器人安装、维修；工业机器人制造；工业机器人销售；智能机器人的研发；智能机器人销售；软件开发；电子产品销售；花卉种植；谷物种植；谷物销售；电子（气）物理设备及其他电子设备制造；电力设施器材制造；机械电气设备制造；电气设备修理；电气设备销售（除依法须经批准的项目外，凭营业执照依法自主开展经营活动）许可项目：煤炭开采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特种设备安装改造修理；各类工程建设活动（依法须经批准的项目经相关部门批准后方可开展经营活动）。</w:t>
      </w:r>
    </w:p>
    <w:p w14:paraId="564F1C1E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6.办公地址：济宁市兖州区新驿镇；邮政编码：272116</w:t>
      </w:r>
    </w:p>
    <w:p w14:paraId="39490BC8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7.电子信箱：xinyimeikuang@163.com</w:t>
      </w:r>
    </w:p>
    <w:p w14:paraId="4EA2FBC2">
      <w:pPr>
        <w:spacing w:line="560" w:lineRule="exact"/>
        <w:ind w:firstLine="640" w:firstLineChars="200"/>
        <w:rPr>
          <w:rFonts w:ascii="仿宋_GB2312" w:hAnsi="仿宋" w:eastAsia="仿宋_GB2312" w:cs="宋体"/>
          <w:color w:val="000000"/>
          <w:kern w:val="0"/>
          <w:sz w:val="32"/>
          <w:szCs w:val="32"/>
          <w:highlight w:val="yellow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8.企业统一社会信用代码：9137 0000 6781 1242 83</w:t>
      </w:r>
    </w:p>
    <w:p w14:paraId="736F7D2B">
      <w:pPr>
        <w:snapToGrid w:val="0"/>
        <w:spacing w:line="560" w:lineRule="exact"/>
        <w:ind w:firstLine="640" w:firstLineChars="200"/>
        <w:outlineLvl w:val="1"/>
        <w:rPr>
          <w:rFonts w:ascii="仿宋_GB2312" w:hAnsi="仿宋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9.企业简介：山东能源鲁西矿业新驿煤矿位于古九州之一的济宁市兖州区境内，东连孔子故里曲阜，西仰水泊梁山，京沪铁路纵贯南北，兖石铁路横跨东西，东临327国道、京台、京沪高速公路，南临日东高速公路，距济微高速3.6公里，距济宁大安机场6.3公里，距济宁东高铁站13.7公里，距京杭大运河20公里，地理条件优越，交通便利。新驿煤矿是经国家计委批准建设的一座新型现代化矿井，矿井于2002年8月1日破土动工，2005年1月正式投产，核定生产能力为105万吨/年，井田面积59.6km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vertAlign w:val="superscript"/>
        </w:rPr>
        <w:t>2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。煤炭产品具有低灰、特低硫、低磷的特点。矿井先后获得 “全国煤炭行业优质工程”“全国煤炭工业先进集体”“全国煤炭系统文明煤矿”“山东省十佳煤矿”“山东省富民兴鲁劳动奖状”“济宁市绿色标杆企业”“国家绿色矿山”“绿色矿山创造力企业”等50多项荣誉称号。</w:t>
      </w:r>
    </w:p>
    <w:p w14:paraId="3602C8DA">
      <w:pPr>
        <w:pStyle w:val="2"/>
        <w:widowControl/>
        <w:spacing w:beforeAutospacing="0" w:afterAutospacing="0" w:line="360" w:lineRule="atLeast"/>
        <w:ind w:firstLine="643" w:firstLineChars="200"/>
        <w:rPr>
          <w:rFonts w:hint="default" w:ascii="黑体" w:hAnsi="黑体" w:eastAsia="黑体" w:cs="黑体"/>
          <w:b w:val="0"/>
          <w:bCs w:val="0"/>
          <w:color w:val="000000"/>
          <w:sz w:val="32"/>
          <w:szCs w:val="32"/>
        </w:rPr>
      </w:pPr>
      <w:r>
        <w:rPr>
          <w:rFonts w:ascii="黑体" w:hAnsi="黑体" w:eastAsia="黑体" w:cs="黑体"/>
          <w:color w:val="000000"/>
          <w:sz w:val="32"/>
          <w:szCs w:val="32"/>
        </w:rPr>
        <w:t>二、</w:t>
      </w:r>
      <w:r>
        <w:rPr>
          <w:rFonts w:ascii="黑体" w:hAnsi="黑体" w:eastAsia="黑体" w:cs="黑体"/>
          <w:b w:val="0"/>
          <w:bCs w:val="0"/>
          <w:color w:val="000000"/>
          <w:sz w:val="32"/>
          <w:szCs w:val="32"/>
        </w:rPr>
        <w:t>公司治理结构及管理架构</w:t>
      </w:r>
    </w:p>
    <w:p w14:paraId="45654ABC">
      <w:pPr>
        <w:spacing w:line="560" w:lineRule="exact"/>
        <w:ind w:firstLine="640" w:firstLineChars="200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/>
        </w:rPr>
      </w:pP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</w:rPr>
        <w:t>公司</w:t>
      </w:r>
      <w:r>
        <w:rPr>
          <w:rFonts w:hint="eastAsia" w:ascii="仿宋_GB2312" w:hAnsi="仿宋" w:eastAsia="仿宋_GB2312" w:cs="宋体"/>
          <w:color w:val="000000"/>
          <w:kern w:val="0"/>
          <w:sz w:val="32"/>
          <w:szCs w:val="32"/>
          <w:lang w:val="en-US" w:eastAsia="zh-CN"/>
        </w:rPr>
        <w:t>设党委、董事会、经理层。设置机构20个，其中：安全生产管理职能部室6个，分别为：调度室、安全监察部、生产技术部、机电管理部（生态环保部）、通防管理部、地质测量部等6安全生产管理职能部室；地面部室6个，分别为：综合办公室（党委办公室、董事会办公室、总经理办公室、督察办公室、压煤搬迁办公室）、党委组织部（人力资源部）、纪委、党群工作部（党委宣传部、党委统战部、工会、信访办公室、团委）、财务管理部、运营管理部（审计法务部）；业务中心1个，为综合业务中心；井下生产区队7个，分别为采煤工区、掘进工区、机运工区、通防工区、机修工区、洗煤厂、钻探工区。</w:t>
      </w:r>
    </w:p>
    <w:p w14:paraId="3835371E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2025年度主要会计数据和财务指标</w:t>
      </w:r>
    </w:p>
    <w:p w14:paraId="13104686">
      <w:pPr>
        <w:adjustRightInd w:val="0"/>
        <w:spacing w:line="560" w:lineRule="exact"/>
        <w:ind w:firstLine="640" w:firstLineChars="200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1.营业收入：完成</w:t>
      </w:r>
      <w:r>
        <w:rPr>
          <w:rFonts w:hint="eastAsia" w:ascii="仿宋_GB2312" w:eastAsia="仿宋_GB2312" w:cs="Times New Roman"/>
          <w:sz w:val="32"/>
          <w:szCs w:val="32"/>
        </w:rPr>
        <w:t>4.15亿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元。</w:t>
      </w:r>
    </w:p>
    <w:p w14:paraId="432C6756">
      <w:pPr>
        <w:adjustRightInd w:val="0"/>
        <w:spacing w:line="560" w:lineRule="exact"/>
        <w:ind w:firstLine="640" w:firstLineChars="200"/>
        <w:textAlignment w:val="baseline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2.利润总额：完成</w:t>
      </w:r>
      <w:r>
        <w:rPr>
          <w:rFonts w:hint="eastAsia" w:ascii="仿宋_GB2312" w:eastAsia="仿宋_GB2312" w:cs="Times New Roman"/>
          <w:sz w:val="32"/>
          <w:szCs w:val="32"/>
        </w:rPr>
        <w:t>-1.77亿</w:t>
      </w:r>
      <w:r>
        <w:rPr>
          <w:rFonts w:hint="eastAsia" w:ascii="仿宋_GB2312" w:hAnsi="Times New Roman" w:eastAsia="仿宋_GB2312" w:cs="Times New Roman"/>
          <w:sz w:val="32"/>
          <w:szCs w:val="32"/>
        </w:rPr>
        <w:t>元。</w:t>
      </w:r>
    </w:p>
    <w:p w14:paraId="5E13BE7C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3.净利润：</w:t>
      </w:r>
      <w:r>
        <w:rPr>
          <w:rFonts w:hint="eastAsia" w:ascii="仿宋_GB2312" w:hAnsi="Times New Roman" w:eastAsia="仿宋_GB2312" w:cs="Times New Roman"/>
          <w:sz w:val="32"/>
          <w:szCs w:val="32"/>
          <w:lang w:bidi="ar"/>
        </w:rPr>
        <w:t>完成</w:t>
      </w:r>
      <w:r>
        <w:rPr>
          <w:rFonts w:hint="eastAsia" w:ascii="仿宋_GB2312" w:hAnsi="宋体" w:eastAsia="仿宋_GB2312" w:cs="Times New Roman"/>
          <w:sz w:val="32"/>
          <w:szCs w:val="32"/>
          <w:lang w:bidi="ar"/>
        </w:rPr>
        <w:t>-1.76万元。</w:t>
      </w:r>
    </w:p>
    <w:p w14:paraId="0E26092C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4.应交税费总额：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</w:t>
      </w:r>
      <w:r>
        <w:rPr>
          <w:rFonts w:hint="eastAsia" w:ascii="仿宋_GB2312" w:hAnsi="宋体" w:eastAsia="仿宋_GB2312"/>
          <w:sz w:val="32"/>
          <w:szCs w:val="32"/>
        </w:rPr>
        <w:t>0.67亿元。</w:t>
      </w:r>
    </w:p>
    <w:p w14:paraId="31B8BC0C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5.资产总额：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</w:t>
      </w:r>
      <w:r>
        <w:rPr>
          <w:rFonts w:hint="eastAsia" w:ascii="仿宋_GB2312" w:hAnsi="宋体" w:eastAsia="仿宋_GB2312"/>
          <w:sz w:val="32"/>
          <w:szCs w:val="32"/>
        </w:rPr>
        <w:t>6.73亿元。</w:t>
      </w:r>
    </w:p>
    <w:p w14:paraId="79A8D477"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6.负债总额：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</w:t>
      </w:r>
      <w:r>
        <w:rPr>
          <w:rFonts w:hint="eastAsia" w:ascii="仿宋_GB2312" w:hAnsi="宋体" w:eastAsia="仿宋_GB2312"/>
          <w:sz w:val="32"/>
          <w:szCs w:val="32"/>
        </w:rPr>
        <w:t>7.29亿元。</w:t>
      </w:r>
    </w:p>
    <w:p w14:paraId="70566DCC">
      <w:pPr>
        <w:spacing w:line="56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7.所有者权益：</w:t>
      </w:r>
      <w:r>
        <w:rPr>
          <w:rFonts w:hint="eastAsia" w:ascii="仿宋_GB2312" w:hAnsi="Times New Roman" w:eastAsia="仿宋_GB2312" w:cs="Times New Roman"/>
          <w:sz w:val="32"/>
          <w:szCs w:val="32"/>
        </w:rPr>
        <w:t>完成</w:t>
      </w:r>
      <w:r>
        <w:rPr>
          <w:rFonts w:hint="eastAsia" w:ascii="仿宋_GB2312" w:hAnsi="宋体" w:eastAsia="仿宋_GB2312"/>
          <w:sz w:val="32"/>
          <w:szCs w:val="32"/>
        </w:rPr>
        <w:t>-0.56亿元。</w:t>
      </w:r>
    </w:p>
    <w:p w14:paraId="1D448C4E">
      <w:pPr>
        <w:adjustRightInd w:val="0"/>
        <w:snapToGrid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四、财务会计报告和审计报告摘要</w:t>
      </w:r>
    </w:p>
    <w:p w14:paraId="6CFF8BD9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（一）财务会计报告</w:t>
      </w:r>
    </w:p>
    <w:p w14:paraId="7B96DAB6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1.编制基础</w:t>
      </w:r>
    </w:p>
    <w:p w14:paraId="517A4257">
      <w:pPr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本财务报表按照财政部发布的企业会计准则及其应用指南、解释及其他有关规定（统称“企业会计准则”）编制。本财务报表以持续经营为基础列报。</w:t>
      </w:r>
    </w:p>
    <w:p w14:paraId="1F685629">
      <w:pPr>
        <w:adjustRightInd w:val="0"/>
        <w:snapToGrid w:val="0"/>
        <w:spacing w:line="560" w:lineRule="exact"/>
        <w:ind w:firstLine="640" w:firstLineChars="200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bidi="ar"/>
        </w:rPr>
        <w:t>（二）审计报告意见</w:t>
      </w:r>
    </w:p>
    <w:p w14:paraId="6A66A3DE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致同会计师事务所（特殊普通合伙）审计了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山东东山新驿煤矿有限公司（以下简称“新驿煤矿公司”）财务报表，包括2025年12月31日的资产负债表，2025年度的利润表、现金流量表、所有者权益变动表、2025年12月31日的资产减值准备情况表以及相关财务报表附注。认为新驿煤矿公司</w:t>
      </w: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的财务报表在所有重大方面按照企业会计准则的规定编制，公允反映了新驿煤矿公司2025年12月31日的财务状况以及2025年度的经营成果和现金流量。</w:t>
      </w:r>
    </w:p>
    <w:p w14:paraId="3A4B05D1">
      <w:pPr>
        <w:pStyle w:val="9"/>
        <w:widowControl/>
        <w:spacing w:beforeAutospacing="0" w:afterAutospacing="0" w:line="560" w:lineRule="exact"/>
        <w:ind w:firstLine="640"/>
      </w:pPr>
      <w:r>
        <w:rPr>
          <w:rFonts w:ascii="黑体" w:hAnsi="宋体" w:eastAsia="黑体" w:cs="黑体"/>
          <w:sz w:val="32"/>
          <w:szCs w:val="32"/>
        </w:rPr>
        <w:t>五、对外大额捐赠、赞助情况</w:t>
      </w:r>
    </w:p>
    <w:p w14:paraId="2F625A1A">
      <w:pPr>
        <w:pStyle w:val="9"/>
        <w:widowControl/>
        <w:spacing w:beforeAutospacing="0" w:afterAutospacing="0"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 w14:paraId="7FD5826F">
      <w:pPr>
        <w:pStyle w:val="9"/>
        <w:widowControl/>
        <w:spacing w:beforeAutospacing="0" w:afterAutospacing="0" w:line="560" w:lineRule="exact"/>
        <w:ind w:firstLine="640"/>
      </w:pPr>
      <w:r>
        <w:rPr>
          <w:rFonts w:hint="eastAsia" w:ascii="黑体" w:hAnsi="宋体" w:eastAsia="黑体" w:cs="黑体"/>
          <w:sz w:val="32"/>
          <w:szCs w:val="32"/>
        </w:rPr>
        <w:t>六、年度内发生的重大事项及对企业的影响</w:t>
      </w:r>
    </w:p>
    <w:p w14:paraId="2EC576A1">
      <w:pPr>
        <w:kinsoku w:val="0"/>
        <w:autoSpaceDE w:val="0"/>
        <w:autoSpaceDN w:val="0"/>
        <w:adjustRightInd w:val="0"/>
        <w:snapToGrid w:val="0"/>
        <w:spacing w:before="78" w:line="228" w:lineRule="auto"/>
        <w:ind w:firstLine="640" w:firstLineChars="200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24"/>
          <w:lang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无</w:t>
      </w:r>
    </w:p>
    <w:sectPr>
      <w:headerReference r:id="rId3" w:type="default"/>
      <w:footerReference r:id="rId4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  <w:embedRegular r:id="rId1" w:fontKey="{705CF374-7EEE-4835-BEA1-08855340468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CF593B8-404E-4989-8F63-4ADCE5F1D2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A7945FB-6FCE-48A0-9A13-E1CE91C3CA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0ED7337-C2BC-44C9-909D-215926FFABE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7F02D8A2-C1BC-46F5-A16B-2B055D1301D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AB85B995-34B2-4F14-B631-158F6D31D2E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3DDAAF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94212C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- 7 -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K+3r1iwCAABX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94212C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- 7 -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945D49">
    <w:pPr>
      <w:widowControl/>
      <w:kinsoku w:val="0"/>
      <w:autoSpaceDE w:val="0"/>
      <w:autoSpaceDN w:val="0"/>
      <w:adjustRightInd w:val="0"/>
      <w:snapToGrid w:val="0"/>
      <w:spacing w:line="941" w:lineRule="exact"/>
      <w:jc w:val="left"/>
      <w:textAlignment w:val="baseline"/>
      <w:rPr>
        <w:rFonts w:ascii="Arial" w:hAnsi="Arial" w:eastAsia="Arial" w:cs="Arial"/>
        <w:snapToGrid w:val="0"/>
        <w:color w:val="000000"/>
        <w:kern w:val="0"/>
        <w:szCs w:val="21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I3MjQ1MTg2NDg3ZmEzYjdkMzRjNDIxM2MxMWJiY2QifQ=="/>
  </w:docVars>
  <w:rsids>
    <w:rsidRoot w:val="624E0F87"/>
    <w:rsid w:val="00102E62"/>
    <w:rsid w:val="001E12B9"/>
    <w:rsid w:val="00224FAA"/>
    <w:rsid w:val="002404A2"/>
    <w:rsid w:val="003654CA"/>
    <w:rsid w:val="00384D55"/>
    <w:rsid w:val="003B74F8"/>
    <w:rsid w:val="004E4E5F"/>
    <w:rsid w:val="004E6A95"/>
    <w:rsid w:val="004F4D62"/>
    <w:rsid w:val="005B6DC3"/>
    <w:rsid w:val="00605C5B"/>
    <w:rsid w:val="00612C5F"/>
    <w:rsid w:val="00630C4D"/>
    <w:rsid w:val="006D05AB"/>
    <w:rsid w:val="008C7527"/>
    <w:rsid w:val="008F69E1"/>
    <w:rsid w:val="009F557D"/>
    <w:rsid w:val="00A16443"/>
    <w:rsid w:val="00A50406"/>
    <w:rsid w:val="00AF7CA6"/>
    <w:rsid w:val="00BE5F41"/>
    <w:rsid w:val="00C82C36"/>
    <w:rsid w:val="00CE2A71"/>
    <w:rsid w:val="00D12D40"/>
    <w:rsid w:val="00D148A3"/>
    <w:rsid w:val="00D27238"/>
    <w:rsid w:val="00D51213"/>
    <w:rsid w:val="00E51AC7"/>
    <w:rsid w:val="00EC4F84"/>
    <w:rsid w:val="00F02CB9"/>
    <w:rsid w:val="00F123C3"/>
    <w:rsid w:val="02A07FD8"/>
    <w:rsid w:val="037B78FF"/>
    <w:rsid w:val="0485309E"/>
    <w:rsid w:val="05243941"/>
    <w:rsid w:val="07691ADF"/>
    <w:rsid w:val="085B5888"/>
    <w:rsid w:val="0A9A6B7F"/>
    <w:rsid w:val="0C4F35FE"/>
    <w:rsid w:val="0CB47CA0"/>
    <w:rsid w:val="0DE85E53"/>
    <w:rsid w:val="0E0B7F09"/>
    <w:rsid w:val="0E5051BE"/>
    <w:rsid w:val="0E7335B5"/>
    <w:rsid w:val="0E8C41C6"/>
    <w:rsid w:val="10732BB3"/>
    <w:rsid w:val="112149D6"/>
    <w:rsid w:val="13E93521"/>
    <w:rsid w:val="154222ED"/>
    <w:rsid w:val="1549169C"/>
    <w:rsid w:val="189C1DF5"/>
    <w:rsid w:val="18AA29E7"/>
    <w:rsid w:val="193A32DB"/>
    <w:rsid w:val="1B0B35F4"/>
    <w:rsid w:val="1D1B6429"/>
    <w:rsid w:val="213056EF"/>
    <w:rsid w:val="21460F34"/>
    <w:rsid w:val="21C7260F"/>
    <w:rsid w:val="21D249F9"/>
    <w:rsid w:val="282A06FD"/>
    <w:rsid w:val="2AAB4039"/>
    <w:rsid w:val="2BA47406"/>
    <w:rsid w:val="2DB22BC3"/>
    <w:rsid w:val="309D07F4"/>
    <w:rsid w:val="31A121BD"/>
    <w:rsid w:val="334252EC"/>
    <w:rsid w:val="344C23E9"/>
    <w:rsid w:val="35082F60"/>
    <w:rsid w:val="35B9585C"/>
    <w:rsid w:val="384350CA"/>
    <w:rsid w:val="39981C2C"/>
    <w:rsid w:val="39AF7429"/>
    <w:rsid w:val="39CA42F7"/>
    <w:rsid w:val="39E5722E"/>
    <w:rsid w:val="3B2D2B5D"/>
    <w:rsid w:val="3B820DE6"/>
    <w:rsid w:val="3C04552F"/>
    <w:rsid w:val="3CC85E2C"/>
    <w:rsid w:val="3D361E88"/>
    <w:rsid w:val="3D417C86"/>
    <w:rsid w:val="3D491BBB"/>
    <w:rsid w:val="3D9E54FD"/>
    <w:rsid w:val="3E5F0F6A"/>
    <w:rsid w:val="3FFD0A3B"/>
    <w:rsid w:val="42A81132"/>
    <w:rsid w:val="435C29DF"/>
    <w:rsid w:val="44823C05"/>
    <w:rsid w:val="4545710C"/>
    <w:rsid w:val="46BD0F24"/>
    <w:rsid w:val="477C3E4E"/>
    <w:rsid w:val="480E5EDB"/>
    <w:rsid w:val="48AC74A2"/>
    <w:rsid w:val="49B51A7F"/>
    <w:rsid w:val="4A93015C"/>
    <w:rsid w:val="4B9761E7"/>
    <w:rsid w:val="4BED4059"/>
    <w:rsid w:val="4C8D7FC1"/>
    <w:rsid w:val="4E565009"/>
    <w:rsid w:val="50036373"/>
    <w:rsid w:val="52932754"/>
    <w:rsid w:val="53990623"/>
    <w:rsid w:val="539B083F"/>
    <w:rsid w:val="555A0F92"/>
    <w:rsid w:val="565116AC"/>
    <w:rsid w:val="56A47A0A"/>
    <w:rsid w:val="574A6804"/>
    <w:rsid w:val="57FF77B6"/>
    <w:rsid w:val="58484328"/>
    <w:rsid w:val="58B32187"/>
    <w:rsid w:val="5A2A46CB"/>
    <w:rsid w:val="5BDA2968"/>
    <w:rsid w:val="5C622D9E"/>
    <w:rsid w:val="5D4D7738"/>
    <w:rsid w:val="5E941B91"/>
    <w:rsid w:val="60A50FE0"/>
    <w:rsid w:val="620948E3"/>
    <w:rsid w:val="624E0F87"/>
    <w:rsid w:val="628D57F7"/>
    <w:rsid w:val="63FE11FD"/>
    <w:rsid w:val="645839E9"/>
    <w:rsid w:val="664803B2"/>
    <w:rsid w:val="696C085C"/>
    <w:rsid w:val="6ADB7412"/>
    <w:rsid w:val="6C7D6F3E"/>
    <w:rsid w:val="6C9E1CD6"/>
    <w:rsid w:val="6CC63ED4"/>
    <w:rsid w:val="6E52590D"/>
    <w:rsid w:val="70ED5388"/>
    <w:rsid w:val="720432B0"/>
    <w:rsid w:val="75386C46"/>
    <w:rsid w:val="769D1365"/>
    <w:rsid w:val="770C71DA"/>
    <w:rsid w:val="77B51620"/>
    <w:rsid w:val="78CA1CAD"/>
    <w:rsid w:val="78F63C9E"/>
    <w:rsid w:val="79F04B91"/>
    <w:rsid w:val="7A3E3B4E"/>
    <w:rsid w:val="7A9540A5"/>
    <w:rsid w:val="7B890DF9"/>
    <w:rsid w:val="7BC10593"/>
    <w:rsid w:val="7BE129E3"/>
    <w:rsid w:val="7F23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7"/>
    <w:basedOn w:val="1"/>
    <w:next w:val="1"/>
    <w:qFormat/>
    <w:uiPriority w:val="0"/>
    <w:pPr>
      <w:ind w:left="2520" w:leftChars="1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semiHidden/>
    <w:qFormat/>
    <w:uiPriority w:val="0"/>
    <w:rPr>
      <w:rFonts w:ascii="黑体" w:hAnsi="黑体" w:eastAsia="黑体" w:cs="黑体"/>
      <w:sz w:val="30"/>
      <w:szCs w:val="30"/>
      <w:lang w:eastAsia="en-US"/>
    </w:rPr>
  </w:style>
  <w:style w:type="paragraph" w:styleId="6">
    <w:name w:val="Body Text Indent"/>
    <w:basedOn w:val="1"/>
    <w:next w:val="1"/>
    <w:qFormat/>
    <w:uiPriority w:val="0"/>
    <w:pPr>
      <w:spacing w:after="120"/>
      <w:ind w:left="420" w:leftChars="200"/>
    </w:pPr>
    <w:rPr>
      <w:kern w:val="0"/>
      <w:sz w:val="20"/>
      <w:szCs w:val="20"/>
    </w:rPr>
  </w:style>
  <w:style w:type="paragraph" w:styleId="7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 2"/>
    <w:basedOn w:val="6"/>
    <w:next w:val="3"/>
    <w:qFormat/>
    <w:uiPriority w:val="0"/>
    <w:pPr>
      <w:ind w:firstLine="420" w:firstLineChars="200"/>
    </w:p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2"/>
    <w:link w:val="7"/>
    <w:qFormat/>
    <w:uiPriority w:val="0"/>
    <w:rPr>
      <w:kern w:val="2"/>
      <w:sz w:val="18"/>
      <w:szCs w:val="18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font2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11"/>
    <w:basedOn w:val="12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9">
    <w:name w:val="font61"/>
    <w:basedOn w:val="12"/>
    <w:qFormat/>
    <w:uiPriority w:val="0"/>
    <w:rPr>
      <w:rFonts w:hint="eastAsia" w:ascii="宋体" w:hAnsi="宋体" w:eastAsia="宋体" w:cs="宋体"/>
      <w:color w:val="10303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dcc2594c-08f3-4825-a4b6-a2da4e3bb2a1</errorID>
      <errorWord>财务</errorWord>
      <group>L1_Word</group>
      <groupName>字词问题</groupName>
      <ability>L2_Typo</ability>
      <abilityName>字词错误</abilityName>
      <candidateList>
        <item>财物</item>
      </candidateList>
      <explain>〈名〉钱财和物资：爱护公共～。</explain>
      <paraID>15336EF6</paraID>
      <start>10</start>
      <end>12</end>
      <status>ignored</status>
      <modifiedWord/>
      <trackRevisions>false</trackRevisions>
    </reviewItem>
    <reviewItem>
      <errorID>c51b4524-d7a9-4793-bfc9-47d5b42efb62</errorID>
      <errorWord>元</errorWord>
      <group>L1_Word</group>
      <groupName>字词问题</groupName>
      <ability>L2_Typo</ability>
      <abilityName>字词错误</abilityName>
      <candidateList>
        <item>万元</item>
      </candidateList>
      <explain/>
      <paraID>5A71D2F7</paraID>
      <start>93</start>
      <end>95</end>
      <status>modified</status>
      <modifiedWord>万元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8A1C-887A-4FBE-9349-56345D1FE32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1588</Words>
  <Characters>1750</Characters>
  <Lines>23</Lines>
  <Paragraphs>6</Paragraphs>
  <TotalTime>2</TotalTime>
  <ScaleCrop>false</ScaleCrop>
  <LinksUpToDate>false</LinksUpToDate>
  <CharactersWithSpaces>1761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2023-02-18T07:40:00Z</dcterms:created>
  <dc:creator>水云轩</dc:creator>
  <cp:lastModifiedBy>刘坤明</cp:lastModifiedBy>
  <cp:lastPrinted>2026-04-20T00:40:00Z</cp:lastPrinted>
  <dcterms:modified xsi:type="dcterms:W3CDTF">2026-07-17T06:32:22Z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0130FAE581254A76B361EB2D5B4D1DD5_13</vt:lpwstr>
  </property>
  <property fmtid="{D5CDD505-2E9C-101B-9397-08002B2CF9AE}" pid="4" name="5B77E7CEEC58BC6AFAE8886BEB80DBEB">
    <vt:lpwstr>otCYQxs9Dbw2bUEn/Soxv9pYAoWsCRIsU8+gIbxzzmNcJN13+qHIPyWmbF9hFzPHyi2m8DLwi54E5OVVM5pJ0yGmgAiYTaR6oYUdYZxdjep6I9xviFUFZ9aTScfBW9OGocFFvdK/O/4sOVT0yceqlS8Qadz5TJtQJvKuiOqxAnb9f9CLbLVAHcH7hUzshRaQG1TRAKdVDrgTD9ZNa+eCWFBeVORc1xzCpFGFOQL4GmDpXWE7WP7OFzN5hFK4Wi5</vt:lpwstr>
  </property>
  <property fmtid="{D5CDD505-2E9C-101B-9397-08002B2CF9AE}" pid="5" name="KSOTemplateDocerSaveRecord">
    <vt:lpwstr>eyJoZGlkIjoiZWMzZDY2YmQzY2JjOWJiZTdhYTMzNTM3MDI3NWJmMjMiLCJ1c2VySWQiOiIzMTc3OTQ4NjAifQ==</vt:lpwstr>
  </property>
</Properties>
</file>