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06257">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简体" w:eastAsia="方正小标宋简体"/>
          <w:kern w:val="32"/>
          <w:sz w:val="44"/>
          <w:szCs w:val="44"/>
          <w:lang w:val="en-US" w:eastAsia="zh-CN"/>
        </w:rPr>
      </w:pPr>
    </w:p>
    <w:p w14:paraId="5CD76C1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kern w:val="32"/>
          <w:sz w:val="44"/>
          <w:szCs w:val="44"/>
        </w:rPr>
      </w:pPr>
      <w:r>
        <w:rPr>
          <w:rFonts w:hint="eastAsia" w:ascii="方正小标宋简体" w:eastAsia="方正小标宋简体"/>
          <w:kern w:val="32"/>
          <w:sz w:val="44"/>
          <w:szCs w:val="44"/>
          <w:lang w:val="en-US" w:eastAsia="zh-CN"/>
        </w:rPr>
        <w:t>卡松科技股份有限公司</w:t>
      </w:r>
      <w:r>
        <w:rPr>
          <w:rFonts w:hint="eastAsia" w:ascii="方正小标宋简体" w:eastAsia="方正小标宋简体"/>
          <w:kern w:val="32"/>
          <w:sz w:val="44"/>
          <w:szCs w:val="44"/>
        </w:rPr>
        <w:t>20</w:t>
      </w:r>
      <w:r>
        <w:rPr>
          <w:rFonts w:hint="eastAsia" w:ascii="方正小标宋简体" w:eastAsia="方正小标宋简体"/>
          <w:kern w:val="32"/>
          <w:sz w:val="44"/>
          <w:szCs w:val="44"/>
          <w:lang w:val="en-US" w:eastAsia="zh-CN"/>
        </w:rPr>
        <w:t>25</w:t>
      </w:r>
      <w:r>
        <w:rPr>
          <w:rFonts w:hint="eastAsia" w:ascii="方正小标宋简体" w:eastAsia="方正小标宋简体"/>
          <w:kern w:val="32"/>
          <w:sz w:val="44"/>
          <w:szCs w:val="44"/>
        </w:rPr>
        <w:t>年度财务决算</w:t>
      </w:r>
    </w:p>
    <w:p w14:paraId="77C1269F">
      <w:pPr>
        <w:spacing w:line="560" w:lineRule="exact"/>
        <w:jc w:val="center"/>
        <w:rPr>
          <w:rFonts w:ascii="仿宋_GB2312" w:hAnsi="仿宋_GB2312" w:eastAsia="仿宋_GB2312" w:cs="仿宋_GB2312"/>
          <w:sz w:val="32"/>
          <w:szCs w:val="32"/>
        </w:rPr>
      </w:pPr>
      <w:r>
        <w:rPr>
          <w:rFonts w:hint="eastAsia" w:ascii="方正小标宋简体" w:eastAsia="方正小标宋简体"/>
          <w:kern w:val="32"/>
          <w:sz w:val="44"/>
          <w:szCs w:val="44"/>
        </w:rPr>
        <w:t>信息公</w:t>
      </w:r>
      <w:r>
        <w:rPr>
          <w:rFonts w:hint="eastAsia" w:ascii="方正小标宋简体" w:eastAsia="方正小标宋简体"/>
          <w:kern w:val="32"/>
          <w:sz w:val="44"/>
          <w:szCs w:val="44"/>
          <w:lang w:val="en-US" w:eastAsia="zh-CN"/>
        </w:rPr>
        <w:t>开</w:t>
      </w:r>
    </w:p>
    <w:p w14:paraId="479CA9A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color w:val="000000"/>
          <w:kern w:val="0"/>
          <w:sz w:val="32"/>
          <w:szCs w:val="32"/>
        </w:rPr>
      </w:pPr>
    </w:p>
    <w:p w14:paraId="1BE302F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本公司董事会及全体董事保证本公告内容不存在任何虚假记载、误导性陈述或者重大遗漏，并对其内容的真实性、准确性和完整性承担个别及连带责任。</w:t>
      </w:r>
    </w:p>
    <w:p w14:paraId="53F1CCC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一、公司基本情况</w:t>
      </w:r>
    </w:p>
    <w:p w14:paraId="595FF78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1.中文名称：</w:t>
      </w:r>
      <w:r>
        <w:rPr>
          <w:rFonts w:hint="eastAsia" w:ascii="仿宋_GB2312" w:hAnsi="仿宋" w:eastAsia="仿宋_GB2312" w:cs="宋体"/>
          <w:color w:val="000000"/>
          <w:kern w:val="0"/>
          <w:sz w:val="32"/>
          <w:szCs w:val="32"/>
          <w:lang w:val="en-US" w:eastAsia="zh-CN"/>
        </w:rPr>
        <w:t>卡松科技股份有限公司</w:t>
      </w:r>
      <w:r>
        <w:rPr>
          <w:rFonts w:hint="eastAsia" w:ascii="仿宋_GB2312" w:hAnsi="仿宋" w:eastAsia="仿宋_GB2312" w:cs="宋体"/>
          <w:color w:val="000000"/>
          <w:kern w:val="0"/>
          <w:sz w:val="32"/>
          <w:szCs w:val="32"/>
        </w:rPr>
        <w:t>；简称：</w:t>
      </w:r>
      <w:r>
        <w:rPr>
          <w:rFonts w:hint="eastAsia" w:ascii="仿宋_GB2312" w:hAnsi="仿宋" w:eastAsia="仿宋_GB2312" w:cs="宋体"/>
          <w:color w:val="000000"/>
          <w:kern w:val="0"/>
          <w:sz w:val="32"/>
          <w:szCs w:val="32"/>
          <w:lang w:val="en-US" w:eastAsia="zh-CN"/>
        </w:rPr>
        <w:t>卡松科技</w:t>
      </w:r>
    </w:p>
    <w:p w14:paraId="1C6CDAB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2.外文名称：KASONG SCIENCE AND TECHNOLOGY CO.,LTD</w:t>
      </w:r>
    </w:p>
    <w:p w14:paraId="69D3EFF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3.法定代表人：</w:t>
      </w:r>
      <w:r>
        <w:rPr>
          <w:rFonts w:hint="eastAsia" w:ascii="仿宋_GB2312" w:hAnsi="仿宋" w:eastAsia="仿宋_GB2312" w:cs="宋体"/>
          <w:color w:val="000000"/>
          <w:kern w:val="0"/>
          <w:sz w:val="32"/>
          <w:szCs w:val="32"/>
          <w:lang w:val="en-US" w:eastAsia="zh-CN"/>
        </w:rPr>
        <w:t>赵之玉</w:t>
      </w:r>
    </w:p>
    <w:p w14:paraId="5E03E26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4.注册地址：山东省济宁市任城区运河经济开发区新材料产业园辰光路与长兴路交界处 </w:t>
      </w:r>
    </w:p>
    <w:p w14:paraId="01FF65A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5.公司经营范围：一般项目：润滑油销售；润滑油加工、制造(不含危险化学品);成品油批发(不含危险化学品);石油制品制造(不含危险化学品);石油制品销售(不含危险化学品);化工产品销售(不含许可类化工产品);专用化学产品制造(不含危险化学品);专用化学产品销售(不含危险化学品);专用设备制造(不含许可类专业设备制造);五金产品制造；劳动保护用品销售；新材料技术研发；货物进出口；技术进出口；网络技术服务；互联网数据服务；智能控制系统集成；信息系统集成服务；信息技术咨询服务；物联网技术服务；工程和技术研究和试验发展；计算机软硬件及辅助设备批发；计算机软硬件及辅助设备零售；计算机软硬件及外围设备制造；通信设备制造；通讯设备销售；网络设备制造；网络设备销售；智能仪器仪表销售；仪器仪表销售；实验分析仪器销售；供应用仪器仪表销售；智能车载设备销售；终端测试设备制造；终端测试设备销售；技术服务、技术开发、技术咨询、技术交流、技术转让、技术推广；环境监测专用仪器仪表制造；环境监测专用仪器仪表销售；环境保护专用设备制造；环境保护专用设备销售；气体、液体分离及纯</w:t>
      </w:r>
      <w:r>
        <w:rPr>
          <w:rFonts w:hint="eastAsia" w:ascii="仿宋_GB2312" w:hAnsi="仿宋" w:eastAsia="仿宋_GB2312" w:cs="宋体"/>
          <w:color w:val="000000"/>
          <w:kern w:val="0"/>
          <w:sz w:val="32"/>
          <w:szCs w:val="32"/>
          <w:lang w:val="en-US"/>
        </w:rPr>
        <w:t>净</w:t>
      </w:r>
      <w:r>
        <w:rPr>
          <w:rFonts w:hint="eastAsia" w:ascii="仿宋_GB2312" w:hAnsi="仿宋" w:eastAsia="仿宋_GB2312" w:cs="宋体"/>
          <w:color w:val="000000"/>
          <w:kern w:val="0"/>
          <w:sz w:val="32"/>
          <w:szCs w:val="32"/>
        </w:rPr>
        <w:t>设备</w:t>
      </w:r>
      <w:bookmarkStart w:id="0" w:name="第三章__股份"/>
      <w:bookmarkEnd w:id="0"/>
      <w:r>
        <w:rPr>
          <w:rFonts w:hint="eastAsia" w:ascii="仿宋_GB2312" w:hAnsi="仿宋" w:eastAsia="仿宋_GB2312" w:cs="宋体"/>
          <w:color w:val="000000"/>
          <w:kern w:val="0"/>
          <w:sz w:val="32"/>
          <w:szCs w:val="32"/>
        </w:rPr>
        <w:t>制造；气体、液体分离及纯净设备销售；环保咨询服务；资源再生利用技术研发；信息系统运行维护服务；实验分析仪器制造；智能仪器仪表制造；物联网设备制造；物联网技术研发；机械设备研发；工业自动控制系统装置制造；矿山机械制造；矿山机械销售；仪器仪表修理；软件开发；人工智能理论与算法软件开发。(除依法须经批准的项目外，凭营业执照依法自主开展经营活动)许可项目：第二、三类监控化学品和第四类监控化学品中含磷、硫、氟的特定有机化学品生产；计算机信息系统安全专用产品销售；电气安装服务；施工专业作业。(依法须经批准的项目，经相关部门批准后方可开展经营活动，具体经营项目以相关部门批准文件或许可证件为准)。</w:t>
      </w:r>
    </w:p>
    <w:p w14:paraId="15F0AE1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6.办公地址：山东省济宁市任城区运河经济开发区新材料产业园辰光路与长兴路交界处；邮政编码：27</w:t>
      </w:r>
      <w:r>
        <w:rPr>
          <w:rFonts w:hint="eastAsia" w:ascii="仿宋_GB2312" w:hAnsi="仿宋" w:eastAsia="仿宋_GB2312" w:cs="宋体"/>
          <w:color w:val="000000"/>
          <w:kern w:val="0"/>
          <w:sz w:val="32"/>
          <w:szCs w:val="32"/>
          <w:lang w:val="en-US" w:eastAsia="zh-CN"/>
        </w:rPr>
        <w:t>21</w:t>
      </w:r>
      <w:r>
        <w:rPr>
          <w:rFonts w:hint="eastAsia" w:ascii="仿宋_GB2312" w:hAnsi="仿宋" w:eastAsia="仿宋_GB2312" w:cs="宋体"/>
          <w:color w:val="000000"/>
          <w:kern w:val="0"/>
          <w:sz w:val="32"/>
          <w:szCs w:val="32"/>
        </w:rPr>
        <w:t>00</w:t>
      </w:r>
    </w:p>
    <w:p w14:paraId="7123E54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7.网址：http://</w:t>
      </w:r>
      <w:r>
        <w:rPr>
          <w:rFonts w:hint="eastAsia" w:ascii="仿宋_GB2312" w:hAnsi="仿宋" w:eastAsia="仿宋_GB2312" w:cs="宋体"/>
          <w:color w:val="000000"/>
          <w:kern w:val="0"/>
          <w:sz w:val="32"/>
          <w:szCs w:val="32"/>
          <w:lang w:val="en-US" w:eastAsia="zh-CN"/>
        </w:rPr>
        <w:t>chinakasong</w:t>
      </w:r>
      <w:r>
        <w:rPr>
          <w:rFonts w:hint="eastAsia" w:ascii="仿宋_GB2312" w:hAnsi="仿宋" w:eastAsia="仿宋_GB2312" w:cs="宋体"/>
          <w:color w:val="000000"/>
          <w:kern w:val="0"/>
          <w:sz w:val="32"/>
          <w:szCs w:val="32"/>
        </w:rPr>
        <w:t>.com/</w:t>
      </w:r>
    </w:p>
    <w:p w14:paraId="565F611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8.电子信箱:Kssjfwb@126.com</w:t>
      </w:r>
    </w:p>
    <w:p w14:paraId="4AAFB26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9.企业统一社会信用代码:9137</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0800</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7752</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623</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213</w:t>
      </w:r>
    </w:p>
    <w:p w14:paraId="061BE429">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1"/>
        <w:rPr>
          <w:rFonts w:hint="eastAsia" w:ascii="仿宋_GB2312" w:hAnsi="仿宋" w:eastAsia="仿宋_GB2312" w:cs="宋体"/>
          <w:color w:val="000000"/>
          <w:kern w:val="0"/>
          <w:sz w:val="32"/>
          <w:szCs w:val="32"/>
          <w:highlight w:val="none"/>
        </w:rPr>
      </w:pPr>
      <w:r>
        <w:rPr>
          <w:rFonts w:hint="eastAsia" w:ascii="仿宋_GB2312" w:hAnsi="仿宋" w:eastAsia="仿宋_GB2312" w:cs="宋体"/>
          <w:color w:val="000000"/>
          <w:kern w:val="0"/>
          <w:sz w:val="32"/>
          <w:szCs w:val="32"/>
          <w:highlight w:val="none"/>
        </w:rPr>
        <w:t>10.企业简介：卡松科技股份有限公司成立于2005年，是隶属于山东能源集团有限公司的国有控股企业。</w:t>
      </w:r>
      <w:r>
        <w:rPr>
          <w:rFonts w:hint="eastAsia" w:ascii="仿宋_GB2312" w:hAnsi="仿宋" w:eastAsia="仿宋_GB2312" w:cs="宋体"/>
          <w:color w:val="000000"/>
          <w:kern w:val="0"/>
          <w:sz w:val="32"/>
          <w:szCs w:val="32"/>
          <w:highlight w:val="none"/>
          <w:lang w:val="en-US" w:eastAsia="zh-CN"/>
        </w:rPr>
        <w:t>卡松科技是</w:t>
      </w:r>
      <w:r>
        <w:rPr>
          <w:rFonts w:hint="eastAsia" w:ascii="仿宋_GB2312" w:hAnsi="仿宋" w:eastAsia="仿宋_GB2312" w:cs="宋体"/>
          <w:color w:val="000000"/>
          <w:kern w:val="0"/>
          <w:sz w:val="32"/>
          <w:szCs w:val="32"/>
          <w:highlight w:val="none"/>
        </w:rPr>
        <w:t>以“倾力打造中国特油第一品牌”为目标的国家高新技术企业、国家专精特新“小巨人”企业。2025年成功在全国中小企业股份转让系统</w:t>
      </w:r>
      <w:r>
        <w:rPr>
          <w:rFonts w:hint="eastAsia" w:ascii="仿宋_GB2312" w:hAnsi="仿宋" w:eastAsia="仿宋_GB2312" w:cs="宋体"/>
          <w:color w:val="000000"/>
          <w:kern w:val="0"/>
          <w:sz w:val="32"/>
          <w:szCs w:val="32"/>
          <w:highlight w:val="none"/>
          <w:lang w:val="en-US" w:eastAsia="zh-CN"/>
        </w:rPr>
        <w:t>(</w:t>
      </w:r>
      <w:r>
        <w:rPr>
          <w:rFonts w:hint="eastAsia" w:ascii="仿宋_GB2312" w:hAnsi="仿宋" w:eastAsia="仿宋_GB2312" w:cs="宋体"/>
          <w:color w:val="000000"/>
          <w:kern w:val="0"/>
          <w:sz w:val="32"/>
          <w:szCs w:val="32"/>
          <w:highlight w:val="none"/>
        </w:rPr>
        <w:t>“新三板”</w:t>
      </w:r>
      <w:r>
        <w:rPr>
          <w:rFonts w:hint="eastAsia" w:ascii="仿宋_GB2312" w:hAnsi="仿宋" w:eastAsia="仿宋_GB2312" w:cs="宋体"/>
          <w:color w:val="000000"/>
          <w:kern w:val="0"/>
          <w:sz w:val="32"/>
          <w:szCs w:val="32"/>
          <w:highlight w:val="none"/>
          <w:lang w:val="en-US" w:eastAsia="zh-CN"/>
        </w:rPr>
        <w:t>)</w:t>
      </w:r>
      <w:r>
        <w:rPr>
          <w:rFonts w:hint="eastAsia" w:ascii="仿宋_GB2312" w:hAnsi="仿宋" w:eastAsia="仿宋_GB2312" w:cs="宋体"/>
          <w:color w:val="000000"/>
          <w:kern w:val="0"/>
          <w:sz w:val="32"/>
          <w:szCs w:val="32"/>
          <w:highlight w:val="none"/>
        </w:rPr>
        <w:t>挂牌上市（证券代码：874917）。</w:t>
      </w:r>
    </w:p>
    <w:p w14:paraId="5B64B81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default" w:ascii="仿宋_GB2312" w:hAnsi="仿宋" w:eastAsia="仿宋_GB2312" w:cs="宋体"/>
          <w:color w:val="000000"/>
          <w:kern w:val="0"/>
          <w:sz w:val="32"/>
          <w:szCs w:val="32"/>
          <w:highlight w:val="none"/>
          <w:lang w:val="en-US" w:eastAsia="zh-CN" w:bidi="ar-SA"/>
        </w:rPr>
        <w:t>卡松科技积淀了国家CNAS实验室、全国院士专家工作站、全国博士后科研工作站、国家品牌培育试点企业、全国守合同重信用企业和山东省创新型企业、山东省“专精特新”中小企业、山东省制造业单项冠军企业、山东省高端品牌培育企业、山东省上市后备企业、山东省瞪羚企业、山东省数字经济“晨星工厂”、山东省绿色工厂、济宁市智能工厂等荣誉资质。多次承担国家导向计划、国家重点新产品、国家火炬计划、中央重点建设基金、山东省重点研发计划、山东省技术创新项目、山东创新工业产品、山东省工业互联网重点平台、山东省智能制造优秀场景等国家级、省级重大项目，通过质量管理体系、环境管理体系、职业健康安全管理体系、能源管理体系、数据管理能力成熟度评估（DCMM）等认证，多项技术成果被鉴定为</w:t>
      </w:r>
      <w:r>
        <w:rPr>
          <w:rFonts w:ascii="仿宋_GB2312" w:hAnsi="宋体" w:eastAsia="仿宋_GB2312" w:cs="仿宋_GB2312"/>
          <w:color w:val="000000"/>
          <w:kern w:val="0"/>
          <w:sz w:val="31"/>
          <w:szCs w:val="31"/>
          <w:lang w:val="en-US" w:eastAsia="zh-CN" w:bidi="ar"/>
        </w:rPr>
        <w:t>国际领先水平，矿用油液实现煤安标全系列取证，获得国家发</w:t>
      </w:r>
      <w:r>
        <w:rPr>
          <w:rFonts w:hint="eastAsia" w:ascii="仿宋_GB2312" w:hAnsi="宋体" w:eastAsia="仿宋_GB2312" w:cs="仿宋_GB2312"/>
          <w:color w:val="000000"/>
          <w:kern w:val="0"/>
          <w:sz w:val="31"/>
          <w:szCs w:val="31"/>
          <w:lang w:val="en-US" w:eastAsia="zh-CN" w:bidi="ar"/>
        </w:rPr>
        <w:t>明专利数十件，荣获国家级、省级科技成果奖励数十项，制定国家标准、山东省地方标准、团体标准十</w:t>
      </w:r>
      <w:bookmarkStart w:id="1" w:name="_GoBack"/>
      <w:bookmarkEnd w:id="1"/>
      <w:r>
        <w:rPr>
          <w:rFonts w:hint="eastAsia" w:ascii="仿宋_GB2312" w:hAnsi="宋体" w:eastAsia="仿宋_GB2312" w:cs="仿宋_GB2312"/>
          <w:color w:val="000000"/>
          <w:kern w:val="0"/>
          <w:sz w:val="31"/>
          <w:szCs w:val="31"/>
          <w:lang w:val="en-US" w:eastAsia="zh-CN" w:bidi="ar"/>
        </w:rPr>
        <w:t>余项，发表专业论文、技术专篇数十篇。</w:t>
      </w:r>
    </w:p>
    <w:p w14:paraId="5B3C08FD">
      <w:pPr>
        <w:pStyle w:val="7"/>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hAnsi="宋体" w:eastAsia="仿宋_GB2312" w:cs="仿宋_GB2312"/>
          <w:color w:val="000000"/>
          <w:kern w:val="0"/>
          <w:sz w:val="31"/>
          <w:szCs w:val="31"/>
          <w:lang w:val="en-US" w:eastAsia="zh-CN" w:bidi="ar"/>
        </w:rPr>
      </w:pPr>
      <w:r>
        <w:rPr>
          <w:rFonts w:hint="default" w:ascii="仿宋_GB2312" w:hAnsi="宋体" w:eastAsia="仿宋_GB2312" w:cs="仿宋_GB2312"/>
          <w:color w:val="000000"/>
          <w:kern w:val="0"/>
          <w:sz w:val="31"/>
          <w:szCs w:val="31"/>
          <w:lang w:val="en-US" w:eastAsia="zh-CN" w:bidi="ar"/>
        </w:rPr>
        <w:t>卡松科技始终专心、专业、专注于高端工业润滑技术的研发和高端工业润滑市场的服务，形成了“技术优势和服务优势”两大核心竞争力。</w:t>
      </w:r>
      <w:r>
        <w:rPr>
          <w:rFonts w:hint="eastAsia" w:ascii="仿宋_GB2312" w:hAnsi="宋体" w:eastAsia="仿宋_GB2312" w:cs="仿宋_GB2312"/>
          <w:color w:val="000000"/>
          <w:kern w:val="0"/>
          <w:sz w:val="31"/>
          <w:szCs w:val="31"/>
          <w:lang w:val="en-US" w:eastAsia="zh-CN" w:bidi="ar"/>
        </w:rPr>
        <w:t>同时，卡松科技积极顺应“数字中国”发展战略的大势，响应山东能源集团“智慧矿山”建设的号召，紧贴数字产业化、产业数字化、数据资产化最新态势，以打造“设备润滑动态健康管理和故障分析溯源技术服务商”为定位，以建成“卡松云润滑生态圈”为目标，以建设机电设备远程智能运维服务中心和机电设备远程故障诊断服务中心为手段，大力实施“数智化润滑服务升级”工程。通过“上云、用数、赋智”，加速设备润滑智能装备系列化和市场开拓进程。通过全生命周期润滑安全管理，实现客户生产安全、设备健康、效能提升。</w:t>
      </w:r>
    </w:p>
    <w:p w14:paraId="22CFCC56">
      <w:pPr>
        <w:pStyle w:val="7"/>
        <w:keepNext w:val="0"/>
        <w:keepLines w:val="0"/>
        <w:pageBreakBefore w:val="0"/>
        <w:widowControl w:val="0"/>
        <w:kinsoku/>
        <w:wordWrap/>
        <w:overflowPunct/>
        <w:topLinePunct w:val="0"/>
        <w:autoSpaceDE/>
        <w:autoSpaceDN/>
        <w:bidi w:val="0"/>
        <w:adjustRightInd w:val="0"/>
        <w:snapToGrid/>
        <w:spacing w:line="560" w:lineRule="exact"/>
        <w:textAlignment w:val="auto"/>
        <w:rPr>
          <w:rFonts w:hint="default" w:ascii="仿宋_GB2312" w:hAnsi="宋体" w:eastAsia="仿宋_GB2312" w:cs="仿宋_GB2312"/>
          <w:color w:val="000000"/>
          <w:kern w:val="0"/>
          <w:sz w:val="31"/>
          <w:szCs w:val="31"/>
          <w:lang w:val="en-US" w:eastAsia="zh-CN" w:bidi="ar"/>
        </w:rPr>
      </w:pPr>
      <w:r>
        <w:rPr>
          <w:rFonts w:hint="default" w:ascii="仿宋_GB2312" w:hAnsi="宋体" w:eastAsia="仿宋_GB2312" w:cs="仿宋_GB2312"/>
          <w:color w:val="000000"/>
          <w:kern w:val="0"/>
          <w:sz w:val="31"/>
          <w:szCs w:val="31"/>
          <w:lang w:val="en-US" w:eastAsia="zh-CN" w:bidi="ar"/>
        </w:rPr>
        <w:t>下一步，卡松科技将致力于高端润滑材料板块和数智化润滑服务产品理论交叉创新和产品迭代创造，竞逐数智化转型升级“新赛道”，实现高端润滑“制造商+服务商”持续升级，全心、全力、全面践行“高端润滑材料制造商＋高端润滑技术服务商＋高端设备装备配套商”的“三高”定位，不断“做大规模、做强优势、做优效益”，实现卡松科技“高端化、数智化、绿色化、资本化”新质发展。</w:t>
      </w:r>
    </w:p>
    <w:p w14:paraId="754D9A5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二、上一年度财务预算执行情况</w:t>
      </w:r>
    </w:p>
    <w:p w14:paraId="5DD4CE1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卡松科技2025年度实现营业收入31,195.53万元（其中主营业务收入31,180.26万元），利润总额1,011.21万元，净利润1,047.38万元，应交税费</w:t>
      </w:r>
      <w:r>
        <w:rPr>
          <w:rFonts w:hint="eastAsia" w:ascii="仿宋_GB2312" w:hAnsi="黑体" w:eastAsia="仿宋_GB2312"/>
          <w:sz w:val="32"/>
          <w:szCs w:val="32"/>
          <w:highlight w:val="none"/>
          <w:lang w:val="en-US" w:eastAsia="zh-CN"/>
        </w:rPr>
        <w:t>总额1,307.18万元，资产总额35,103.08万元，负债总额14,093.13万元，所有者权益21,009.95万元。</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CC74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68382">
                          <w:pPr>
                            <w:pStyle w:val="3"/>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168382">
                    <w:pPr>
                      <w:pStyle w:val="3"/>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lZjQyNzE1MWFkYjI1N2QxMTUwMzNkNzliMGUyYmYifQ=="/>
  </w:docVars>
  <w:rsids>
    <w:rsidRoot w:val="624E0F87"/>
    <w:rsid w:val="00102E62"/>
    <w:rsid w:val="001E12B9"/>
    <w:rsid w:val="00224FAA"/>
    <w:rsid w:val="002404A2"/>
    <w:rsid w:val="003654CA"/>
    <w:rsid w:val="00384D55"/>
    <w:rsid w:val="004E4E5F"/>
    <w:rsid w:val="004E6A95"/>
    <w:rsid w:val="004F4D62"/>
    <w:rsid w:val="005B6DC3"/>
    <w:rsid w:val="00605C5B"/>
    <w:rsid w:val="00612C5F"/>
    <w:rsid w:val="00630C4D"/>
    <w:rsid w:val="006D05AB"/>
    <w:rsid w:val="008C7527"/>
    <w:rsid w:val="008F69E1"/>
    <w:rsid w:val="009F557D"/>
    <w:rsid w:val="00A16443"/>
    <w:rsid w:val="00A50406"/>
    <w:rsid w:val="00AF7CA6"/>
    <w:rsid w:val="00C82C36"/>
    <w:rsid w:val="00CE2A71"/>
    <w:rsid w:val="00D12D40"/>
    <w:rsid w:val="00D27238"/>
    <w:rsid w:val="00D51213"/>
    <w:rsid w:val="00E51AC7"/>
    <w:rsid w:val="00EC4F84"/>
    <w:rsid w:val="00F02CB9"/>
    <w:rsid w:val="00F123C3"/>
    <w:rsid w:val="02A07FD8"/>
    <w:rsid w:val="0485309E"/>
    <w:rsid w:val="07A97075"/>
    <w:rsid w:val="16AA2DDE"/>
    <w:rsid w:val="189C1DF5"/>
    <w:rsid w:val="193A32DB"/>
    <w:rsid w:val="21460F34"/>
    <w:rsid w:val="2DB22BC3"/>
    <w:rsid w:val="334252EC"/>
    <w:rsid w:val="39981C2C"/>
    <w:rsid w:val="39CA42F7"/>
    <w:rsid w:val="3AC802EF"/>
    <w:rsid w:val="3B253435"/>
    <w:rsid w:val="3CD70908"/>
    <w:rsid w:val="3D9E54FD"/>
    <w:rsid w:val="3E5F0F6A"/>
    <w:rsid w:val="3FFD0A3B"/>
    <w:rsid w:val="435C29DF"/>
    <w:rsid w:val="4AEB2504"/>
    <w:rsid w:val="4BED4059"/>
    <w:rsid w:val="4C8D7FC1"/>
    <w:rsid w:val="50036373"/>
    <w:rsid w:val="52932754"/>
    <w:rsid w:val="57FF77B6"/>
    <w:rsid w:val="5B6836FC"/>
    <w:rsid w:val="624E0F87"/>
    <w:rsid w:val="63FE11FD"/>
    <w:rsid w:val="6C9E1CD6"/>
    <w:rsid w:val="6CC63ED4"/>
    <w:rsid w:val="70360261"/>
    <w:rsid w:val="70ED5388"/>
    <w:rsid w:val="7253195A"/>
    <w:rsid w:val="73517D90"/>
    <w:rsid w:val="78C86E10"/>
    <w:rsid w:val="78CA1CAD"/>
    <w:rsid w:val="7A1A1E8C"/>
    <w:rsid w:val="7A9540A5"/>
    <w:rsid w:val="7EF22FA2"/>
    <w:rsid w:val="7FE14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8"/>
    </w:pPr>
    <w:rPr>
      <w:sz w:val="30"/>
      <w:szCs w:val="3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样式 样式 样式 首行缩进:  2 字符 + 首行缩进:  2 字符 + 首行缩进:  2 字符"/>
    <w:basedOn w:val="1"/>
    <w:qFormat/>
    <w:uiPriority w:val="0"/>
    <w:pPr>
      <w:adjustRightInd w:val="0"/>
      <w:spacing w:line="360" w:lineRule="auto"/>
      <w:ind w:firstLine="200" w:firstLineChars="200"/>
    </w:pPr>
    <w:rPr>
      <w:rFonts w:ascii="宋体" w:hAnsi="Arial"/>
      <w:szCs w:val="20"/>
    </w:rPr>
  </w:style>
  <w:style w:type="character" w:customStyle="1" w:styleId="8">
    <w:name w:val="页眉 字符"/>
    <w:basedOn w:val="6"/>
    <w:link w:val="4"/>
    <w:qFormat/>
    <w:uiPriority w:val="0"/>
    <w:rPr>
      <w:kern w:val="2"/>
      <w:sz w:val="18"/>
      <w:szCs w:val="18"/>
    </w:rPr>
  </w:style>
  <w:style w:type="character" w:customStyle="1" w:styleId="9">
    <w:name w:val="页脚 字符"/>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2122</Words>
  <Characters>2309</Characters>
  <Lines>2</Lines>
  <Paragraphs>1</Paragraphs>
  <TotalTime>2</TotalTime>
  <ScaleCrop>false</ScaleCrop>
  <LinksUpToDate>false</LinksUpToDate>
  <CharactersWithSpaces>2318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2023-02-18T07:40:00Z</dcterms:created>
  <dc:creator>水云轩</dc:creator>
  <cp:lastModifiedBy>冯玉敏</cp:lastModifiedBy>
  <cp:lastPrinted>2021-06-27T01:35:00Z</cp:lastPrinted>
  <dcterms:modified xsi:type="dcterms:W3CDTF">2026-04-27T00:52:03Z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68135330C994442DB5F82B5A4E05BB31_13</vt:lpwstr>
  </property>
  <property fmtid="{D5CDD505-2E9C-101B-9397-08002B2CF9AE}" pid="4" name="5B77E7CEEC58BC6AFAE8886BEB80DBEB">
    <vt:lpwstr>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</vt:lpwstr>
  </property>
</Properties>
</file>