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梁宝寺能源有限责任公司</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2021年度信息公告</w:t>
      </w:r>
    </w:p>
    <w:p>
      <w:pPr>
        <w:spacing w:line="560" w:lineRule="exact"/>
        <w:jc w:val="center"/>
        <w:rPr>
          <w:rFonts w:ascii="方正小标宋简体" w:eastAsia="方正小标宋简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一、企业基本情况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1.企业名称：肥城矿业集团梁宝寺能源有限责任公司。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2.统一社会信用代码：91370000779717557X。</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3.企业通信地址：山东省济宁市嘉祥县梁宝寺镇。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4.企业邮政编码：272400。</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5.企业联系电话：0537-6770135。</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6.成立日期：2005年8月22日。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7.企业电子邮箱：lbszhbgs@163.com。</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经营范围：煤炭开采、加工、销售；住宿。(以上项目有效期限以许可证为准)。矿山机械、电器配件制造及维修；橡胶制品加工；建筑材料、五金交电、钢材、矿山配件、日用品、煤矸石、家具销售；职工技能培训；房屋、机械设备租赁；道路货物运输（依法须经批准的项目，经相关部门批准后方可开展经营活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股东发起人出资情况：：50780万元人民币，主要股权构成是：肥城肥矿煤业有限公司持股83.69％，投资额42500万元；山东永昌投资有限公司持股14.77％，投资额7500万元；国开发展基金有限公司持股1.54%，投资额780万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10.企业投资信息或购买其他公司股权：无。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公司简介：梁宝寺煤矿井田面积95.28平方公里，划分两个水平，采用立井分水平分区式开拓，分别布置主井、副井和风井，批准开采深度+40～-1200m。一水平标高-708m,于2006年1月份投产；二水平标高-1020m，于2014年11月份投产。矿井建有配套铁路专用线、全入洗的重介选煤厂，2020年矿井核定生产能力330万t/a。</w:t>
      </w:r>
    </w:p>
    <w:p>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二、公司治理及管理架构情况</w:t>
      </w:r>
    </w:p>
    <w:p>
      <w:pPr>
        <w:adjustRightInd w:val="0"/>
        <w:snapToGrid w:val="0"/>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（一）公司治理架构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1.党委会，有2人，即：党委书记商登涛，党委副书记、纪委书记、工会主席韩吉木。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董事会，按照《公司章程》，</w:t>
      </w:r>
      <w:r>
        <w:rPr>
          <w:rFonts w:ascii="仿宋_GB2312" w:hAnsi="仿宋_GB2312" w:eastAsia="仿宋_GB2312" w:cs="仿宋_GB2312"/>
          <w:sz w:val="32"/>
          <w:szCs w:val="32"/>
        </w:rPr>
        <w:t>董事会由7名董事组成，其中，外部董事3名，</w:t>
      </w:r>
      <w:r>
        <w:rPr>
          <w:rFonts w:hint="eastAsia" w:ascii="仿宋_GB2312" w:hAnsi="仿宋_GB2312" w:eastAsia="仿宋_GB2312" w:cs="仿宋_GB2312"/>
          <w:sz w:val="32"/>
          <w:szCs w:val="32"/>
        </w:rPr>
        <w:t>分别是杜玉文、杜宗洲、孙宪民；</w:t>
      </w:r>
      <w:r>
        <w:rPr>
          <w:rFonts w:ascii="仿宋_GB2312" w:hAnsi="仿宋_GB2312" w:eastAsia="仿宋_GB2312" w:cs="仿宋_GB2312"/>
          <w:sz w:val="32"/>
          <w:szCs w:val="32"/>
        </w:rPr>
        <w:t>非外部董事4名</w:t>
      </w:r>
      <w:r>
        <w:rPr>
          <w:rFonts w:hint="eastAsia" w:ascii="仿宋_GB2312" w:hAnsi="仿宋_GB2312" w:eastAsia="仿宋_GB2312" w:cs="仿宋_GB2312"/>
          <w:sz w:val="32"/>
          <w:szCs w:val="32"/>
        </w:rPr>
        <w:t>，分别是商登涛、刘胜利、李开顺、</w:t>
      </w:r>
      <w:r>
        <w:rPr>
          <w:rFonts w:hint="eastAsia" w:ascii="仿宋_GB2312" w:hAnsi="宋体" w:eastAsia="仿宋_GB2312" w:cs="宋体"/>
          <w:color w:val="000000"/>
          <w:kern w:val="0"/>
          <w:sz w:val="32"/>
          <w:szCs w:val="32"/>
        </w:rPr>
        <w:t>孙晏昆</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.经理层，公司设总经理1人，副总经理若干名。目前经理层有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人，即：副总经理（主持工作）王剑，副总经理刘勇、总工程师卞景强、副总经理岳洪涛、安全总监祖贺军。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监事会，</w:t>
      </w:r>
      <w:r>
        <w:rPr>
          <w:rFonts w:ascii="仿宋_GB2312" w:hAnsi="仿宋_GB2312" w:eastAsia="仿宋_GB2312" w:cs="仿宋_GB2312"/>
          <w:sz w:val="32"/>
          <w:szCs w:val="32"/>
        </w:rPr>
        <w:t>按照《公司章程》，监事会由3名监事组成，其中股东代表监事2名</w:t>
      </w:r>
      <w:r>
        <w:rPr>
          <w:rFonts w:hint="eastAsia" w:ascii="仿宋_GB2312" w:hAnsi="仿宋_GB2312" w:eastAsia="仿宋_GB2312" w:cs="仿宋_GB2312"/>
          <w:sz w:val="32"/>
          <w:szCs w:val="32"/>
        </w:rPr>
        <w:t>，分别是刘国民、房兰臣；</w:t>
      </w:r>
      <w:r>
        <w:rPr>
          <w:rFonts w:ascii="仿宋_GB2312" w:hAnsi="仿宋_GB2312" w:eastAsia="仿宋_GB2312" w:cs="仿宋_GB2312"/>
          <w:sz w:val="32"/>
          <w:szCs w:val="32"/>
        </w:rPr>
        <w:t>职工代表监事1名</w:t>
      </w:r>
      <w:r>
        <w:rPr>
          <w:rFonts w:hint="eastAsia" w:ascii="仿宋_GB2312" w:hAnsi="仿宋_GB2312" w:eastAsia="仿宋_GB2312" w:cs="仿宋_GB2312"/>
          <w:sz w:val="32"/>
          <w:szCs w:val="32"/>
        </w:rPr>
        <w:t>，邱民</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（二）公司管理架构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个。其中机关科室1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即党群科、综合办公室、经营科（企管、财务、人力）、调度室、技术科、通防科、防冲科、地测防治水科、机电运输科、安全监察科；采掘单位6个，即采煤一区、采煤二区、掘进一区、掘进二区、掘进三区、掘进四区；辅助单位5个，即防冲防治水工区、机电工区、运搬工区、皮带工区、通防工区；地面单位4个，即综机中心、洗煤厂、煤管科、后勤科。</w:t>
      </w:r>
    </w:p>
    <w:p>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w:t>
      </w:r>
      <w:r>
        <w:rPr>
          <w:rFonts w:hint="eastAsia" w:ascii="黑体" w:hAnsi="黑体" w:eastAsia="黑体" w:cs="Times New Roman"/>
          <w:sz w:val="32"/>
          <w:szCs w:val="32"/>
        </w:rPr>
        <w:t>主要会计数据和财务指标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四、财务会计报告和审计报告摘要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财务会计报告摘要：</w:t>
      </w:r>
      <w:r>
        <w:rPr>
          <w:rFonts w:hint="eastAsia" w:ascii="仿宋_GB2312" w:hAnsi="仿宋_GB2312" w:eastAsia="仿宋_GB2312" w:cs="仿宋_GB2312"/>
          <w:sz w:val="32"/>
          <w:szCs w:val="32"/>
        </w:rPr>
        <w:t>梁宝寺能源公司财务报表以持续经营假设为基础，根据实际发生的交易和事项，按照</w:t>
      </w:r>
      <w:r>
        <w:rPr>
          <w:rFonts w:ascii="仿宋_GB2312" w:hAnsi="仿宋_GB2312" w:eastAsia="仿宋_GB2312" w:cs="仿宋_GB2312"/>
          <w:sz w:val="32"/>
          <w:szCs w:val="32"/>
        </w:rPr>
        <w:t>权责发生制</w:t>
      </w:r>
      <w:r>
        <w:rPr>
          <w:rFonts w:hint="eastAsia" w:ascii="仿宋_GB2312" w:hAnsi="仿宋_GB2312" w:eastAsia="仿宋_GB2312" w:cs="仿宋_GB2312"/>
          <w:sz w:val="32"/>
          <w:szCs w:val="32"/>
        </w:rPr>
        <w:t>为原则，</w:t>
      </w:r>
      <w:r>
        <w:rPr>
          <w:rFonts w:ascii="仿宋_GB2312" w:hAnsi="仿宋_GB2312" w:eastAsia="仿宋_GB2312" w:cs="仿宋_GB2312"/>
          <w:sz w:val="32"/>
          <w:szCs w:val="32"/>
        </w:rPr>
        <w:t>以历史成本为计量基础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编制的财务报表符合企业会计准则的要</w:t>
      </w:r>
      <w:bookmarkStart w:id="0" w:name="_GoBack"/>
      <w:bookmarkEnd w:id="0"/>
      <w:r>
        <w:rPr>
          <w:rFonts w:ascii="仿宋_GB2312" w:hAnsi="仿宋_GB2312" w:eastAsia="仿宋_GB2312" w:cs="仿宋_GB2312"/>
          <w:sz w:val="32"/>
          <w:szCs w:val="32"/>
        </w:rPr>
        <w:t>求，真实、完整地反映了</w:t>
      </w:r>
      <w:r>
        <w:rPr>
          <w:rFonts w:hint="eastAsia" w:ascii="仿宋_GB2312" w:hAnsi="仿宋_GB2312" w:eastAsia="仿宋_GB2312" w:cs="仿宋_GB2312"/>
          <w:sz w:val="32"/>
          <w:szCs w:val="32"/>
        </w:rPr>
        <w:t>梁宝寺能源公司</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月3</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日的财务状况及20</w:t>
      </w:r>
      <w:r>
        <w:rPr>
          <w:rFonts w:hint="eastAsia" w:ascii="仿宋_GB2312" w:hAnsi="仿宋_GB2312" w:eastAsia="仿宋_GB2312" w:cs="仿宋_GB2312"/>
          <w:sz w:val="32"/>
          <w:szCs w:val="32"/>
        </w:rPr>
        <w:t>21</w:t>
      </w:r>
      <w:r>
        <w:rPr>
          <w:rFonts w:ascii="仿宋_GB2312" w:hAnsi="仿宋_GB2312" w:eastAsia="仿宋_GB2312" w:cs="仿宋_GB2312"/>
          <w:sz w:val="32"/>
          <w:szCs w:val="32"/>
        </w:rPr>
        <w:t>年度的经营成果和现金流量等有关信息。</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审计报告摘要：</w:t>
      </w:r>
      <w:r>
        <w:rPr>
          <w:rFonts w:hint="eastAsia" w:ascii="仿宋_GB2312" w:hAnsi="仿宋_GB2312" w:eastAsia="仿宋_GB2312" w:cs="仿宋_GB2312"/>
          <w:sz w:val="32"/>
          <w:szCs w:val="32"/>
        </w:rPr>
        <w:t>新联谊会计师事务所（特殊普通合伙）出具新联谊审字【2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】第0</w:t>
      </w:r>
      <w:r>
        <w:rPr>
          <w:rFonts w:ascii="仿宋_GB2312" w:hAnsi="仿宋_GB2312" w:eastAsia="仿宋_GB2312" w:cs="仿宋_GB2312"/>
          <w:sz w:val="32"/>
          <w:szCs w:val="32"/>
        </w:rPr>
        <w:t>269</w:t>
      </w:r>
      <w:r>
        <w:rPr>
          <w:rFonts w:hint="eastAsia" w:ascii="仿宋_GB2312" w:hAnsi="仿宋_GB2312" w:eastAsia="仿宋_GB2312" w:cs="仿宋_GB2312"/>
          <w:sz w:val="32"/>
          <w:szCs w:val="32"/>
        </w:rPr>
        <w:t>号审计报告，审计报告认为梁宝寺能源公司的财务报表在所有重大方面按照企业会计准则的规定编制，公允反映了梁宝寺能源公司2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日的财务状况以及2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年度的经营成果和现金流量。</w:t>
      </w:r>
    </w:p>
    <w:p>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五、对外大额捐赠、赞助情况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jQ1MTg2NDg3ZmEzYjdkMzRjNDIxM2MxMWJiY2QifQ=="/>
  </w:docVars>
  <w:rsids>
    <w:rsidRoot w:val="00000452"/>
    <w:rsid w:val="00000452"/>
    <w:rsid w:val="000E023A"/>
    <w:rsid w:val="001325E3"/>
    <w:rsid w:val="001C1F94"/>
    <w:rsid w:val="003C6F15"/>
    <w:rsid w:val="0056533B"/>
    <w:rsid w:val="007E25E6"/>
    <w:rsid w:val="00961569"/>
    <w:rsid w:val="0096265B"/>
    <w:rsid w:val="00971FD1"/>
    <w:rsid w:val="00C126D3"/>
    <w:rsid w:val="00CB4FDE"/>
    <w:rsid w:val="00CF0C53"/>
    <w:rsid w:val="00D15E24"/>
    <w:rsid w:val="00D744A2"/>
    <w:rsid w:val="00E764A0"/>
    <w:rsid w:val="00F609C4"/>
    <w:rsid w:val="00FD2094"/>
    <w:rsid w:val="053C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230</Words>
  <Characters>1317</Characters>
  <Lines>10</Lines>
  <Paragraphs>3</Paragraphs>
  <TotalTime>41</TotalTime>
  <ScaleCrop>false</ScaleCrop>
  <LinksUpToDate>false</LinksUpToDate>
  <CharactersWithSpaces>1544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2022-06-27T14:23:00Z</dcterms:created>
  <dc:creator>Administrator</dc:creator>
  <cp:lastModifiedBy>刘坤明</cp:lastModifiedBy>
  <dcterms:modified xsi:type="dcterms:W3CDTF">2024-04-06T11:46:05Z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</vt:lpwstr>
  </property>
  <property fmtid="{D5CDD505-2E9C-101B-9397-08002B2CF9AE}" pid="3" name="KSOProductBuildVer">
    <vt:lpwstr>2052-12.1.0.15374</vt:lpwstr>
  </property>
  <property fmtid="{D5CDD505-2E9C-101B-9397-08002B2CF9AE}" pid="4" name="ICV">
    <vt:lpwstr>EB7FD727B96D453396D5B48257928ABB_12</vt:lpwstr>
  </property>
</Properties>
</file>