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3"/>
          <w:szCs w:val="43"/>
          <w:lang w:eastAsia="zh-CN"/>
        </w:rPr>
      </w:pPr>
      <w:bookmarkStart w:id="3" w:name="_GoBack"/>
      <w:bookmarkEnd w:id="3"/>
      <w:bookmarkStart w:id="0" w:name="bookmark1"/>
      <w:bookmarkEnd w:id="0"/>
    </w:p>
    <w:p>
      <w:p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4"/>
          <w:szCs w:val="44"/>
          <w:lang w:eastAsia="zh-CN"/>
        </w:rPr>
      </w:pPr>
      <w:r>
        <w:rPr>
          <w:rFonts w:hint="eastAsia" w:ascii="创艺简标宋" w:hAnsi="微软雅黑" w:eastAsia="创艺简标宋" w:cs="微软雅黑"/>
          <w:sz w:val="44"/>
          <w:szCs w:val="44"/>
          <w:lang w:eastAsia="zh-CN"/>
        </w:rPr>
        <w:t>兖矿鲁南化工有限公司</w:t>
      </w:r>
    </w:p>
    <w:p>
      <w:p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4"/>
          <w:szCs w:val="44"/>
          <w:lang w:eastAsia="zh-CN"/>
        </w:rPr>
      </w:pPr>
      <w:r>
        <w:rPr>
          <w:rFonts w:hint="eastAsia" w:ascii="创艺简标宋" w:hAnsi="微软雅黑" w:eastAsia="创艺简标宋" w:cs="微软雅黑"/>
          <w:sz w:val="44"/>
          <w:szCs w:val="44"/>
          <w:lang w:val="en-US" w:eastAsia="zh-CN"/>
        </w:rPr>
        <w:t>2024年全年</w:t>
      </w:r>
      <w:r>
        <w:rPr>
          <w:rFonts w:hint="eastAsia" w:ascii="创艺简标宋" w:hAnsi="微软雅黑" w:eastAsia="创艺简标宋" w:cs="微软雅黑"/>
          <w:sz w:val="44"/>
          <w:szCs w:val="44"/>
          <w:lang w:eastAsia="zh-CN"/>
        </w:rPr>
        <w:t>信息公开公告</w:t>
      </w:r>
    </w:p>
    <w:p>
      <w:pPr>
        <w:kinsoku/>
        <w:topLinePunct/>
        <w:spacing w:line="620" w:lineRule="exact"/>
        <w:jc w:val="center"/>
        <w:rPr>
          <w:rFonts w:ascii="黑体" w:hAnsi="黑体" w:eastAsia="黑体" w:cs="黑体"/>
          <w:sz w:val="31"/>
          <w:szCs w:val="31"/>
          <w:lang w:eastAsia="zh-CN"/>
        </w:rPr>
      </w:pPr>
    </w:p>
    <w:p>
      <w:pPr>
        <w:kinsoku/>
        <w:topLinePunct/>
        <w:spacing w:line="620" w:lineRule="exact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重要提示</w:t>
      </w:r>
    </w:p>
    <w:p>
      <w:pPr>
        <w:kinsoku/>
        <w:topLinePunct/>
        <w:spacing w:line="620" w:lineRule="exact"/>
        <w:ind w:firstLine="64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kinsoku/>
        <w:topLinePunct/>
        <w:spacing w:line="220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" w:type="default"/>
          <w:pgSz w:w="11906" w:h="16840"/>
          <w:pgMar w:top="1431" w:right="1555" w:bottom="1110" w:left="1539" w:header="0" w:footer="940" w:gutter="0"/>
          <w:cols w:space="720" w:num="1"/>
        </w:sectPr>
      </w:pPr>
    </w:p>
    <w:sdt>
      <w:sdtPr>
        <w:rPr>
          <w:rFonts w:ascii="微软雅黑" w:hAnsi="微软雅黑" w:eastAsia="微软雅黑" w:cs="微软雅黑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黑体" w:cs="Times New Roman"/>
          <w:sz w:val="31"/>
          <w:szCs w:val="31"/>
        </w:rPr>
      </w:sdtEndPr>
      <w:sdtContent>
        <w:p>
          <w:pPr>
            <w:kinsoku/>
            <w:topLinePunct/>
            <w:spacing w:line="620" w:lineRule="exact"/>
            <w:jc w:val="center"/>
            <w:rPr>
              <w:rFonts w:ascii="创艺简标宋" w:hAnsi="黑体" w:eastAsia="创艺简标宋" w:cs="微软雅黑"/>
              <w:sz w:val="32"/>
              <w:szCs w:val="32"/>
              <w:lang w:eastAsia="zh-CN"/>
            </w:rPr>
          </w:pPr>
          <w:r>
            <w:rPr>
              <w:rFonts w:hint="eastAsia" w:ascii="创艺简标宋" w:hAnsi="黑体" w:eastAsia="创艺简标宋" w:cs="微软雅黑"/>
              <w:sz w:val="32"/>
              <w:szCs w:val="32"/>
              <w:lang w:eastAsia="zh-CN"/>
            </w:rPr>
            <w:t>目  录</w:t>
          </w:r>
        </w:p>
        <w:p>
          <w:pPr>
            <w:pStyle w:val="2"/>
            <w:kinsoku/>
            <w:topLinePunct/>
            <w:spacing w:line="270" w:lineRule="auto"/>
            <w:rPr>
              <w:lang w:eastAsia="zh-CN"/>
            </w:rPr>
          </w:pPr>
        </w:p>
        <w:p>
          <w:pPr>
            <w:pStyle w:val="2"/>
            <w:kinsoku/>
            <w:topLinePunct/>
            <w:spacing w:line="270" w:lineRule="auto"/>
            <w:rPr>
              <w:lang w:eastAsia="zh-CN"/>
            </w:rPr>
          </w:pPr>
        </w:p>
        <w:p>
          <w:pPr>
            <w:tabs>
              <w:tab w:val="right" w:leader="dot" w:pos="8730"/>
            </w:tabs>
            <w:kinsoku/>
            <w:topLinePunct/>
            <w:spacing w:before="101" w:line="227" w:lineRule="auto"/>
            <w:ind w:left="36"/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HYPERLINK \l "bookmark2"</w:instrText>
          </w:r>
          <w:r>
            <w:fldChar w:fldCharType="separate"/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>第一节</w:t>
          </w:r>
          <w:r>
            <w:rPr>
              <w:rFonts w:hint="eastAsia" w:ascii="Times New Roman" w:hAnsi="Times New Roman" w:eastAsia="黑体" w:cs="Times New Roman"/>
              <w:sz w:val="31"/>
              <w:szCs w:val="31"/>
              <w:lang w:eastAsia="zh-CN"/>
            </w:rPr>
            <w:t xml:space="preserve"> </w:t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 xml:space="preserve">  公司基本情况</w:t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黑体" w:cs="Times New Roman"/>
              <w:w w:val="125"/>
              <w:sz w:val="31"/>
              <w:szCs w:val="31"/>
              <w:lang w:eastAsia="zh-CN"/>
            </w:rPr>
            <w:t>3</w:t>
          </w:r>
          <w:r>
            <w:rPr>
              <w:rFonts w:ascii="Times New Roman" w:hAnsi="Times New Roman" w:eastAsia="黑体" w:cs="Times New Roman"/>
              <w:w w:val="125"/>
              <w:sz w:val="31"/>
              <w:szCs w:val="31"/>
              <w:lang w:eastAsia="zh-CN"/>
            </w:rPr>
            <w:fldChar w:fldCharType="end"/>
          </w:r>
        </w:p>
        <w:p>
          <w:pPr>
            <w:tabs>
              <w:tab w:val="right" w:leader="dot" w:pos="8734"/>
            </w:tabs>
            <w:kinsoku/>
            <w:topLinePunct/>
            <w:spacing w:before="236" w:line="226" w:lineRule="auto"/>
            <w:ind w:left="36"/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HYPERLINK \l "bookmark1"</w:instrText>
          </w:r>
          <w:r>
            <w:fldChar w:fldCharType="separate"/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>第二节   主要会计数据和财务指标</w:t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>5</w:t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fldChar w:fldCharType="end"/>
          </w:r>
        </w:p>
        <w:p>
          <w:pPr>
            <w:tabs>
              <w:tab w:val="right" w:leader="dot" w:pos="8745"/>
            </w:tabs>
            <w:kinsoku/>
            <w:topLinePunct/>
            <w:spacing w:before="205" w:line="448" w:lineRule="exact"/>
            <w:ind w:left="36"/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</w:pP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t xml:space="preserve">第三节   期内发生的重大事项对企业的影响 </w:t>
          </w: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t xml:space="preserve"> </w:t>
          </w:r>
          <w:r>
            <w:fldChar w:fldCharType="begin"/>
          </w:r>
          <w:r>
            <w:rPr>
              <w:lang w:eastAsia="zh-CN"/>
            </w:rPr>
            <w:instrText xml:space="preserve">HYPERLINK \l "bookmark3"</w:instrText>
          </w:r>
          <w:r>
            <w:fldChar w:fldCharType="separate"/>
          </w: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t>7</w:t>
          </w: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fldChar w:fldCharType="end"/>
          </w:r>
        </w:p>
      </w:sdtContent>
    </w:sdt>
    <w:p>
      <w:pPr>
        <w:kinsoku/>
        <w:topLinePunct/>
        <w:spacing w:line="448" w:lineRule="exact"/>
        <w:rPr>
          <w:rFonts w:ascii="Times New Roman" w:hAnsi="Times New Roman" w:eastAsia="Times New Roman" w:cs="Times New Roman"/>
          <w:sz w:val="31"/>
          <w:szCs w:val="31"/>
          <w:lang w:eastAsia="zh-CN"/>
        </w:rPr>
        <w:sectPr>
          <w:footerReference r:id="rId4" w:type="default"/>
          <w:pgSz w:w="11906" w:h="16840"/>
          <w:pgMar w:top="1431" w:right="1373" w:bottom="1110" w:left="1785" w:header="0" w:footer="940" w:gutter="0"/>
          <w:cols w:space="720" w:num="1"/>
        </w:sectPr>
      </w:pPr>
    </w:p>
    <w:p>
      <w:p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3"/>
          <w:szCs w:val="43"/>
          <w:lang w:eastAsia="zh-CN"/>
        </w:rPr>
      </w:pPr>
      <w:bookmarkStart w:id="1" w:name="bookmark2"/>
      <w:bookmarkEnd w:id="1"/>
    </w:p>
    <w:p>
      <w:p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lang w:eastAsia="zh-CN"/>
        </w:rPr>
      </w:pPr>
      <w:r>
        <w:rPr>
          <w:rFonts w:ascii="创艺简标宋" w:hAnsi="微软雅黑" w:eastAsia="创艺简标宋" w:cs="微软雅黑"/>
          <w:sz w:val="32"/>
          <w:szCs w:val="32"/>
          <w:lang w:eastAsia="zh-CN"/>
        </w:rPr>
        <w:t>第一</w:t>
      </w:r>
      <w:r>
        <w:rPr>
          <w:rFonts w:ascii="Cambria" w:hAnsi="Cambria" w:eastAsia="创艺简标宋" w:cs="微软雅黑"/>
          <w:sz w:val="32"/>
          <w:szCs w:val="32"/>
          <w:lang w:eastAsia="zh-CN"/>
        </w:rPr>
        <w:t xml:space="preserve">节   </w:t>
      </w:r>
      <w:r>
        <w:rPr>
          <w:rFonts w:ascii="创艺简标宋" w:hAnsi="微软雅黑" w:eastAsia="创艺简标宋" w:cs="微软雅黑"/>
          <w:sz w:val="32"/>
          <w:szCs w:val="32"/>
          <w:lang w:eastAsia="zh-CN"/>
        </w:rPr>
        <w:t>公司基本情况</w:t>
      </w:r>
    </w:p>
    <w:p>
      <w:p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3"/>
          <w:szCs w:val="43"/>
          <w:lang w:eastAsia="zh-CN"/>
        </w:rPr>
      </w:pPr>
    </w:p>
    <w:p>
      <w:pPr>
        <w:kinsoku/>
        <w:topLinePunct/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一 、公司基本信息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（一）中文名称</w:t>
      </w:r>
    </w:p>
    <w:p>
      <w:pPr>
        <w:kinsoku/>
        <w:topLinePunct/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兖矿鲁南化工有限公司（简称：鲁南化工）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（二）外文名称</w:t>
      </w:r>
    </w:p>
    <w:p>
      <w:pPr>
        <w:kinsoku/>
        <w:topLinePunct/>
        <w:spacing w:line="620" w:lineRule="exact"/>
        <w:ind w:firstLine="790" w:firstLineChars="247"/>
        <w:jc w:val="left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Yankuang Lunan Chemicals Co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.,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Ltd.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（三）法定代表人</w:t>
      </w:r>
    </w:p>
    <w:p>
      <w:pPr>
        <w:kinsoku/>
        <w:topLinePunct/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张岭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（四）注册地址</w:t>
      </w:r>
    </w:p>
    <w:p>
      <w:pPr>
        <w:kinsoku/>
        <w:topLinePunct/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枣庄市行政审批服务局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（五）经营范围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firstLine="643" w:firstLineChars="200"/>
        <w:textAlignment w:val="baseline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  <w:lang w:eastAsia="zh-CN"/>
        </w:rPr>
        <w:t>1.许可项目</w:t>
      </w:r>
      <w:r>
        <w:rPr>
          <w:rFonts w:ascii="仿宋" w:hAnsi="仿宋" w:eastAsia="仿宋" w:cs="仿宋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危险化学品生产；危险化学品经营；发电业务、输电业务、供（配）电业务；热力生产和供应；消毒剂生产（不含危险化学品）；餐饮服务；住宿服务；移动式压力容器/气瓶充装；污水处理及其再生利用。（依法须经批准的项目，经相关部门批准后方可开展经营活动，具体经营项目以相关部门批准文件或许可证件为准）</w:t>
      </w:r>
    </w:p>
    <w:p>
      <w:pPr>
        <w:kinsoku/>
        <w:topLinePunct/>
        <w:spacing w:line="62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2.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一般项目：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货物进出口；技术进出口；技术服务、技术开发、技术咨询、技术交流、技术转让、技术推广；消毒剂销售（不含危险化学品）；化工产品生产（不含许可类化工产品）；化工产品销售（不含许可类化工产品）；机械设备销售；机械零件、零部件销售；包装材料及制品销售；会议及展览服务；业务培训（不含教育培训、职业技能培训等需取得许可的培训）；以自有资金从事投资活动；水污染治理。（除依法须经批准的项目外，凭营业执照依法自主开展经营活动）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（六）办公地址</w:t>
      </w:r>
    </w:p>
    <w:p>
      <w:pPr>
        <w:kinsoku/>
        <w:topLinePunct/>
        <w:spacing w:line="620" w:lineRule="exact"/>
        <w:ind w:firstLine="64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山东省滕州木石镇鲁南高科技化工园区，邮政编码277527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insoku/>
        <w:topLinePunct/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二、公司治理及管理架构</w:t>
      </w:r>
    </w:p>
    <w:p>
      <w:pPr>
        <w:kinsoku/>
        <w:topLinePunct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公司法人治理结构健全，规范设立董事会、经理层。公司不设股东会，由兖矿能源集团股份有限公司依法行使股东会职权；董事会由5名董事组成，其中股东委派董事4名，职工董事1名；经理层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现有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人，其中总经理1人，副总经理4人,技术专家（二级）1人,财务总监、总法律顾问1人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公司不设监事会、监事，由董事会审计风险委员会等机构行使相关职权。</w:t>
      </w:r>
    </w:p>
    <w:p>
      <w:pPr>
        <w:kinsoku/>
        <w:topLinePunct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公司现有组织机构2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个，均为科级机构。其中：职能部室10个：综合办公室、党群工作部（工会）、纪委综合部、党委组织部（人力资源部）、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部、生产部（调度室）、安全监察部（生态环保部）、技术工程部、机电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运营管理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部。生产车间1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个：原料车间 、气化车间、净化车间、醇氨事业部、乙酰事业部、醋酐车间、聚甲醛事业部、供水车间、热电车间、电气车间、仪表车间、质检中心、双氧水车间、环己酮车间、己内酰胺事业部。后勤服务部门1个：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服务中心。</w:t>
      </w:r>
    </w:p>
    <w:p>
      <w:pPr>
        <w:kinsoku/>
        <w:topLinePunct/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三、公司简介</w:t>
      </w:r>
    </w:p>
    <w:p>
      <w:pPr>
        <w:kinsoku/>
        <w:topLinePunct/>
        <w:spacing w:line="620" w:lineRule="exact"/>
        <w:ind w:firstLine="64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鲁南化工始建于1967年，由原兖矿鲁南化肥厂、兖矿国泰化工有限公司和兖矿国泰乙酰化工有限公司整合而成。经过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发展，由单一化肥生产企业发展成为高端化学品、化工新材料产品生产与研发的大型高科技化工企业。公司拥有两个省级技术研发平台和多项发明专利，持续保持全国安全生产标准化一级企业称号，先后荣获全国科技进步一等奖、国家优质工程金奖、山东省“十强”产业集群高端化工领军企业、全省煤基精细化工产业链链主企业和第八届“山东省省长质量奖”“山东省绿色低碳高质量发展先行区试点企业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国务院国资委科改示范企业标杆单位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等荣誉200余项。</w:t>
      </w:r>
    </w:p>
    <w:p>
      <w:p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lang w:eastAsia="zh-CN"/>
        </w:rPr>
      </w:pPr>
    </w:p>
    <w:p>
      <w:pPr>
        <w:numPr>
          <w:ilvl w:val="0"/>
          <w:numId w:val="1"/>
        </w:num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highlight w:val="none"/>
          <w:lang w:eastAsia="zh-CN"/>
        </w:rPr>
      </w:pPr>
      <w:r>
        <w:rPr>
          <w:rFonts w:ascii="Cambria" w:hAnsi="Cambria" w:eastAsia="创艺简标宋" w:cs="微软雅黑"/>
          <w:sz w:val="32"/>
          <w:szCs w:val="32"/>
          <w:highlight w:val="none"/>
          <w:lang w:eastAsia="zh-CN"/>
        </w:rPr>
        <w:t xml:space="preserve">  </w:t>
      </w:r>
      <w:r>
        <w:rPr>
          <w:rFonts w:ascii="创艺简标宋" w:hAnsi="微软雅黑" w:eastAsia="创艺简标宋" w:cs="微软雅黑"/>
          <w:sz w:val="32"/>
          <w:szCs w:val="32"/>
          <w:highlight w:val="none"/>
          <w:lang w:eastAsia="zh-CN"/>
        </w:rPr>
        <w:t>主要会计数据和财务指标</w:t>
      </w:r>
    </w:p>
    <w:p>
      <w:pPr>
        <w:numPr>
          <w:ilvl w:val="0"/>
          <w:numId w:val="0"/>
        </w:numPr>
        <w:kinsoku/>
        <w:topLinePunct/>
        <w:spacing w:line="620" w:lineRule="exact"/>
        <w:jc w:val="both"/>
        <w:outlineLvl w:val="0"/>
        <w:rPr>
          <w:rFonts w:ascii="创艺简标宋" w:hAnsi="微软雅黑" w:eastAsia="创艺简标宋" w:cs="微软雅黑"/>
          <w:sz w:val="32"/>
          <w:szCs w:val="32"/>
          <w:highlight w:val="none"/>
          <w:lang w:eastAsia="zh-CN"/>
        </w:rPr>
      </w:pPr>
    </w:p>
    <w:p>
      <w:pPr>
        <w:kinsoku/>
        <w:topLinePunct/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ascii="黑体" w:hAnsi="黑体" w:eastAsia="黑体" w:cs="黑体"/>
          <w:sz w:val="32"/>
          <w:szCs w:val="32"/>
          <w:highlight w:val="none"/>
          <w:lang w:eastAsia="zh-CN"/>
        </w:rPr>
        <w:t>一、主要财务指标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（一）营业收入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2024年全年实现收入1147202.21万元，同比减少89054.28  万元，降幅7.2%。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（二）营业总成本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2024年全年营业总成本1150097.50万元，同比降低73655.95万元，降幅6.02%。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（三）利润总额</w:t>
      </w:r>
    </w:p>
    <w:p>
      <w:pPr>
        <w:kinsoku/>
        <w:topLinePunct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2024年全年实现利润总额6381.71万元，同比降低12348.96 万元，降幅65.92%。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（四）应交税费总额</w:t>
      </w:r>
    </w:p>
    <w:p>
      <w:pPr>
        <w:kinsoku/>
        <w:topLinePunct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2" w:name="bookmark3"/>
      <w:bookmarkEnd w:id="2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2024年全年应交税费 15256.82万元，同比增加6944.60万元，增幅83.54%。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（五）资产总额</w:t>
      </w:r>
    </w:p>
    <w:p>
      <w:pPr>
        <w:kinsoku/>
        <w:topLinePunct/>
        <w:spacing w:line="62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期末资产总额126.15亿元，比年初减少10.23亿元。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（六）负债总额</w:t>
      </w:r>
    </w:p>
    <w:p>
      <w:pPr>
        <w:kinsoku/>
        <w:topLinePunct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期末负债总额36.96亿元，比年初增加4.68亿元。</w:t>
      </w:r>
    </w:p>
    <w:p>
      <w:pPr>
        <w:kinsoku/>
        <w:topLinePunct/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二、管理和发展指</w:t>
      </w:r>
      <w:r>
        <w:rPr>
          <w:rFonts w:ascii="黑体" w:hAnsi="黑体" w:eastAsia="黑体" w:cs="黑体"/>
          <w:sz w:val="32"/>
          <w:szCs w:val="32"/>
          <w:highlight w:val="none"/>
          <w:lang w:eastAsia="zh-CN"/>
        </w:rPr>
        <w:t>标</w:t>
      </w:r>
    </w:p>
    <w:p>
      <w:pPr>
        <w:kinsoku/>
        <w:topLinePunct/>
        <w:spacing w:before="207" w:line="345" w:lineRule="auto"/>
        <w:ind w:left="15" w:right="408" w:firstLine="641"/>
        <w:rPr>
          <w:rFonts w:hint="eastAsia" w:ascii="仿宋" w:hAnsi="仿宋" w:eastAsia="仿宋" w:cs="仿宋"/>
          <w:color w:val="auto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9"/>
          <w:sz w:val="31"/>
          <w:szCs w:val="31"/>
          <w:highlight w:val="none"/>
          <w:lang w:val="en-US" w:eastAsia="zh-CN"/>
        </w:rPr>
        <w:t>安全生产投入：2024年全年安全生产投入4607.12万元， 同比减少48.95万元。</w:t>
      </w:r>
    </w:p>
    <w:p>
      <w:pPr>
        <w:kinsoku/>
        <w:topLinePunct/>
        <w:spacing w:before="207" w:line="345" w:lineRule="auto"/>
        <w:ind w:left="15" w:right="408" w:firstLine="641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6"/>
          <w:sz w:val="31"/>
          <w:szCs w:val="31"/>
          <w:highlight w:val="none"/>
          <w:lang w:val="en-US" w:eastAsia="zh-CN"/>
        </w:rPr>
        <w:t>三、生产经营企</w:t>
      </w:r>
      <w:r>
        <w:rPr>
          <w:rFonts w:ascii="黑体" w:hAnsi="黑体" w:eastAsia="黑体" w:cs="黑体"/>
          <w:spacing w:val="6"/>
          <w:sz w:val="31"/>
          <w:szCs w:val="31"/>
          <w:highlight w:val="none"/>
        </w:rPr>
        <w:t>业主要产品产销量</w:t>
      </w:r>
    </w:p>
    <w:p>
      <w:pPr>
        <w:kinsoku/>
        <w:topLinePunct/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2024年全年</w:t>
      </w:r>
      <w:r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主要产品产量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甲醇：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产量41.68万吨， 同比增加5.34万吨。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醋酸：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产量104.04万吨，同比减少9.90万吨。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醋酐：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产量11.44万吨，同比减少0.69万吨。</w:t>
      </w:r>
    </w:p>
    <w:p>
      <w:pPr>
        <w:kinsoku/>
        <w:topLinePunct/>
        <w:spacing w:line="620" w:lineRule="exact"/>
        <w:ind w:firstLine="641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醋酸乙酯：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产量28.46万吨，同比减少13.87万吨。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丁醇：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产量18.19万吨，同比减少0.36万吨。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聚甲醛：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产量6.50万吨，同比减少0.88万吨。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己内酰胺：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产量33.66万吨，同比增加3.98万吨。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尿素：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产量15.55万吨，同比增加15.55万吨。</w:t>
      </w:r>
    </w:p>
    <w:p>
      <w:pPr>
        <w:kinsoku/>
        <w:topLinePunct/>
        <w:spacing w:line="620" w:lineRule="exact"/>
        <w:ind w:firstLine="641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）2024年全年主要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产品销量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醋酸：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销量74.30万吨，同比增加0.46万吨。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醋酸乙酯：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销量28.39万吨，同比减少14.20万吨。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醋酐：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销量11.44万吨，同比减少0.82万吨。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丁醇：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销量18.24万吨，同比减少0.25万吨。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聚甲醛：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销量6.49万吨，同比减少0.90万吨。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己内酰胺：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销量33.60万吨，同比增加3.90万吨。</w:t>
      </w:r>
    </w:p>
    <w:p>
      <w:pPr>
        <w:kinsoku/>
        <w:topLinePunct/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尿素：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销量15.48万吨，同比增加15.48万吨。</w:t>
      </w:r>
    </w:p>
    <w:p>
      <w:p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highlight w:val="none"/>
          <w:lang w:eastAsia="zh-CN"/>
        </w:rPr>
      </w:pPr>
    </w:p>
    <w:p>
      <w:pPr>
        <w:kinsoku/>
        <w:topLinePunct/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highlight w:val="none"/>
          <w:lang w:eastAsia="zh-CN"/>
        </w:rPr>
      </w:pPr>
      <w:r>
        <w:rPr>
          <w:rFonts w:ascii="创艺简标宋" w:hAnsi="微软雅黑" w:eastAsia="创艺简标宋" w:cs="微软雅黑"/>
          <w:sz w:val="32"/>
          <w:szCs w:val="32"/>
          <w:highlight w:val="none"/>
          <w:lang w:eastAsia="zh-CN"/>
        </w:rPr>
        <w:t>第三节   期内发生的重大事项对企业的影响</w:t>
      </w:r>
    </w:p>
    <w:p>
      <w:pPr>
        <w:kinsoku/>
        <w:topLinePunct/>
        <w:spacing w:line="620" w:lineRule="exact"/>
        <w:ind w:firstLine="4176" w:firstLineChars="1300"/>
        <w:rPr>
          <w:rFonts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highlight w:val="none"/>
          <w:lang w:eastAsia="zh-CN"/>
        </w:rPr>
        <w:t>无</w:t>
      </w:r>
    </w:p>
    <w:sectPr>
      <w:footerReference r:id="rId5" w:type="default"/>
      <w:pgSz w:w="11906" w:h="16840"/>
      <w:pgMar w:top="1440" w:right="1531" w:bottom="1440" w:left="1531" w:header="0" w:footer="10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383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 w:hAnsiTheme="minorEastAsia"/>
        <w:sz w:val="24"/>
        <w:szCs w:val="24"/>
        <w:lang w:eastAsia="zh-CN"/>
      </w:rPr>
      <w:t>—</w:t>
    </w:r>
    <w:r>
      <w:rPr>
        <w:rFonts w:hint="eastAsia" w:ascii="仿宋_GB2312" w:eastAsia="仿宋_GB2312"/>
        <w:sz w:val="24"/>
        <w:szCs w:val="24"/>
      </w:rPr>
      <w:t>1</w:t>
    </w:r>
    <w:r>
      <w:rPr>
        <w:rFonts w:hint="eastAsia" w:ascii="仿宋_GB2312" w:eastAsia="仿宋_GB2312" w:hAnsiTheme="minorEastAsia"/>
        <w:sz w:val="24"/>
        <w:szCs w:val="24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329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 w:hAnsiTheme="minorEastAsia"/>
        <w:sz w:val="24"/>
        <w:szCs w:val="24"/>
        <w:lang w:eastAsia="zh-CN"/>
      </w:rPr>
      <w:t>—</w:t>
    </w:r>
    <w:r>
      <w:rPr>
        <w:rFonts w:hint="eastAsia" w:ascii="仿宋_GB2312" w:eastAsia="仿宋_GB2312"/>
        <w:sz w:val="24"/>
        <w:szCs w:val="24"/>
      </w:rPr>
      <w:t>2</w:t>
    </w:r>
    <w:r>
      <w:rPr>
        <w:rFonts w:hint="eastAsia" w:ascii="仿宋_GB2312" w:eastAsia="仿宋_GB2312" w:hAnsiTheme="minorEastAsia"/>
        <w:sz w:val="24"/>
        <w:szCs w:val="24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75977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 w:hAnsiTheme="minorEastAsia"/>
            <w:sz w:val="24"/>
            <w:szCs w:val="24"/>
            <w:lang w:eastAsia="zh-CN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hint="eastAsia" w:ascii="仿宋_GB2312" w:eastAsia="仿宋_GB2312"/>
            <w:sz w:val="24"/>
            <w:szCs w:val="24"/>
            <w:lang w:val="zh-CN" w:eastAsia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 w:hAnsiTheme="minorEastAsia"/>
            <w:sz w:val="24"/>
            <w:szCs w:val="24"/>
            <w:lang w:eastAsia="zh-CN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38474"/>
    <w:multiLevelType w:val="singleLevel"/>
    <w:tmpl w:val="B2F38474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ZiOTEyMDkwM2Y3NTA5NTQ5NDljZWJmYTJmZmYyMjUifQ=="/>
    <w:docVar w:name="KSO_WPS_MARK_KEY" w:val="2432c04b-4d8a-43df-a91d-efd825860dce"/>
  </w:docVars>
  <w:rsids>
    <w:rsidRoot w:val="00EA4115"/>
    <w:rsid w:val="0001478C"/>
    <w:rsid w:val="00166B2F"/>
    <w:rsid w:val="001E2A3B"/>
    <w:rsid w:val="003B15EC"/>
    <w:rsid w:val="003D4076"/>
    <w:rsid w:val="00560665"/>
    <w:rsid w:val="005F2204"/>
    <w:rsid w:val="006A2CA8"/>
    <w:rsid w:val="0078109E"/>
    <w:rsid w:val="0088508F"/>
    <w:rsid w:val="009218A5"/>
    <w:rsid w:val="009D3A44"/>
    <w:rsid w:val="00CC5949"/>
    <w:rsid w:val="00E817EC"/>
    <w:rsid w:val="00E9456F"/>
    <w:rsid w:val="00EA4115"/>
    <w:rsid w:val="00EE035C"/>
    <w:rsid w:val="01B026FE"/>
    <w:rsid w:val="02005B8D"/>
    <w:rsid w:val="02DC2156"/>
    <w:rsid w:val="03EF2AD1"/>
    <w:rsid w:val="06856661"/>
    <w:rsid w:val="09615163"/>
    <w:rsid w:val="0A195A3E"/>
    <w:rsid w:val="0A682522"/>
    <w:rsid w:val="0A755675"/>
    <w:rsid w:val="0B446AEB"/>
    <w:rsid w:val="0BBC3A2A"/>
    <w:rsid w:val="0C087B18"/>
    <w:rsid w:val="0D1644B7"/>
    <w:rsid w:val="0DF04D08"/>
    <w:rsid w:val="0F9A317D"/>
    <w:rsid w:val="10686C78"/>
    <w:rsid w:val="10B4026F"/>
    <w:rsid w:val="1122167C"/>
    <w:rsid w:val="11CC783A"/>
    <w:rsid w:val="162714E3"/>
    <w:rsid w:val="177F6E78"/>
    <w:rsid w:val="1C8256C5"/>
    <w:rsid w:val="1D010862"/>
    <w:rsid w:val="1E4F7829"/>
    <w:rsid w:val="1EE46FFF"/>
    <w:rsid w:val="1F87020B"/>
    <w:rsid w:val="1FDA13AA"/>
    <w:rsid w:val="1FE10954"/>
    <w:rsid w:val="1FF644C9"/>
    <w:rsid w:val="21652532"/>
    <w:rsid w:val="21893052"/>
    <w:rsid w:val="21AE2AB8"/>
    <w:rsid w:val="22015437"/>
    <w:rsid w:val="22A30143"/>
    <w:rsid w:val="237D6BE6"/>
    <w:rsid w:val="25562173"/>
    <w:rsid w:val="280432F5"/>
    <w:rsid w:val="28147495"/>
    <w:rsid w:val="288851C3"/>
    <w:rsid w:val="29D04A90"/>
    <w:rsid w:val="2A8D5961"/>
    <w:rsid w:val="2AD16CC6"/>
    <w:rsid w:val="2BAE2033"/>
    <w:rsid w:val="2E687E06"/>
    <w:rsid w:val="2F3E1177"/>
    <w:rsid w:val="2FCD6945"/>
    <w:rsid w:val="3175714F"/>
    <w:rsid w:val="33583A86"/>
    <w:rsid w:val="34F52A80"/>
    <w:rsid w:val="36DF5796"/>
    <w:rsid w:val="36FF1994"/>
    <w:rsid w:val="37307DA0"/>
    <w:rsid w:val="375142AA"/>
    <w:rsid w:val="37BF01B5"/>
    <w:rsid w:val="37DC5518"/>
    <w:rsid w:val="382D42DF"/>
    <w:rsid w:val="3CFE624A"/>
    <w:rsid w:val="3D1E2BDA"/>
    <w:rsid w:val="402B08A3"/>
    <w:rsid w:val="449A0F4E"/>
    <w:rsid w:val="45804795"/>
    <w:rsid w:val="471866F0"/>
    <w:rsid w:val="4AD574A5"/>
    <w:rsid w:val="4C836926"/>
    <w:rsid w:val="4E3221F7"/>
    <w:rsid w:val="4E451F2B"/>
    <w:rsid w:val="4F310701"/>
    <w:rsid w:val="504A1A7A"/>
    <w:rsid w:val="50F1639A"/>
    <w:rsid w:val="515C348B"/>
    <w:rsid w:val="5302663C"/>
    <w:rsid w:val="53677C4A"/>
    <w:rsid w:val="5458228C"/>
    <w:rsid w:val="546450D5"/>
    <w:rsid w:val="55D156FE"/>
    <w:rsid w:val="56260894"/>
    <w:rsid w:val="59254E33"/>
    <w:rsid w:val="59AF0BA0"/>
    <w:rsid w:val="5AE76118"/>
    <w:rsid w:val="6159568E"/>
    <w:rsid w:val="62B9483E"/>
    <w:rsid w:val="636A7E8F"/>
    <w:rsid w:val="64122457"/>
    <w:rsid w:val="653D555D"/>
    <w:rsid w:val="66552ACF"/>
    <w:rsid w:val="672506F4"/>
    <w:rsid w:val="6B215BD9"/>
    <w:rsid w:val="70903082"/>
    <w:rsid w:val="722428A3"/>
    <w:rsid w:val="72695938"/>
    <w:rsid w:val="7295497F"/>
    <w:rsid w:val="72F30207"/>
    <w:rsid w:val="739E3E56"/>
    <w:rsid w:val="73C60295"/>
    <w:rsid w:val="74680E57"/>
    <w:rsid w:val="756A4205"/>
    <w:rsid w:val="768E1E11"/>
    <w:rsid w:val="790F6615"/>
    <w:rsid w:val="7C0823D0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1830</Words>
  <Characters>2105</Characters>
  <Lines>15</Lines>
  <Paragraphs>4</Paragraphs>
  <TotalTime>4</TotalTime>
  <ScaleCrop>false</ScaleCrop>
  <LinksUpToDate>false</LinksUpToDate>
  <CharactersWithSpaces>2147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2023-10-31T14:05:00Z</dcterms:created>
  <dc:creator>lhbts</dc:creator>
  <cp:lastModifiedBy>李楠楠</cp:lastModifiedBy>
  <cp:lastPrinted>2025-04-24T06:46:00Z</cp:lastPrinted>
  <dcterms:modified xsi:type="dcterms:W3CDTF">2025-04-24T08:14:08Z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</vt:lpwstr>
  </property>
  <property fmtid="{D5CDD505-2E9C-101B-9397-08002B2CF9AE}" pid="3" name="CRO">
    <vt:lpwstr>wqlLaW5nc29mdCBQREYgdG8gV1BTIDkw</vt:lpwstr>
  </property>
  <property fmtid="{D5CDD505-2E9C-101B-9397-08002B2CF9AE}" pid="4" name="Created">
    <vt:filetime>2023-12-04T15:08:01Z</vt:filetime>
  </property>
  <property fmtid="{D5CDD505-2E9C-101B-9397-08002B2CF9AE}" pid="5" name="KSOProductBuildVer">
    <vt:lpwstr>2052-11.1.0.13703</vt:lpwstr>
  </property>
  <property fmtid="{D5CDD505-2E9C-101B-9397-08002B2CF9AE}" pid="6" name="ICV">
    <vt:lpwstr>B678FA88BE504CBC9C1C38F866553561</vt:lpwstr>
  </property>
</Properties>
</file>