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FAA79">
      <w:pPr>
        <w:ind w:firstLine="241" w:firstLineChars="100"/>
        <w:rPr>
          <w:rFonts w:hint="eastAsia" w:eastAsia="黑体"/>
          <w:b/>
          <w:bCs/>
          <w:color w:val="auto"/>
          <w:sz w:val="24"/>
          <w:szCs w:val="24"/>
          <w:highlight w:val="none"/>
          <w:lang w:val="en-US" w:eastAsia="zh-CN"/>
        </w:rPr>
      </w:pPr>
      <w:bookmarkStart w:id="0" w:name="OLE_LINK4"/>
      <w:r>
        <w:rPr>
          <w:rFonts w:hint="eastAsia" w:eastAsia="黑体"/>
          <w:b/>
          <w:bCs/>
          <w:color w:val="auto"/>
          <w:sz w:val="24"/>
          <w:szCs w:val="24"/>
          <w:highlight w:val="none"/>
          <w:lang w:val="en-US" w:eastAsia="zh-CN"/>
        </w:rPr>
        <w:t>预案</w:t>
      </w:r>
      <w:r>
        <w:rPr>
          <w:rFonts w:eastAsia="黑体"/>
          <w:b/>
          <w:bCs/>
          <w:color w:val="auto"/>
          <w:sz w:val="24"/>
          <w:szCs w:val="24"/>
          <w:highlight w:val="none"/>
        </w:rPr>
        <w:t>编号：</w:t>
      </w:r>
      <w:r>
        <w:rPr>
          <w:rFonts w:hint="eastAsia" w:ascii="Times New Roman" w:hAnsi="Times New Roman" w:eastAsia="黑体" w:cs="Times New Roman"/>
          <w:b/>
          <w:bCs/>
          <w:color w:val="auto"/>
          <w:sz w:val="24"/>
          <w:szCs w:val="24"/>
          <w:highlight w:val="none"/>
          <w:lang w:val="en-US" w:eastAsia="zh-CN"/>
        </w:rPr>
        <w:t>150623-2026-040</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lang w:val="en-US" w:eastAsia="zh-CN"/>
        </w:rPr>
        <w:t xml:space="preserve"> </w:t>
      </w:r>
      <w:r>
        <w:rPr>
          <w:rFonts w:hint="eastAsia" w:eastAsia="黑体"/>
          <w:b/>
          <w:bCs/>
          <w:color w:val="auto"/>
          <w:sz w:val="24"/>
          <w:szCs w:val="24"/>
          <w:highlight w:val="none"/>
        </w:rPr>
        <w:t xml:space="preserve">   </w:t>
      </w:r>
      <w:r>
        <w:rPr>
          <w:rFonts w:eastAsia="黑体"/>
          <w:b/>
          <w:bCs/>
          <w:color w:val="auto"/>
          <w:sz w:val="24"/>
          <w:szCs w:val="24"/>
          <w:highlight w:val="none"/>
        </w:rPr>
        <w:t xml:space="preserve"> </w:t>
      </w:r>
      <w:r>
        <w:rPr>
          <w:rFonts w:hint="eastAsia" w:eastAsia="黑体"/>
          <w:b/>
          <w:bCs/>
          <w:color w:val="auto"/>
          <w:sz w:val="24"/>
          <w:szCs w:val="24"/>
          <w:highlight w:val="none"/>
          <w:lang w:val="en-US" w:eastAsia="zh-CN"/>
        </w:rPr>
        <w:t xml:space="preserve">                       </w:t>
      </w:r>
      <w:r>
        <w:rPr>
          <w:rFonts w:hint="eastAsia" w:eastAsia="黑体"/>
          <w:b/>
          <w:bCs/>
          <w:color w:val="auto"/>
          <w:sz w:val="24"/>
          <w:szCs w:val="24"/>
          <w:highlight w:val="none"/>
        </w:rPr>
        <w:t xml:space="preserve"> </w:t>
      </w:r>
      <w:r>
        <w:rPr>
          <w:rFonts w:eastAsia="黑体"/>
          <w:b/>
          <w:bCs/>
          <w:color w:val="auto"/>
          <w:sz w:val="24"/>
          <w:szCs w:val="24"/>
          <w:highlight w:val="none"/>
        </w:rPr>
        <w:t>版本号：202</w:t>
      </w:r>
      <w:r>
        <w:rPr>
          <w:rFonts w:hint="eastAsia" w:eastAsia="黑体"/>
          <w:b/>
          <w:bCs/>
          <w:color w:val="auto"/>
          <w:sz w:val="24"/>
          <w:szCs w:val="24"/>
          <w:highlight w:val="none"/>
          <w:lang w:val="en-US" w:eastAsia="zh-CN"/>
        </w:rPr>
        <w:t>6</w:t>
      </w:r>
      <w:r>
        <w:rPr>
          <w:rFonts w:hint="eastAsia" w:eastAsia="黑体"/>
          <w:b/>
          <w:bCs/>
          <w:color w:val="auto"/>
          <w:sz w:val="24"/>
          <w:szCs w:val="24"/>
          <w:highlight w:val="none"/>
        </w:rPr>
        <w:t>-0</w:t>
      </w:r>
      <w:r>
        <w:rPr>
          <w:rFonts w:hint="eastAsia" w:eastAsia="黑体"/>
          <w:b/>
          <w:bCs/>
          <w:color w:val="auto"/>
          <w:sz w:val="24"/>
          <w:szCs w:val="24"/>
          <w:highlight w:val="none"/>
          <w:lang w:val="en-US" w:eastAsia="zh-CN"/>
        </w:rPr>
        <w:t>7</w:t>
      </w:r>
    </w:p>
    <w:p w14:paraId="74516A4D">
      <w:pPr>
        <w:rPr>
          <w:color w:val="auto"/>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69215</wp:posOffset>
                </wp:positionH>
                <wp:positionV relativeFrom="paragraph">
                  <wp:posOffset>29845</wp:posOffset>
                </wp:positionV>
                <wp:extent cx="5499100" cy="0"/>
                <wp:effectExtent l="0" t="7620" r="0" b="8255"/>
                <wp:wrapNone/>
                <wp:docPr id="130" name="直接连接符 1"/>
                <wp:cNvGraphicFramePr/>
                <a:graphic xmlns:a="http://schemas.openxmlformats.org/drawingml/2006/main">
                  <a:graphicData uri="http://schemas.microsoft.com/office/word/2010/wordprocessingShape">
                    <wps:wsp>
                      <wps:cNvCnPr/>
                      <wps:spPr>
                        <a:xfrm flipV="1">
                          <a:off x="0" y="0"/>
                          <a:ext cx="5499100" cy="0"/>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直接连接符 1" o:spid="_x0000_s1026" o:spt="20" style="position:absolute;left:0pt;flip:y;margin-left:5.45pt;margin-top:2.35pt;height:0pt;width:433pt;z-index:251662336;mso-width-relative:page;mso-height-relative:page;" filled="f" stroked="t" coordsize="21600,21600" o:gfxdata="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n1v+40gAAAAYBAAAPAAAAAAAAAAEAIAAAACIAAABkcnMvZG93bnJldi54bWxQSwEC&#10;FAAUAAAACACHTuJAJJZXSfoBAADzAwAADgAAAAAAAAABACAAAAAhAQAAZHJzL2Uyb0RvYy54bWxQ&#10;SwUGAAAAAAYABgBZAQAAjQUAAAAA&#10;">
                <v:fill on="f" focussize="0,0"/>
                <v:stroke weight="1.25pt" color="#000000" joinstyle="round"/>
                <v:imagedata o:title=""/>
                <o:lock v:ext="edit" aspectratio="f"/>
              </v:line>
            </w:pict>
          </mc:Fallback>
        </mc:AlternateContent>
      </w:r>
    </w:p>
    <w:p w14:paraId="7F3CC9FA">
      <w:pPr>
        <w:pStyle w:val="24"/>
        <w:jc w:val="both"/>
        <w:outlineLvl w:val="9"/>
        <w:rPr>
          <w:rFonts w:ascii="Times New Roman" w:hAnsi="Times New Roman"/>
          <w:color w:val="auto"/>
          <w:highlight w:val="none"/>
        </w:rPr>
      </w:pPr>
    </w:p>
    <w:p w14:paraId="5FFBC825">
      <w:pPr>
        <w:spacing w:before="219" w:beforeLines="50" w:after="219" w:afterLines="50"/>
        <w:jc w:val="center"/>
        <w:rPr>
          <w:rFonts w:eastAsia="黑体"/>
          <w:b/>
          <w:color w:val="auto"/>
          <w:spacing w:val="4"/>
          <w:sz w:val="60"/>
          <w:szCs w:val="60"/>
          <w:highlight w:val="none"/>
        </w:rPr>
      </w:pPr>
      <w:r>
        <w:rPr>
          <w:rFonts w:hint="eastAsia" w:eastAsia="黑体"/>
          <w:b/>
          <w:color w:val="auto"/>
          <w:spacing w:val="4"/>
          <w:sz w:val="56"/>
          <w:szCs w:val="56"/>
          <w:highlight w:val="none"/>
        </w:rPr>
        <w:t>鄂托克前旗</w:t>
      </w:r>
      <w:r>
        <w:rPr>
          <w:rFonts w:hint="eastAsia" w:eastAsia="黑体"/>
          <w:b/>
          <w:color w:val="auto"/>
          <w:spacing w:val="4"/>
          <w:sz w:val="56"/>
          <w:szCs w:val="56"/>
          <w:highlight w:val="none"/>
          <w:lang w:eastAsia="zh-CN"/>
        </w:rPr>
        <w:t>长城煤矿有限责任公司</w:t>
      </w:r>
      <w:bookmarkStart w:id="1" w:name="_Toc26090"/>
      <w:bookmarkStart w:id="2" w:name="_Toc10577"/>
      <w:r>
        <w:rPr>
          <w:rFonts w:eastAsia="黑体"/>
          <w:b/>
          <w:color w:val="auto"/>
          <w:spacing w:val="4"/>
          <w:sz w:val="56"/>
          <w:szCs w:val="56"/>
          <w:highlight w:val="none"/>
        </w:rPr>
        <w:t>生产安全事故应急预案</w:t>
      </w:r>
      <w:bookmarkEnd w:id="1"/>
      <w:bookmarkEnd w:id="2"/>
    </w:p>
    <w:p w14:paraId="4231C8C4">
      <w:pPr>
        <w:jc w:val="center"/>
        <w:rPr>
          <w:rFonts w:eastAsia="方正小标宋简体"/>
          <w:color w:val="auto"/>
          <w:spacing w:val="4"/>
          <w:sz w:val="36"/>
          <w:highlight w:val="none"/>
        </w:rPr>
      </w:pPr>
    </w:p>
    <w:p w14:paraId="5BE256D9">
      <w:pPr>
        <w:pStyle w:val="2"/>
        <w:rPr>
          <w:color w:val="auto"/>
          <w:highlight w:val="none"/>
        </w:rPr>
      </w:pPr>
      <w:r>
        <w:rPr>
          <w:rFonts w:ascii="Times New Roman" w:hAnsi="Times New Roman" w:cs="Times New Roman"/>
          <w:position w:val="-67"/>
          <w:lang w:eastAsia="zh-CN"/>
        </w:rPr>
        <w:drawing>
          <wp:anchor distT="0" distB="0" distL="0" distR="0" simplePos="0" relativeHeight="251670528" behindDoc="0" locked="0" layoutInCell="1" allowOverlap="1">
            <wp:simplePos x="0" y="0"/>
            <wp:positionH relativeFrom="column">
              <wp:posOffset>953135</wp:posOffset>
            </wp:positionH>
            <wp:positionV relativeFrom="paragraph">
              <wp:posOffset>116205</wp:posOffset>
            </wp:positionV>
            <wp:extent cx="3832225" cy="2583180"/>
            <wp:effectExtent l="0" t="0" r="15875" b="7620"/>
            <wp:wrapSquare wrapText="bothSides"/>
            <wp:docPr id="2" name="IM 4"/>
            <wp:cNvGraphicFramePr/>
            <a:graphic xmlns:a="http://schemas.openxmlformats.org/drawingml/2006/main">
              <a:graphicData uri="http://schemas.openxmlformats.org/drawingml/2006/picture">
                <pic:pic xmlns:pic="http://schemas.openxmlformats.org/drawingml/2006/picture">
                  <pic:nvPicPr>
                    <pic:cNvPr id="2" name="IM 4"/>
                    <pic:cNvPicPr/>
                  </pic:nvPicPr>
                  <pic:blipFill>
                    <a:blip r:embed="rId7"/>
                    <a:stretch>
                      <a:fillRect/>
                    </a:stretch>
                  </pic:blipFill>
                  <pic:spPr>
                    <a:xfrm>
                      <a:off x="0" y="0"/>
                      <a:ext cx="3832225" cy="2583180"/>
                    </a:xfrm>
                    <a:prstGeom prst="rect">
                      <a:avLst/>
                    </a:prstGeom>
                  </pic:spPr>
                </pic:pic>
              </a:graphicData>
            </a:graphic>
          </wp:anchor>
        </w:drawing>
      </w:r>
    </w:p>
    <w:p w14:paraId="2D2785EC">
      <w:pPr>
        <w:rPr>
          <w:color w:val="auto"/>
          <w:highlight w:val="none"/>
        </w:rPr>
      </w:pPr>
    </w:p>
    <w:p w14:paraId="27C2CE65">
      <w:pPr>
        <w:pStyle w:val="2"/>
        <w:rPr>
          <w:color w:val="auto"/>
          <w:highlight w:val="none"/>
        </w:rPr>
      </w:pPr>
    </w:p>
    <w:p w14:paraId="2AF72316">
      <w:pPr>
        <w:pStyle w:val="2"/>
        <w:rPr>
          <w:color w:val="auto"/>
          <w:highlight w:val="none"/>
        </w:rPr>
      </w:pPr>
      <w:bookmarkStart w:id="635" w:name="_GoBack"/>
      <w:bookmarkEnd w:id="635"/>
    </w:p>
    <w:p w14:paraId="2401A5CD">
      <w:pPr>
        <w:pStyle w:val="2"/>
        <w:rPr>
          <w:color w:val="auto"/>
          <w:highlight w:val="none"/>
        </w:rPr>
      </w:pPr>
    </w:p>
    <w:p w14:paraId="738127C4">
      <w:pPr>
        <w:pStyle w:val="2"/>
        <w:rPr>
          <w:color w:val="auto"/>
          <w:highlight w:val="none"/>
        </w:rPr>
      </w:pPr>
    </w:p>
    <w:p w14:paraId="51BC59E6">
      <w:pPr>
        <w:pStyle w:val="2"/>
        <w:rPr>
          <w:rFonts w:hint="eastAsia" w:eastAsia="宋体"/>
          <w:color w:val="auto"/>
          <w:highlight w:val="none"/>
          <w:lang w:eastAsia="zh-CN"/>
        </w:rPr>
      </w:pPr>
      <w:r>
        <w:rPr>
          <w:rFonts w:hint="eastAsia" w:eastAsia="宋体"/>
          <w:color w:val="auto"/>
          <w:lang w:eastAsia="zh-CN"/>
        </w:rPr>
        <w:drawing>
          <wp:anchor distT="0" distB="0" distL="114300" distR="114300" simplePos="0" relativeHeight="251676672" behindDoc="1" locked="0" layoutInCell="1" allowOverlap="1">
            <wp:simplePos x="0" y="0"/>
            <wp:positionH relativeFrom="column">
              <wp:posOffset>1854200</wp:posOffset>
            </wp:positionH>
            <wp:positionV relativeFrom="paragraph">
              <wp:posOffset>95885</wp:posOffset>
            </wp:positionV>
            <wp:extent cx="1769110" cy="1752600"/>
            <wp:effectExtent l="0" t="0" r="2540" b="0"/>
            <wp:wrapNone/>
            <wp:docPr id="9" name="图片 9" descr="5f9de6a43400e82212eda48dcb06da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f9de6a43400e82212eda48dcb06da8f"/>
                    <pic:cNvPicPr>
                      <a:picLocks noChangeAspect="1"/>
                    </pic:cNvPicPr>
                  </pic:nvPicPr>
                  <pic:blipFill>
                    <a:blip r:embed="rId8"/>
                    <a:stretch>
                      <a:fillRect/>
                    </a:stretch>
                  </pic:blipFill>
                  <pic:spPr>
                    <a:xfrm>
                      <a:off x="0" y="0"/>
                      <a:ext cx="1769110" cy="1752600"/>
                    </a:xfrm>
                    <a:prstGeom prst="rect">
                      <a:avLst/>
                    </a:prstGeom>
                  </pic:spPr>
                </pic:pic>
              </a:graphicData>
            </a:graphic>
          </wp:anchor>
        </w:drawing>
      </w:r>
    </w:p>
    <w:p w14:paraId="0C8699FD"/>
    <w:p w14:paraId="6B6A546E">
      <w:pPr>
        <w:jc w:val="center"/>
        <w:rPr>
          <w:rFonts w:hint="eastAsia" w:eastAsia="黑体"/>
          <w:b/>
          <w:color w:val="auto"/>
          <w:sz w:val="36"/>
          <w:szCs w:val="36"/>
          <w:highlight w:val="none"/>
          <w:lang w:eastAsia="zh-CN"/>
        </w:rPr>
      </w:pPr>
      <w:r>
        <w:rPr>
          <w:rFonts w:hint="eastAsia" w:eastAsia="黑体"/>
          <w:b/>
          <w:color w:val="auto"/>
          <w:sz w:val="36"/>
          <w:szCs w:val="36"/>
          <w:highlight w:val="none"/>
        </w:rPr>
        <w:t>鄂托克前旗</w:t>
      </w:r>
      <w:r>
        <w:rPr>
          <w:rFonts w:hint="eastAsia" w:eastAsia="黑体"/>
          <w:b/>
          <w:color w:val="auto"/>
          <w:sz w:val="36"/>
          <w:szCs w:val="36"/>
          <w:highlight w:val="none"/>
          <w:lang w:eastAsia="zh-CN"/>
        </w:rPr>
        <w:t>长城煤矿有限责任公司</w:t>
      </w:r>
    </w:p>
    <w:p w14:paraId="681F3C75">
      <w:pPr>
        <w:jc w:val="center"/>
        <w:rPr>
          <w:rFonts w:hint="eastAsia" w:eastAsia="黑体"/>
          <w:b/>
          <w:color w:val="auto"/>
          <w:sz w:val="36"/>
          <w:szCs w:val="36"/>
          <w:highlight w:val="none"/>
          <w:lang w:eastAsia="zh-CN"/>
        </w:rPr>
      </w:pPr>
    </w:p>
    <w:p w14:paraId="31FF742D">
      <w:pPr>
        <w:jc w:val="center"/>
        <w:rPr>
          <w:rFonts w:hint="eastAsia" w:eastAsia="黑体"/>
          <w:b/>
          <w:color w:val="auto"/>
          <w:sz w:val="36"/>
          <w:szCs w:val="36"/>
          <w:highlight w:val="none"/>
          <w:lang w:eastAsia="zh-CN"/>
        </w:rPr>
      </w:pPr>
    </w:p>
    <w:p w14:paraId="71771313">
      <w:pPr>
        <w:jc w:val="center"/>
        <w:rPr>
          <w:rFonts w:hint="eastAsia" w:ascii="黑体" w:hAnsi="黑体" w:eastAsia="黑体" w:cs="黑体"/>
          <w:b/>
          <w:bCs/>
          <w:color w:val="auto"/>
          <w:spacing w:val="-8"/>
          <w:w w:val="95"/>
          <w:sz w:val="32"/>
          <w:szCs w:val="32"/>
          <w:highlight w:val="none"/>
          <w:u w:val="single"/>
        </w:rPr>
      </w:pPr>
      <w:r>
        <w:rPr>
          <w:rFonts w:hint="eastAsia" w:ascii="黑体" w:hAnsi="黑体" w:eastAsia="黑体" w:cs="黑体"/>
          <w:b/>
          <w:bCs/>
          <w:color w:val="auto"/>
          <w:spacing w:val="-8"/>
          <w:w w:val="95"/>
          <w:sz w:val="32"/>
          <w:szCs w:val="32"/>
          <w:highlight w:val="none"/>
          <w:u w:val="single"/>
        </w:rPr>
        <w:t>202</w:t>
      </w:r>
      <w:r>
        <w:rPr>
          <w:rFonts w:hint="eastAsia" w:ascii="黑体" w:hAnsi="黑体" w:eastAsia="黑体" w:cs="黑体"/>
          <w:b/>
          <w:bCs/>
          <w:color w:val="auto"/>
          <w:spacing w:val="-8"/>
          <w:w w:val="95"/>
          <w:sz w:val="32"/>
          <w:szCs w:val="32"/>
          <w:highlight w:val="none"/>
          <w:u w:val="single"/>
          <w:lang w:val="en-US" w:eastAsia="zh-CN"/>
        </w:rPr>
        <w:t>6</w:t>
      </w:r>
      <w:r>
        <w:rPr>
          <w:rFonts w:hint="eastAsia" w:ascii="黑体" w:hAnsi="黑体" w:eastAsia="黑体" w:cs="黑体"/>
          <w:b/>
          <w:bCs/>
          <w:color w:val="auto"/>
          <w:spacing w:val="-8"/>
          <w:w w:val="95"/>
          <w:sz w:val="32"/>
          <w:szCs w:val="32"/>
          <w:highlight w:val="none"/>
          <w:u w:val="single"/>
        </w:rPr>
        <w:t>年</w:t>
      </w:r>
      <w:r>
        <w:rPr>
          <w:rFonts w:hint="eastAsia" w:ascii="黑体" w:hAnsi="黑体" w:eastAsia="黑体" w:cs="黑体"/>
          <w:b/>
          <w:bCs/>
          <w:color w:val="auto"/>
          <w:spacing w:val="-8"/>
          <w:w w:val="95"/>
          <w:sz w:val="32"/>
          <w:szCs w:val="32"/>
          <w:highlight w:val="none"/>
          <w:u w:val="single"/>
          <w:lang w:val="en-US" w:eastAsia="zh-CN"/>
        </w:rPr>
        <w:t>7</w:t>
      </w:r>
      <w:r>
        <w:rPr>
          <w:rFonts w:hint="eastAsia" w:ascii="黑体" w:hAnsi="黑体" w:eastAsia="黑体" w:cs="黑体"/>
          <w:b/>
          <w:bCs/>
          <w:color w:val="auto"/>
          <w:spacing w:val="-8"/>
          <w:w w:val="95"/>
          <w:sz w:val="32"/>
          <w:szCs w:val="32"/>
          <w:highlight w:val="none"/>
          <w:u w:val="single"/>
        </w:rPr>
        <w:t>月</w:t>
      </w:r>
      <w:r>
        <w:rPr>
          <w:rFonts w:hint="eastAsia" w:ascii="黑体" w:hAnsi="黑体" w:eastAsia="黑体" w:cs="黑体"/>
          <w:b/>
          <w:bCs/>
          <w:color w:val="auto"/>
          <w:spacing w:val="-8"/>
          <w:w w:val="95"/>
          <w:sz w:val="32"/>
          <w:szCs w:val="32"/>
          <w:highlight w:val="none"/>
          <w:u w:val="single"/>
          <w:lang w:val="en-US" w:eastAsia="zh-CN"/>
        </w:rPr>
        <w:t>28</w:t>
      </w:r>
      <w:r>
        <w:rPr>
          <w:rFonts w:hint="eastAsia" w:ascii="黑体" w:hAnsi="黑体" w:eastAsia="黑体" w:cs="黑体"/>
          <w:b/>
          <w:bCs/>
          <w:color w:val="auto"/>
          <w:spacing w:val="-8"/>
          <w:w w:val="95"/>
          <w:sz w:val="32"/>
          <w:szCs w:val="32"/>
          <w:highlight w:val="none"/>
          <w:u w:val="single"/>
        </w:rPr>
        <w:t xml:space="preserve">日发布                      </w:t>
      </w:r>
      <w:r>
        <w:rPr>
          <w:rFonts w:hint="eastAsia" w:ascii="黑体" w:hAnsi="黑体" w:eastAsia="黑体" w:cs="黑体"/>
          <w:b/>
          <w:bCs/>
          <w:color w:val="auto"/>
          <w:sz w:val="32"/>
          <w:szCs w:val="32"/>
          <w:highlight w:val="none"/>
          <w:u w:val="single"/>
        </w:rPr>
        <w:t xml:space="preserve">  </w:t>
      </w:r>
      <w:r>
        <w:rPr>
          <w:rFonts w:hint="eastAsia" w:ascii="黑体" w:hAnsi="黑体" w:eastAsia="黑体" w:cs="黑体"/>
          <w:b/>
          <w:bCs/>
          <w:color w:val="auto"/>
          <w:spacing w:val="-8"/>
          <w:w w:val="95"/>
          <w:sz w:val="32"/>
          <w:szCs w:val="32"/>
          <w:highlight w:val="none"/>
          <w:u w:val="single"/>
        </w:rPr>
        <w:t>202</w:t>
      </w:r>
      <w:r>
        <w:rPr>
          <w:rFonts w:hint="eastAsia" w:ascii="黑体" w:hAnsi="黑体" w:eastAsia="黑体" w:cs="黑体"/>
          <w:b/>
          <w:bCs/>
          <w:color w:val="auto"/>
          <w:spacing w:val="-8"/>
          <w:w w:val="95"/>
          <w:sz w:val="32"/>
          <w:szCs w:val="32"/>
          <w:highlight w:val="none"/>
          <w:u w:val="single"/>
          <w:lang w:val="en-US" w:eastAsia="zh-CN"/>
        </w:rPr>
        <w:t>6</w:t>
      </w:r>
      <w:r>
        <w:rPr>
          <w:rFonts w:hint="eastAsia" w:ascii="黑体" w:hAnsi="黑体" w:eastAsia="黑体" w:cs="黑体"/>
          <w:b/>
          <w:bCs/>
          <w:color w:val="auto"/>
          <w:spacing w:val="-8"/>
          <w:w w:val="95"/>
          <w:sz w:val="32"/>
          <w:szCs w:val="32"/>
          <w:highlight w:val="none"/>
          <w:u w:val="single"/>
        </w:rPr>
        <w:t>年</w:t>
      </w:r>
      <w:r>
        <w:rPr>
          <w:rFonts w:hint="eastAsia" w:ascii="黑体" w:hAnsi="黑体" w:eastAsia="黑体" w:cs="黑体"/>
          <w:b/>
          <w:bCs/>
          <w:color w:val="auto"/>
          <w:spacing w:val="-8"/>
          <w:w w:val="95"/>
          <w:sz w:val="32"/>
          <w:szCs w:val="32"/>
          <w:highlight w:val="none"/>
          <w:u w:val="single"/>
          <w:lang w:val="en-US" w:eastAsia="zh-CN"/>
        </w:rPr>
        <w:t>7</w:t>
      </w:r>
      <w:r>
        <w:rPr>
          <w:rFonts w:hint="eastAsia" w:ascii="黑体" w:hAnsi="黑体" w:eastAsia="黑体" w:cs="黑体"/>
          <w:b/>
          <w:bCs/>
          <w:color w:val="auto"/>
          <w:spacing w:val="-8"/>
          <w:w w:val="95"/>
          <w:sz w:val="32"/>
          <w:szCs w:val="32"/>
          <w:highlight w:val="none"/>
          <w:u w:val="single"/>
        </w:rPr>
        <w:t>月</w:t>
      </w:r>
      <w:r>
        <w:rPr>
          <w:rFonts w:hint="eastAsia" w:ascii="黑体" w:hAnsi="黑体" w:eastAsia="黑体" w:cs="黑体"/>
          <w:b/>
          <w:bCs/>
          <w:color w:val="auto"/>
          <w:spacing w:val="-8"/>
          <w:w w:val="95"/>
          <w:sz w:val="32"/>
          <w:szCs w:val="32"/>
          <w:highlight w:val="none"/>
          <w:u w:val="single"/>
          <w:lang w:val="en-US" w:eastAsia="zh-CN"/>
        </w:rPr>
        <w:t>28</w:t>
      </w:r>
      <w:r>
        <w:rPr>
          <w:rFonts w:hint="eastAsia" w:ascii="黑体" w:hAnsi="黑体" w:eastAsia="黑体" w:cs="黑体"/>
          <w:b/>
          <w:bCs/>
          <w:color w:val="auto"/>
          <w:spacing w:val="-8"/>
          <w:w w:val="95"/>
          <w:sz w:val="32"/>
          <w:szCs w:val="32"/>
          <w:highlight w:val="none"/>
          <w:u w:val="single"/>
        </w:rPr>
        <w:t>日实施</w:t>
      </w:r>
    </w:p>
    <w:p w14:paraId="367FB2EA">
      <w:pPr>
        <w:jc w:val="center"/>
        <w:rPr>
          <w:rFonts w:hint="eastAsia" w:ascii="黑体" w:hAnsi="黑体" w:eastAsia="黑体" w:cs="黑体"/>
          <w:b/>
          <w:bCs/>
          <w:color w:val="auto"/>
          <w:spacing w:val="-8"/>
          <w:w w:val="95"/>
          <w:sz w:val="32"/>
          <w:szCs w:val="32"/>
          <w:highlight w:val="none"/>
          <w:u w:val="single"/>
        </w:rPr>
      </w:pPr>
    </w:p>
    <w:p w14:paraId="303BB21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生产安全事故应急预案编制小组</w:t>
      </w:r>
    </w:p>
    <w:p w14:paraId="1C31C98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14:paraId="1D45649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组  长：郑永胜</w:t>
      </w:r>
    </w:p>
    <w:p w14:paraId="19D87CC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14:paraId="1CCAED9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副组长：杨  勇     刘传明     姜桂森      史华伟</w:t>
      </w:r>
    </w:p>
    <w:p w14:paraId="3D84D41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w:t>
      </w:r>
    </w:p>
    <w:p w14:paraId="416C339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王立峰     王  强     宋  鹏  </w:t>
      </w:r>
    </w:p>
    <w:p w14:paraId="6E98340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p>
    <w:p w14:paraId="4A41A21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成  员：李光富     巩庆刚     郭汉青      巩振刚</w:t>
      </w:r>
    </w:p>
    <w:p w14:paraId="204CB1A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w:t>
      </w:r>
    </w:p>
    <w:p w14:paraId="0CAAE91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陈俊魁     谢秀伟     成  琦      陈雪敏</w:t>
      </w:r>
    </w:p>
    <w:p w14:paraId="3675E7B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w:t>
      </w:r>
    </w:p>
    <w:p w14:paraId="0B8EA3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田吉伟     牛  迪     惠张斌</w:t>
      </w:r>
      <w:r>
        <w:rPr>
          <w:rFonts w:hint="eastAsia" w:ascii="楷体_GB2312" w:hAnsi="楷体_GB2312" w:eastAsia="楷体_GB2312" w:cs="楷体_GB2312"/>
          <w:sz w:val="32"/>
          <w:szCs w:val="32"/>
          <w:vertAlign w:val="subscript"/>
          <w:lang w:val="en-US" w:eastAsia="zh-CN"/>
        </w:rPr>
        <w:t xml:space="preserve">（通防）   </w:t>
      </w:r>
      <w:r>
        <w:rPr>
          <w:rFonts w:hint="eastAsia" w:ascii="楷体_GB2312" w:hAnsi="楷体_GB2312" w:eastAsia="楷体_GB2312" w:cs="楷体_GB2312"/>
          <w:sz w:val="32"/>
          <w:szCs w:val="32"/>
          <w:lang w:val="en-US" w:eastAsia="zh-CN"/>
        </w:rPr>
        <w:t>安玉伟</w:t>
      </w:r>
      <w:r>
        <w:rPr>
          <w:rFonts w:hint="eastAsia" w:ascii="楷体_GB2312" w:hAnsi="楷体_GB2312" w:eastAsia="楷体_GB2312" w:cs="楷体_GB2312"/>
          <w:sz w:val="32"/>
          <w:szCs w:val="32"/>
          <w:vertAlign w:val="subscript"/>
          <w:lang w:val="en-US" w:eastAsia="zh-CN"/>
        </w:rPr>
        <w:t>（地测）</w:t>
      </w:r>
      <w:r>
        <w:rPr>
          <w:rFonts w:hint="eastAsia" w:ascii="楷体_GB2312" w:hAnsi="楷体_GB2312" w:eastAsia="楷体_GB2312" w:cs="楷体_GB2312"/>
          <w:sz w:val="32"/>
          <w:szCs w:val="32"/>
          <w:lang w:val="en-US" w:eastAsia="zh-CN"/>
        </w:rPr>
        <w:t xml:space="preserve">  </w:t>
      </w:r>
    </w:p>
    <w:p w14:paraId="6D044C9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pPr>
    </w:p>
    <w:p w14:paraId="36502B5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朱昌敏     王元明     秦立朋      张守亮</w:t>
      </w:r>
    </w:p>
    <w:p w14:paraId="525F0F94">
      <w:pPr>
        <w:keepNext w:val="0"/>
        <w:keepLines w:val="0"/>
        <w:pageBreakBefore w:val="0"/>
        <w:widowControl w:val="0"/>
        <w:kinsoku/>
        <w:wordWrap/>
        <w:overflowPunct/>
        <w:topLinePunct w:val="0"/>
        <w:autoSpaceDE/>
        <w:autoSpaceDN/>
        <w:bidi w:val="0"/>
        <w:adjustRightInd/>
        <w:snapToGrid/>
        <w:spacing w:line="520" w:lineRule="exact"/>
        <w:ind w:firstLine="1600" w:firstLineChars="500"/>
        <w:textAlignment w:val="auto"/>
        <w:rPr>
          <w:rFonts w:hint="eastAsia" w:ascii="楷体_GB2312" w:hAnsi="楷体_GB2312" w:eastAsia="楷体_GB2312" w:cs="楷体_GB2312"/>
          <w:sz w:val="32"/>
          <w:szCs w:val="32"/>
          <w:lang w:val="en-US" w:eastAsia="zh-CN"/>
        </w:rPr>
      </w:pPr>
    </w:p>
    <w:p w14:paraId="749BF428">
      <w:pPr>
        <w:keepNext w:val="0"/>
        <w:keepLines w:val="0"/>
        <w:pageBreakBefore w:val="0"/>
        <w:widowControl w:val="0"/>
        <w:kinsoku/>
        <w:wordWrap/>
        <w:overflowPunct/>
        <w:topLinePunct w:val="0"/>
        <w:autoSpaceDE/>
        <w:autoSpaceDN/>
        <w:bidi w:val="0"/>
        <w:adjustRightInd/>
        <w:snapToGrid/>
        <w:spacing w:line="520" w:lineRule="exact"/>
        <w:ind w:firstLine="1920" w:firstLineChars="6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于  雷     杨  平     韩  超      张育胜</w:t>
      </w:r>
    </w:p>
    <w:p w14:paraId="3FC0982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p>
    <w:p w14:paraId="19D1880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vertAlign w:val="subscript"/>
          <w:lang w:val="en-US" w:eastAsia="zh-CN"/>
        </w:rPr>
      </w:pPr>
      <w:r>
        <w:rPr>
          <w:rFonts w:hint="eastAsia" w:ascii="楷体_GB2312" w:hAnsi="楷体_GB2312" w:eastAsia="楷体_GB2312" w:cs="楷体_GB2312"/>
          <w:sz w:val="32"/>
          <w:szCs w:val="32"/>
          <w:lang w:val="en-US" w:eastAsia="zh-CN"/>
        </w:rPr>
        <w:t>特  邀：张  伟</w:t>
      </w:r>
      <w:r>
        <w:rPr>
          <w:rFonts w:hint="eastAsia" w:ascii="楷体_GB2312" w:hAnsi="楷体_GB2312" w:eastAsia="楷体_GB2312" w:cs="楷体_GB2312"/>
          <w:sz w:val="32"/>
          <w:szCs w:val="32"/>
          <w:vertAlign w:val="subscript"/>
          <w:lang w:val="en-US" w:eastAsia="zh-CN"/>
        </w:rPr>
        <w:t xml:space="preserve">（长城六矿）    </w:t>
      </w:r>
      <w:r>
        <w:rPr>
          <w:rFonts w:hint="eastAsia" w:ascii="楷体_GB2312" w:hAnsi="楷体_GB2312" w:eastAsia="楷体_GB2312" w:cs="楷体_GB2312"/>
          <w:sz w:val="32"/>
          <w:szCs w:val="32"/>
          <w:lang w:val="en-US" w:eastAsia="zh-CN"/>
        </w:rPr>
        <w:t>郭  宇</w:t>
      </w:r>
      <w:r>
        <w:rPr>
          <w:rFonts w:hint="eastAsia" w:ascii="楷体_GB2312" w:hAnsi="楷体_GB2312" w:eastAsia="楷体_GB2312" w:cs="楷体_GB2312"/>
          <w:sz w:val="32"/>
          <w:szCs w:val="32"/>
          <w:vertAlign w:val="subscript"/>
          <w:lang w:val="en-US" w:eastAsia="zh-CN"/>
        </w:rPr>
        <w:t xml:space="preserve">（长城二矿） </w:t>
      </w:r>
      <w:r>
        <w:rPr>
          <w:rFonts w:hint="eastAsia" w:ascii="楷体_GB2312" w:hAnsi="楷体_GB2312" w:eastAsia="楷体_GB2312" w:cs="楷体_GB2312"/>
          <w:sz w:val="32"/>
          <w:szCs w:val="32"/>
          <w:lang w:val="en-US" w:eastAsia="zh-CN"/>
        </w:rPr>
        <w:t xml:space="preserve">   李文华</w:t>
      </w:r>
      <w:r>
        <w:rPr>
          <w:rFonts w:hint="eastAsia" w:ascii="楷体_GB2312" w:hAnsi="楷体_GB2312" w:eastAsia="楷体_GB2312" w:cs="楷体_GB2312"/>
          <w:sz w:val="32"/>
          <w:szCs w:val="32"/>
          <w:vertAlign w:val="subscript"/>
          <w:lang w:val="en-US" w:eastAsia="zh-CN"/>
        </w:rPr>
        <w:t xml:space="preserve">（长城五矿） </w:t>
      </w:r>
    </w:p>
    <w:p w14:paraId="357A205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vertAlign w:val="subscript"/>
          <w:lang w:val="en-US" w:eastAsia="zh-CN"/>
        </w:rPr>
      </w:pPr>
    </w:p>
    <w:p w14:paraId="3DB5BDB3">
      <w:pPr>
        <w:keepNext w:val="0"/>
        <w:keepLines w:val="0"/>
        <w:pageBreakBefore w:val="0"/>
        <w:widowControl w:val="0"/>
        <w:kinsoku/>
        <w:wordWrap/>
        <w:overflowPunct/>
        <w:topLinePunct w:val="0"/>
        <w:autoSpaceDE/>
        <w:autoSpaceDN/>
        <w:bidi w:val="0"/>
        <w:adjustRightInd/>
        <w:snapToGrid/>
        <w:spacing w:line="520" w:lineRule="exact"/>
        <w:ind w:firstLine="1920" w:firstLineChars="6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谷传宝</w:t>
      </w:r>
      <w:r>
        <w:rPr>
          <w:rFonts w:hint="eastAsia" w:ascii="楷体_GB2312" w:hAnsi="楷体_GB2312" w:eastAsia="楷体_GB2312" w:cs="楷体_GB2312"/>
          <w:sz w:val="32"/>
          <w:szCs w:val="32"/>
          <w:vertAlign w:val="subscript"/>
          <w:lang w:val="en-US" w:eastAsia="zh-CN"/>
        </w:rPr>
        <w:t xml:space="preserve">（恒坤化工）    </w:t>
      </w:r>
      <w:r>
        <w:rPr>
          <w:rFonts w:hint="eastAsia" w:ascii="楷体_GB2312" w:hAnsi="楷体_GB2312" w:eastAsia="楷体_GB2312" w:cs="楷体_GB2312"/>
          <w:sz w:val="32"/>
          <w:szCs w:val="32"/>
          <w:lang w:val="en-US" w:eastAsia="zh-CN"/>
        </w:rPr>
        <w:t>刘培成</w:t>
      </w:r>
      <w:r>
        <w:rPr>
          <w:rFonts w:hint="eastAsia" w:ascii="楷体_GB2312" w:hAnsi="楷体_GB2312" w:eastAsia="楷体_GB2312" w:cs="楷体_GB2312"/>
          <w:sz w:val="32"/>
          <w:szCs w:val="32"/>
          <w:vertAlign w:val="subscript"/>
          <w:lang w:val="en-US" w:eastAsia="zh-CN"/>
        </w:rPr>
        <w:t>（救护队）</w:t>
      </w:r>
      <w:r>
        <w:rPr>
          <w:rFonts w:hint="eastAsia" w:ascii="楷体_GB2312" w:hAnsi="楷体_GB2312" w:eastAsia="楷体_GB2312" w:cs="楷体_GB2312"/>
          <w:sz w:val="32"/>
          <w:szCs w:val="32"/>
          <w:lang w:val="en-US" w:eastAsia="zh-CN"/>
        </w:rPr>
        <w:t xml:space="preserve">     </w:t>
      </w:r>
    </w:p>
    <w:p w14:paraId="31F560B4">
      <w:pPr>
        <w:pStyle w:val="2"/>
        <w:rPr>
          <w:rFonts w:hint="default"/>
          <w:lang w:val="en-US" w:eastAsia="zh-CN"/>
        </w:rPr>
      </w:pPr>
    </w:p>
    <w:p w14:paraId="24ADFA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lang w:val="en-US" w:eastAsia="zh-CN"/>
        </w:rPr>
      </w:pPr>
    </w:p>
    <w:p w14:paraId="46600463">
      <w:pPr>
        <w:jc w:val="both"/>
        <w:rPr>
          <w:rFonts w:hint="eastAsia" w:eastAsia="黑体"/>
          <w:b/>
          <w:color w:val="auto"/>
          <w:sz w:val="28"/>
          <w:szCs w:val="28"/>
          <w:highlight w:val="none"/>
          <w:lang w:eastAsia="zh-CN"/>
        </w:rPr>
      </w:pPr>
      <w:r>
        <w:rPr>
          <w:rFonts w:eastAsia="黑体"/>
          <w:b/>
          <w:color w:val="auto"/>
          <w:sz w:val="28"/>
          <w:szCs w:val="28"/>
          <w:highlight w:val="none"/>
        </w:rPr>
        <w:br w:type="page"/>
      </w:r>
      <w:r>
        <w:rPr>
          <w:rFonts w:hint="eastAsia" w:eastAsia="黑体"/>
          <w:b/>
          <w:color w:val="auto"/>
          <w:sz w:val="28"/>
          <w:szCs w:val="28"/>
          <w:highlight w:val="none"/>
          <w:lang w:eastAsia="zh-CN"/>
        </w:rPr>
        <w:drawing>
          <wp:inline distT="0" distB="0" distL="114300" distR="114300">
            <wp:extent cx="5591175" cy="7914005"/>
            <wp:effectExtent l="0" t="0" r="9525" b="10795"/>
            <wp:docPr id="6" name="图片 6" descr="应急预案批准页(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应急预案批准页(1)_01"/>
                    <pic:cNvPicPr>
                      <a:picLocks noChangeAspect="1"/>
                    </pic:cNvPicPr>
                  </pic:nvPicPr>
                  <pic:blipFill>
                    <a:blip r:embed="rId9"/>
                    <a:stretch>
                      <a:fillRect/>
                    </a:stretch>
                  </pic:blipFill>
                  <pic:spPr>
                    <a:xfrm>
                      <a:off x="0" y="0"/>
                      <a:ext cx="5591175" cy="7914005"/>
                    </a:xfrm>
                    <a:prstGeom prst="rect">
                      <a:avLst/>
                    </a:prstGeom>
                  </pic:spPr>
                </pic:pic>
              </a:graphicData>
            </a:graphic>
          </wp:inline>
        </w:drawing>
      </w:r>
    </w:p>
    <w:p w14:paraId="0C78C8A6">
      <w:pPr>
        <w:jc w:val="center"/>
        <w:rPr>
          <w:rFonts w:ascii="黑体" w:hAnsi="黑体" w:eastAsia="黑体" w:cs="黑体"/>
          <w:color w:val="auto"/>
          <w:sz w:val="36"/>
          <w:szCs w:val="36"/>
          <w:highlight w:val="none"/>
        </w:rPr>
      </w:pPr>
      <w:r>
        <w:rPr>
          <w:rFonts w:hint="eastAsia" w:ascii="黑体" w:hAnsi="黑体" w:eastAsia="黑体" w:cs="黑体"/>
          <w:color w:val="auto"/>
          <w:sz w:val="36"/>
          <w:szCs w:val="36"/>
          <w:highlight w:val="none"/>
        </w:rPr>
        <w:t>目  录</w:t>
      </w:r>
    </w:p>
    <w:p w14:paraId="2AF4E2D8">
      <w:pPr>
        <w:pStyle w:val="18"/>
        <w:tabs>
          <w:tab w:val="right" w:leader="dot" w:pos="8845"/>
        </w:tabs>
      </w:pPr>
      <w:r>
        <w:rPr>
          <w:rFonts w:hint="eastAsia" w:ascii="仿宋" w:hAnsi="仿宋" w:eastAsia="仿宋" w:cs="仿宋"/>
          <w:bCs/>
          <w:color w:val="auto"/>
          <w:sz w:val="28"/>
          <w:szCs w:val="28"/>
          <w:highlight w:val="none"/>
        </w:rPr>
        <w:fldChar w:fldCharType="begin"/>
      </w:r>
      <w:r>
        <w:rPr>
          <w:rFonts w:hint="eastAsia" w:ascii="仿宋" w:hAnsi="仿宋" w:eastAsia="仿宋" w:cs="仿宋"/>
          <w:bCs/>
          <w:color w:val="auto"/>
          <w:sz w:val="28"/>
          <w:szCs w:val="28"/>
          <w:highlight w:val="none"/>
        </w:rPr>
        <w:instrText xml:space="preserve">TOC \o "1-3" \h \u </w:instrText>
      </w:r>
      <w:r>
        <w:rPr>
          <w:rFonts w:hint="eastAsia" w:ascii="仿宋" w:hAnsi="仿宋" w:eastAsia="仿宋" w:cs="仿宋"/>
          <w:bCs/>
          <w:color w:val="auto"/>
          <w:sz w:val="28"/>
          <w:szCs w:val="28"/>
          <w:highlight w:val="none"/>
        </w:rPr>
        <w:fldChar w:fldCharType="separate"/>
      </w: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_Toc22249 </w:instrText>
      </w:r>
      <w:r>
        <w:rPr>
          <w:rFonts w:hint="eastAsia" w:ascii="仿宋" w:hAnsi="仿宋" w:eastAsia="仿宋" w:cs="仿宋"/>
          <w:bCs/>
          <w:szCs w:val="28"/>
          <w:highlight w:val="none"/>
        </w:rPr>
        <w:fldChar w:fldCharType="separate"/>
      </w:r>
      <w:r>
        <w:rPr>
          <w:rFonts w:hint="eastAsia" w:ascii="方正小标宋简体" w:hAnsi="方正小标宋简体" w:eastAsia="方正小标宋简体" w:cs="方正小标宋简体"/>
          <w:bCs/>
          <w:kern w:val="0"/>
          <w:szCs w:val="52"/>
          <w:highlight w:val="none"/>
        </w:rPr>
        <w:t>第一部分 综合应急预案</w:t>
      </w:r>
      <w:r>
        <w:tab/>
      </w:r>
      <w:r>
        <w:fldChar w:fldCharType="begin"/>
      </w:r>
      <w:r>
        <w:instrText xml:space="preserve"> PAGEREF _Toc22249 \h </w:instrText>
      </w:r>
      <w:r>
        <w:fldChar w:fldCharType="separate"/>
      </w:r>
      <w:r>
        <w:t>- 1 -</w:t>
      </w:r>
      <w:r>
        <w:fldChar w:fldCharType="end"/>
      </w:r>
      <w:r>
        <w:rPr>
          <w:rFonts w:hint="eastAsia" w:ascii="仿宋" w:hAnsi="仿宋" w:eastAsia="仿宋" w:cs="仿宋"/>
          <w:bCs/>
          <w:color w:val="auto"/>
          <w:szCs w:val="28"/>
          <w:highlight w:val="none"/>
        </w:rPr>
        <w:fldChar w:fldCharType="end"/>
      </w:r>
    </w:p>
    <w:p w14:paraId="4D31540C">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_Toc17144 </w:instrText>
      </w:r>
      <w:r>
        <w:rPr>
          <w:rFonts w:hint="eastAsia" w:ascii="仿宋" w:hAnsi="仿宋" w:eastAsia="仿宋" w:cs="仿宋"/>
          <w:bCs/>
          <w:szCs w:val="28"/>
          <w:highlight w:val="none"/>
        </w:rPr>
        <w:fldChar w:fldCharType="separate"/>
      </w:r>
      <w:r>
        <w:rPr>
          <w:rFonts w:hint="eastAsia" w:ascii="黑体" w:hAnsi="黑体" w:eastAsia="黑体" w:cs="黑体"/>
          <w:bCs/>
          <w:kern w:val="0"/>
          <w:szCs w:val="30"/>
          <w:highlight w:val="none"/>
        </w:rPr>
        <w:t>1 总则</w:t>
      </w:r>
      <w:r>
        <w:tab/>
      </w:r>
      <w:r>
        <w:fldChar w:fldCharType="begin"/>
      </w:r>
      <w:r>
        <w:instrText xml:space="preserve"> PAGEREF _Toc17144 \h </w:instrText>
      </w:r>
      <w:r>
        <w:fldChar w:fldCharType="separate"/>
      </w:r>
      <w:r>
        <w:t>- 1 -</w:t>
      </w:r>
      <w:r>
        <w:fldChar w:fldCharType="end"/>
      </w:r>
      <w:r>
        <w:rPr>
          <w:rFonts w:hint="eastAsia" w:ascii="仿宋" w:hAnsi="仿宋" w:eastAsia="仿宋" w:cs="仿宋"/>
          <w:bCs/>
          <w:color w:val="auto"/>
          <w:szCs w:val="28"/>
          <w:highlight w:val="none"/>
        </w:rPr>
        <w:fldChar w:fldCharType="end"/>
      </w:r>
    </w:p>
    <w:p w14:paraId="49F11D6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_Toc16076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kern w:val="0"/>
          <w:szCs w:val="30"/>
          <w:highlight w:val="none"/>
        </w:rPr>
        <w:t>1.1 编制目的</w:t>
      </w:r>
      <w:r>
        <w:tab/>
      </w:r>
      <w:r>
        <w:fldChar w:fldCharType="begin"/>
      </w:r>
      <w:r>
        <w:instrText xml:space="preserve"> PAGEREF _Toc16076 \h </w:instrText>
      </w:r>
      <w:r>
        <w:fldChar w:fldCharType="separate"/>
      </w:r>
      <w:r>
        <w:t>- 1 -</w:t>
      </w:r>
      <w:r>
        <w:fldChar w:fldCharType="end"/>
      </w:r>
      <w:r>
        <w:rPr>
          <w:rFonts w:hint="eastAsia" w:ascii="仿宋" w:hAnsi="仿宋" w:eastAsia="仿宋" w:cs="仿宋"/>
          <w:bCs/>
          <w:color w:val="auto"/>
          <w:szCs w:val="28"/>
          <w:highlight w:val="none"/>
        </w:rPr>
        <w:fldChar w:fldCharType="end"/>
      </w:r>
    </w:p>
    <w:p w14:paraId="3876E10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_Toc30333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kern w:val="0"/>
          <w:szCs w:val="30"/>
          <w:highlight w:val="none"/>
        </w:rPr>
        <w:t>1.2 适用范围</w:t>
      </w:r>
      <w:r>
        <w:tab/>
      </w:r>
      <w:r>
        <w:fldChar w:fldCharType="begin"/>
      </w:r>
      <w:r>
        <w:instrText xml:space="preserve"> PAGEREF _Toc30333 \h </w:instrText>
      </w:r>
      <w:r>
        <w:fldChar w:fldCharType="separate"/>
      </w:r>
      <w:r>
        <w:t>- 1 -</w:t>
      </w:r>
      <w:r>
        <w:fldChar w:fldCharType="end"/>
      </w:r>
      <w:r>
        <w:rPr>
          <w:rFonts w:hint="eastAsia" w:ascii="仿宋" w:hAnsi="仿宋" w:eastAsia="仿宋" w:cs="仿宋"/>
          <w:bCs/>
          <w:color w:val="auto"/>
          <w:szCs w:val="28"/>
          <w:highlight w:val="none"/>
        </w:rPr>
        <w:fldChar w:fldCharType="end"/>
      </w:r>
    </w:p>
    <w:p w14:paraId="5E8BBC4D">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_Toc19538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kern w:val="0"/>
          <w:szCs w:val="30"/>
          <w:highlight w:val="none"/>
        </w:rPr>
        <w:t>1.3 响应分级</w:t>
      </w:r>
      <w:r>
        <w:tab/>
      </w:r>
      <w:r>
        <w:fldChar w:fldCharType="begin"/>
      </w:r>
      <w:r>
        <w:instrText xml:space="preserve"> PAGEREF _Toc19538 \h </w:instrText>
      </w:r>
      <w:r>
        <w:fldChar w:fldCharType="separate"/>
      </w:r>
      <w:r>
        <w:t>- 1 -</w:t>
      </w:r>
      <w:r>
        <w:fldChar w:fldCharType="end"/>
      </w:r>
      <w:r>
        <w:rPr>
          <w:rFonts w:hint="eastAsia" w:ascii="仿宋" w:hAnsi="仿宋" w:eastAsia="仿宋" w:cs="仿宋"/>
          <w:bCs/>
          <w:color w:val="auto"/>
          <w:szCs w:val="28"/>
          <w:highlight w:val="none"/>
        </w:rPr>
        <w:fldChar w:fldCharType="end"/>
      </w:r>
    </w:p>
    <w:p w14:paraId="74ED5561">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_Toc6343 </w:instrText>
      </w:r>
      <w:r>
        <w:rPr>
          <w:rFonts w:hint="eastAsia" w:ascii="仿宋" w:hAnsi="仿宋" w:eastAsia="仿宋" w:cs="仿宋"/>
          <w:bCs/>
          <w:szCs w:val="28"/>
          <w:highlight w:val="none"/>
        </w:rPr>
        <w:fldChar w:fldCharType="separate"/>
      </w:r>
      <w:r>
        <w:rPr>
          <w:rFonts w:hint="eastAsia" w:ascii="黑体" w:hAnsi="黑体" w:eastAsia="黑体" w:cs="黑体"/>
          <w:bCs/>
          <w:kern w:val="0"/>
          <w:szCs w:val="30"/>
          <w:highlight w:val="none"/>
        </w:rPr>
        <w:t>2 应急组织机构及职责</w:t>
      </w:r>
      <w:r>
        <w:tab/>
      </w:r>
      <w:r>
        <w:fldChar w:fldCharType="begin"/>
      </w:r>
      <w:r>
        <w:instrText xml:space="preserve"> PAGEREF _Toc6343 \h </w:instrText>
      </w:r>
      <w:r>
        <w:fldChar w:fldCharType="separate"/>
      </w:r>
      <w:r>
        <w:t>- 2 -</w:t>
      </w:r>
      <w:r>
        <w:fldChar w:fldCharType="end"/>
      </w:r>
      <w:r>
        <w:rPr>
          <w:rFonts w:hint="eastAsia" w:ascii="仿宋" w:hAnsi="仿宋" w:eastAsia="仿宋" w:cs="仿宋"/>
          <w:bCs/>
          <w:color w:val="auto"/>
          <w:szCs w:val="28"/>
          <w:highlight w:val="none"/>
        </w:rPr>
        <w:fldChar w:fldCharType="end"/>
      </w:r>
    </w:p>
    <w:p w14:paraId="2D6904D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_Toc15230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kern w:val="0"/>
          <w:szCs w:val="30"/>
          <w:highlight w:val="none"/>
        </w:rPr>
        <w:t>2.1 应急组织形式</w:t>
      </w:r>
      <w:r>
        <w:tab/>
      </w:r>
      <w:r>
        <w:fldChar w:fldCharType="begin"/>
      </w:r>
      <w:r>
        <w:instrText xml:space="preserve"> PAGEREF _Toc15230 \h </w:instrText>
      </w:r>
      <w:r>
        <w:fldChar w:fldCharType="separate"/>
      </w:r>
      <w:r>
        <w:t>- 2 -</w:t>
      </w:r>
      <w:r>
        <w:fldChar w:fldCharType="end"/>
      </w:r>
      <w:r>
        <w:rPr>
          <w:rFonts w:hint="eastAsia" w:ascii="仿宋" w:hAnsi="仿宋" w:eastAsia="仿宋" w:cs="仿宋"/>
          <w:bCs/>
          <w:color w:val="auto"/>
          <w:szCs w:val="28"/>
          <w:highlight w:val="none"/>
        </w:rPr>
        <w:fldChar w:fldCharType="end"/>
      </w:r>
    </w:p>
    <w:p w14:paraId="29942949">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_Toc9546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kern w:val="0"/>
          <w:szCs w:val="30"/>
          <w:highlight w:val="none"/>
        </w:rPr>
        <w:t>2.2应急救援机构及职责</w:t>
      </w:r>
      <w:r>
        <w:tab/>
      </w:r>
      <w:r>
        <w:fldChar w:fldCharType="begin"/>
      </w:r>
      <w:r>
        <w:instrText xml:space="preserve"> PAGEREF _Toc9546 \h </w:instrText>
      </w:r>
      <w:r>
        <w:fldChar w:fldCharType="separate"/>
      </w:r>
      <w:r>
        <w:t>- 7 -</w:t>
      </w:r>
      <w:r>
        <w:fldChar w:fldCharType="end"/>
      </w:r>
      <w:r>
        <w:rPr>
          <w:rFonts w:hint="eastAsia" w:ascii="仿宋" w:hAnsi="仿宋" w:eastAsia="仿宋" w:cs="仿宋"/>
          <w:bCs/>
          <w:color w:val="auto"/>
          <w:szCs w:val="28"/>
          <w:highlight w:val="none"/>
        </w:rPr>
        <w:fldChar w:fldCharType="end"/>
      </w:r>
    </w:p>
    <w:p w14:paraId="3C8505DB">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_Toc29569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kern w:val="0"/>
          <w:szCs w:val="30"/>
          <w:highlight w:val="none"/>
        </w:rPr>
        <w:t>2.3 应急机构通讯录</w:t>
      </w:r>
      <w:r>
        <w:tab/>
      </w:r>
      <w:r>
        <w:fldChar w:fldCharType="begin"/>
      </w:r>
      <w:r>
        <w:instrText xml:space="preserve"> PAGEREF _Toc29569 \h </w:instrText>
      </w:r>
      <w:r>
        <w:fldChar w:fldCharType="separate"/>
      </w:r>
      <w:r>
        <w:t>- 12 -</w:t>
      </w:r>
      <w:r>
        <w:fldChar w:fldCharType="end"/>
      </w:r>
      <w:r>
        <w:rPr>
          <w:rFonts w:hint="eastAsia" w:ascii="仿宋" w:hAnsi="仿宋" w:eastAsia="仿宋" w:cs="仿宋"/>
          <w:bCs/>
          <w:color w:val="auto"/>
          <w:szCs w:val="28"/>
          <w:highlight w:val="none"/>
        </w:rPr>
        <w:fldChar w:fldCharType="end"/>
      </w:r>
    </w:p>
    <w:p w14:paraId="69039672">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_Toc8634 </w:instrText>
      </w:r>
      <w:r>
        <w:rPr>
          <w:rFonts w:hint="eastAsia" w:ascii="仿宋" w:hAnsi="仿宋" w:eastAsia="仿宋" w:cs="仿宋"/>
          <w:bCs/>
          <w:szCs w:val="28"/>
          <w:highlight w:val="none"/>
        </w:rPr>
        <w:fldChar w:fldCharType="separate"/>
      </w:r>
      <w:r>
        <w:rPr>
          <w:rFonts w:hint="eastAsia" w:ascii="黑体" w:hAnsi="黑体" w:eastAsia="黑体" w:cs="黑体"/>
          <w:bCs/>
          <w:kern w:val="0"/>
          <w:szCs w:val="30"/>
          <w:highlight w:val="none"/>
        </w:rPr>
        <w:t>3 应急响应</w:t>
      </w:r>
      <w:r>
        <w:tab/>
      </w:r>
      <w:r>
        <w:fldChar w:fldCharType="begin"/>
      </w:r>
      <w:r>
        <w:instrText xml:space="preserve"> PAGEREF _Toc8634 \h </w:instrText>
      </w:r>
      <w:r>
        <w:fldChar w:fldCharType="separate"/>
      </w:r>
      <w:r>
        <w:t>- 12 -</w:t>
      </w:r>
      <w:r>
        <w:fldChar w:fldCharType="end"/>
      </w:r>
      <w:r>
        <w:rPr>
          <w:rFonts w:hint="eastAsia" w:ascii="仿宋" w:hAnsi="仿宋" w:eastAsia="仿宋" w:cs="仿宋"/>
          <w:bCs/>
          <w:color w:val="auto"/>
          <w:szCs w:val="28"/>
          <w:highlight w:val="none"/>
        </w:rPr>
        <w:fldChar w:fldCharType="end"/>
      </w:r>
    </w:p>
    <w:p w14:paraId="6A8A0501">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_Toc22884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3.1 信息报告</w:t>
      </w:r>
      <w:r>
        <w:tab/>
      </w:r>
      <w:r>
        <w:fldChar w:fldCharType="begin"/>
      </w:r>
      <w:r>
        <w:instrText xml:space="preserve"> PAGEREF _Toc22884 \h </w:instrText>
      </w:r>
      <w:r>
        <w:fldChar w:fldCharType="separate"/>
      </w:r>
      <w:r>
        <w:t>- 12 -</w:t>
      </w:r>
      <w:r>
        <w:fldChar w:fldCharType="end"/>
      </w:r>
      <w:r>
        <w:rPr>
          <w:rFonts w:hint="eastAsia" w:ascii="仿宋" w:hAnsi="仿宋" w:eastAsia="仿宋" w:cs="仿宋"/>
          <w:bCs/>
          <w:color w:val="auto"/>
          <w:szCs w:val="28"/>
          <w:highlight w:val="none"/>
        </w:rPr>
        <w:fldChar w:fldCharType="end"/>
      </w:r>
    </w:p>
    <w:p w14:paraId="1BE63B21">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_Toc1174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3.2 预警</w:t>
      </w:r>
      <w:r>
        <w:tab/>
      </w:r>
      <w:r>
        <w:fldChar w:fldCharType="begin"/>
      </w:r>
      <w:r>
        <w:instrText xml:space="preserve"> PAGEREF _Toc1174 \h </w:instrText>
      </w:r>
      <w:r>
        <w:fldChar w:fldCharType="separate"/>
      </w:r>
      <w:r>
        <w:t>- 16 -</w:t>
      </w:r>
      <w:r>
        <w:fldChar w:fldCharType="end"/>
      </w:r>
      <w:r>
        <w:rPr>
          <w:rFonts w:hint="eastAsia" w:ascii="仿宋" w:hAnsi="仿宋" w:eastAsia="仿宋" w:cs="仿宋"/>
          <w:bCs/>
          <w:color w:val="auto"/>
          <w:szCs w:val="28"/>
          <w:highlight w:val="none"/>
        </w:rPr>
        <w:fldChar w:fldCharType="end"/>
      </w:r>
    </w:p>
    <w:p w14:paraId="6720681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3.3 响应启动</w:t>
      </w:r>
      <w:r>
        <w:tab/>
      </w:r>
      <w:r>
        <w:fldChar w:fldCharType="begin"/>
      </w:r>
      <w:r>
        <w:instrText xml:space="preserve"> PAGEREF _Toc218 \h </w:instrText>
      </w:r>
      <w:r>
        <w:fldChar w:fldCharType="separate"/>
      </w:r>
      <w:r>
        <w:t>- 19 -</w:t>
      </w:r>
      <w:r>
        <w:fldChar w:fldCharType="end"/>
      </w:r>
      <w:r>
        <w:rPr>
          <w:rFonts w:hint="eastAsia" w:ascii="仿宋" w:hAnsi="仿宋" w:eastAsia="仿宋" w:cs="仿宋"/>
          <w:bCs/>
          <w:color w:val="auto"/>
          <w:szCs w:val="28"/>
          <w:highlight w:val="none"/>
        </w:rPr>
        <w:fldChar w:fldCharType="end"/>
      </w:r>
    </w:p>
    <w:p w14:paraId="1656C2F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_Toc30005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3.4 应急处置</w:t>
      </w:r>
      <w:r>
        <w:tab/>
      </w:r>
      <w:r>
        <w:fldChar w:fldCharType="begin"/>
      </w:r>
      <w:r>
        <w:instrText xml:space="preserve"> PAGEREF _Toc30005 \h </w:instrText>
      </w:r>
      <w:r>
        <w:fldChar w:fldCharType="separate"/>
      </w:r>
      <w:r>
        <w:t>- 22 -</w:t>
      </w:r>
      <w:r>
        <w:fldChar w:fldCharType="end"/>
      </w:r>
      <w:r>
        <w:rPr>
          <w:rFonts w:hint="eastAsia" w:ascii="仿宋" w:hAnsi="仿宋" w:eastAsia="仿宋" w:cs="仿宋"/>
          <w:bCs/>
          <w:color w:val="auto"/>
          <w:szCs w:val="28"/>
          <w:highlight w:val="none"/>
        </w:rPr>
        <w:fldChar w:fldCharType="end"/>
      </w:r>
    </w:p>
    <w:p w14:paraId="45B0AEB3">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_Toc22794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3.5 应急支援</w:t>
      </w:r>
      <w:r>
        <w:tab/>
      </w:r>
      <w:r>
        <w:fldChar w:fldCharType="begin"/>
      </w:r>
      <w:r>
        <w:instrText xml:space="preserve"> PAGEREF _Toc22794 \h </w:instrText>
      </w:r>
      <w:r>
        <w:fldChar w:fldCharType="separate"/>
      </w:r>
      <w:r>
        <w:t>- 25 -</w:t>
      </w:r>
      <w:r>
        <w:fldChar w:fldCharType="end"/>
      </w:r>
      <w:r>
        <w:rPr>
          <w:rFonts w:hint="eastAsia" w:ascii="仿宋" w:hAnsi="仿宋" w:eastAsia="仿宋" w:cs="仿宋"/>
          <w:bCs/>
          <w:color w:val="auto"/>
          <w:szCs w:val="28"/>
          <w:highlight w:val="none"/>
        </w:rPr>
        <w:fldChar w:fldCharType="end"/>
      </w:r>
    </w:p>
    <w:p w14:paraId="7A054D7D">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_Toc23351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3.6 响应终止</w:t>
      </w:r>
      <w:r>
        <w:tab/>
      </w:r>
      <w:r>
        <w:fldChar w:fldCharType="begin"/>
      </w:r>
      <w:r>
        <w:instrText xml:space="preserve"> PAGEREF _Toc23351 \h </w:instrText>
      </w:r>
      <w:r>
        <w:fldChar w:fldCharType="separate"/>
      </w:r>
      <w:r>
        <w:t>- 26 -</w:t>
      </w:r>
      <w:r>
        <w:fldChar w:fldCharType="end"/>
      </w:r>
      <w:r>
        <w:rPr>
          <w:rFonts w:hint="eastAsia" w:ascii="仿宋" w:hAnsi="仿宋" w:eastAsia="仿宋" w:cs="仿宋"/>
          <w:bCs/>
          <w:color w:val="auto"/>
          <w:szCs w:val="28"/>
          <w:highlight w:val="none"/>
        </w:rPr>
        <w:fldChar w:fldCharType="end"/>
      </w:r>
    </w:p>
    <w:p w14:paraId="4F76C250">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_Toc56 </w:instrText>
      </w:r>
      <w:r>
        <w:rPr>
          <w:rFonts w:hint="eastAsia" w:ascii="仿宋" w:hAnsi="仿宋" w:eastAsia="仿宋" w:cs="仿宋"/>
          <w:bCs/>
          <w:szCs w:val="28"/>
          <w:highlight w:val="none"/>
        </w:rPr>
        <w:fldChar w:fldCharType="separate"/>
      </w:r>
      <w:r>
        <w:rPr>
          <w:rFonts w:hint="eastAsia" w:ascii="黑体" w:hAnsi="黑体" w:eastAsia="黑体" w:cs="黑体"/>
          <w:bCs/>
          <w:kern w:val="0"/>
          <w:szCs w:val="30"/>
          <w:highlight w:val="none"/>
        </w:rPr>
        <w:t>4 后期处置</w:t>
      </w:r>
      <w:r>
        <w:tab/>
      </w:r>
      <w:r>
        <w:fldChar w:fldCharType="begin"/>
      </w:r>
      <w:r>
        <w:instrText xml:space="preserve"> PAGEREF _Toc56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1841DDA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_Toc8588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4.1 事故情况上报事项</w:t>
      </w:r>
      <w:r>
        <w:tab/>
      </w:r>
      <w:r>
        <w:fldChar w:fldCharType="begin"/>
      </w:r>
      <w:r>
        <w:instrText xml:space="preserve"> PAGEREF _Toc8588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62D8459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_Toc5047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4.2 向事故调查组移交的相关事项</w:t>
      </w:r>
      <w:r>
        <w:tab/>
      </w:r>
      <w:r>
        <w:fldChar w:fldCharType="begin"/>
      </w:r>
      <w:r>
        <w:instrText xml:space="preserve"> PAGEREF _Toc5047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374EE8A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_Toc25903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4.3 污染物处理</w:t>
      </w:r>
      <w:r>
        <w:tab/>
      </w:r>
      <w:r>
        <w:fldChar w:fldCharType="begin"/>
      </w:r>
      <w:r>
        <w:instrText xml:space="preserve"> PAGEREF _Toc25903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145CB3A5">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_Toc14735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4.4 生产秩序恢复</w:t>
      </w:r>
      <w:r>
        <w:tab/>
      </w:r>
      <w:r>
        <w:fldChar w:fldCharType="begin"/>
      </w:r>
      <w:r>
        <w:instrText xml:space="preserve"> PAGEREF _Toc14735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0ED5C61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_Toc24587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4.5 人员安置</w:t>
      </w:r>
      <w:r>
        <w:tab/>
      </w:r>
      <w:r>
        <w:fldChar w:fldCharType="begin"/>
      </w:r>
      <w:r>
        <w:instrText xml:space="preserve"> PAGEREF _Toc24587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1195F9BA">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_Toc18418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 xml:space="preserve">4.6 </w:t>
      </w:r>
      <w:r>
        <w:rPr>
          <w:rFonts w:hint="eastAsia" w:ascii="楷体_GB2312" w:hAnsi="楷体_GB2312" w:eastAsia="楷体_GB2312" w:cs="楷体_GB2312"/>
          <w:bCs/>
          <w:szCs w:val="30"/>
          <w:highlight w:val="none"/>
          <w:lang w:eastAsia="zh-TW"/>
        </w:rPr>
        <w:t>善后处理</w:t>
      </w:r>
      <w:r>
        <w:tab/>
      </w:r>
      <w:r>
        <w:fldChar w:fldCharType="begin"/>
      </w:r>
      <w:r>
        <w:instrText xml:space="preserve"> PAGEREF _Toc18418 \h </w:instrText>
      </w:r>
      <w:r>
        <w:fldChar w:fldCharType="separate"/>
      </w:r>
      <w:r>
        <w:t>- 27 -</w:t>
      </w:r>
      <w:r>
        <w:fldChar w:fldCharType="end"/>
      </w:r>
      <w:r>
        <w:rPr>
          <w:rFonts w:hint="eastAsia" w:ascii="仿宋" w:hAnsi="仿宋" w:eastAsia="仿宋" w:cs="仿宋"/>
          <w:bCs/>
          <w:color w:val="auto"/>
          <w:szCs w:val="28"/>
          <w:highlight w:val="none"/>
        </w:rPr>
        <w:fldChar w:fldCharType="end"/>
      </w:r>
    </w:p>
    <w:p w14:paraId="60BD152E">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_Toc27544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4.7 应急救援工作总结</w:t>
      </w:r>
      <w:r>
        <w:tab/>
      </w:r>
      <w:r>
        <w:fldChar w:fldCharType="begin"/>
      </w:r>
      <w:r>
        <w:instrText xml:space="preserve"> PAGEREF _Toc27544 \h </w:instrText>
      </w:r>
      <w:r>
        <w:fldChar w:fldCharType="separate"/>
      </w:r>
      <w:r>
        <w:t>- 28 -</w:t>
      </w:r>
      <w:r>
        <w:fldChar w:fldCharType="end"/>
      </w:r>
      <w:r>
        <w:rPr>
          <w:rFonts w:hint="eastAsia" w:ascii="仿宋" w:hAnsi="仿宋" w:eastAsia="仿宋" w:cs="仿宋"/>
          <w:bCs/>
          <w:color w:val="auto"/>
          <w:szCs w:val="28"/>
          <w:highlight w:val="none"/>
        </w:rPr>
        <w:fldChar w:fldCharType="end"/>
      </w:r>
    </w:p>
    <w:p w14:paraId="6A83FE98">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_Toc26184 </w:instrText>
      </w:r>
      <w:r>
        <w:rPr>
          <w:rFonts w:hint="eastAsia" w:ascii="仿宋" w:hAnsi="仿宋" w:eastAsia="仿宋" w:cs="仿宋"/>
          <w:bCs/>
          <w:szCs w:val="28"/>
          <w:highlight w:val="none"/>
        </w:rPr>
        <w:fldChar w:fldCharType="separate"/>
      </w:r>
      <w:r>
        <w:rPr>
          <w:rFonts w:ascii="黑体" w:hAnsi="黑体" w:eastAsia="黑体" w:cs="黑体"/>
          <w:bCs/>
          <w:kern w:val="0"/>
          <w:szCs w:val="30"/>
          <w:highlight w:val="none"/>
        </w:rPr>
        <w:t>5 应急保障</w:t>
      </w:r>
      <w:r>
        <w:tab/>
      </w:r>
      <w:r>
        <w:fldChar w:fldCharType="begin"/>
      </w:r>
      <w:r>
        <w:instrText xml:space="preserve"> PAGEREF _Toc26184 \h </w:instrText>
      </w:r>
      <w:r>
        <w:fldChar w:fldCharType="separate"/>
      </w:r>
      <w:r>
        <w:t>- 28 -</w:t>
      </w:r>
      <w:r>
        <w:fldChar w:fldCharType="end"/>
      </w:r>
      <w:r>
        <w:rPr>
          <w:rFonts w:hint="eastAsia" w:ascii="仿宋" w:hAnsi="仿宋" w:eastAsia="仿宋" w:cs="仿宋"/>
          <w:bCs/>
          <w:color w:val="auto"/>
          <w:szCs w:val="28"/>
          <w:highlight w:val="none"/>
        </w:rPr>
        <w:fldChar w:fldCharType="end"/>
      </w:r>
    </w:p>
    <w:p w14:paraId="4EF79070">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_Toc7746 </w:instrText>
      </w:r>
      <w:r>
        <w:rPr>
          <w:rFonts w:hint="eastAsia" w:ascii="仿宋" w:hAnsi="仿宋" w:eastAsia="仿宋" w:cs="仿宋"/>
          <w:bCs/>
          <w:szCs w:val="28"/>
          <w:highlight w:val="none"/>
        </w:rPr>
        <w:fldChar w:fldCharType="separate"/>
      </w:r>
      <w:r>
        <w:rPr>
          <w:rFonts w:ascii="楷体_GB2312" w:hAnsi="楷体_GB2312" w:eastAsia="楷体_GB2312" w:cs="楷体_GB2312"/>
          <w:bCs/>
          <w:szCs w:val="30"/>
          <w:highlight w:val="none"/>
        </w:rPr>
        <w:t>5.1 通信与信息保障</w:t>
      </w:r>
      <w:r>
        <w:tab/>
      </w:r>
      <w:r>
        <w:fldChar w:fldCharType="begin"/>
      </w:r>
      <w:r>
        <w:instrText xml:space="preserve"> PAGEREF _Toc7746 \h </w:instrText>
      </w:r>
      <w:r>
        <w:fldChar w:fldCharType="separate"/>
      </w:r>
      <w:r>
        <w:t>- 28 -</w:t>
      </w:r>
      <w:r>
        <w:fldChar w:fldCharType="end"/>
      </w:r>
      <w:r>
        <w:rPr>
          <w:rFonts w:hint="eastAsia" w:ascii="仿宋" w:hAnsi="仿宋" w:eastAsia="仿宋" w:cs="仿宋"/>
          <w:bCs/>
          <w:color w:val="auto"/>
          <w:szCs w:val="28"/>
          <w:highlight w:val="none"/>
        </w:rPr>
        <w:fldChar w:fldCharType="end"/>
      </w:r>
    </w:p>
    <w:p w14:paraId="7CC9618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_Toc13154 </w:instrText>
      </w:r>
      <w:r>
        <w:rPr>
          <w:rFonts w:hint="eastAsia" w:ascii="仿宋" w:hAnsi="仿宋" w:eastAsia="仿宋" w:cs="仿宋"/>
          <w:bCs/>
          <w:szCs w:val="28"/>
          <w:highlight w:val="none"/>
        </w:rPr>
        <w:fldChar w:fldCharType="separate"/>
      </w:r>
      <w:r>
        <w:rPr>
          <w:rFonts w:ascii="楷体_GB2312" w:hAnsi="楷体_GB2312" w:eastAsia="楷体_GB2312" w:cs="楷体_GB2312"/>
          <w:bCs/>
          <w:szCs w:val="30"/>
          <w:highlight w:val="none"/>
        </w:rPr>
        <w:t>5.2 应急队伍保障</w:t>
      </w:r>
      <w:r>
        <w:tab/>
      </w:r>
      <w:r>
        <w:fldChar w:fldCharType="begin"/>
      </w:r>
      <w:r>
        <w:instrText xml:space="preserve"> PAGEREF _Toc13154 \h </w:instrText>
      </w:r>
      <w:r>
        <w:fldChar w:fldCharType="separate"/>
      </w:r>
      <w:r>
        <w:t>- 29 -</w:t>
      </w:r>
      <w:r>
        <w:fldChar w:fldCharType="end"/>
      </w:r>
      <w:r>
        <w:rPr>
          <w:rFonts w:hint="eastAsia" w:ascii="仿宋" w:hAnsi="仿宋" w:eastAsia="仿宋" w:cs="仿宋"/>
          <w:bCs/>
          <w:color w:val="auto"/>
          <w:szCs w:val="28"/>
          <w:highlight w:val="none"/>
        </w:rPr>
        <w:fldChar w:fldCharType="end"/>
      </w:r>
    </w:p>
    <w:p w14:paraId="195B3D2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_Toc23882 </w:instrText>
      </w:r>
      <w:r>
        <w:rPr>
          <w:rFonts w:hint="eastAsia" w:ascii="仿宋" w:hAnsi="仿宋" w:eastAsia="仿宋" w:cs="仿宋"/>
          <w:bCs/>
          <w:szCs w:val="28"/>
          <w:highlight w:val="none"/>
        </w:rPr>
        <w:fldChar w:fldCharType="separate"/>
      </w:r>
      <w:r>
        <w:rPr>
          <w:rFonts w:ascii="楷体_GB2312" w:hAnsi="楷体_GB2312" w:eastAsia="楷体_GB2312" w:cs="楷体_GB2312"/>
          <w:bCs/>
          <w:szCs w:val="30"/>
          <w:highlight w:val="none"/>
        </w:rPr>
        <w:t>5.3 应急物资装备保障</w:t>
      </w:r>
      <w:r>
        <w:tab/>
      </w:r>
      <w:r>
        <w:fldChar w:fldCharType="begin"/>
      </w:r>
      <w:r>
        <w:instrText xml:space="preserve"> PAGEREF _Toc23882 \h </w:instrText>
      </w:r>
      <w:r>
        <w:fldChar w:fldCharType="separate"/>
      </w:r>
      <w:r>
        <w:t>- 30 -</w:t>
      </w:r>
      <w:r>
        <w:fldChar w:fldCharType="end"/>
      </w:r>
      <w:r>
        <w:rPr>
          <w:rFonts w:hint="eastAsia" w:ascii="仿宋" w:hAnsi="仿宋" w:eastAsia="仿宋" w:cs="仿宋"/>
          <w:bCs/>
          <w:color w:val="auto"/>
          <w:szCs w:val="28"/>
          <w:highlight w:val="none"/>
        </w:rPr>
        <w:fldChar w:fldCharType="end"/>
      </w:r>
    </w:p>
    <w:p w14:paraId="53389A26">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_Toc618 </w:instrText>
      </w:r>
      <w:r>
        <w:rPr>
          <w:rFonts w:hint="eastAsia" w:ascii="仿宋" w:hAnsi="仿宋" w:eastAsia="仿宋" w:cs="仿宋"/>
          <w:bCs/>
          <w:szCs w:val="28"/>
          <w:highlight w:val="none"/>
        </w:rPr>
        <w:fldChar w:fldCharType="separate"/>
      </w:r>
      <w:r>
        <w:rPr>
          <w:rFonts w:ascii="楷体_GB2312" w:hAnsi="楷体_GB2312" w:eastAsia="楷体_GB2312" w:cs="楷体_GB2312"/>
          <w:bCs/>
          <w:szCs w:val="30"/>
          <w:highlight w:val="none"/>
        </w:rPr>
        <w:t>5.4 其他保障</w:t>
      </w:r>
      <w:r>
        <w:tab/>
      </w:r>
      <w:r>
        <w:fldChar w:fldCharType="begin"/>
      </w:r>
      <w:r>
        <w:instrText xml:space="preserve"> PAGEREF _Toc618 \h </w:instrText>
      </w:r>
      <w:r>
        <w:fldChar w:fldCharType="separate"/>
      </w:r>
      <w:r>
        <w:t>- 31 -</w:t>
      </w:r>
      <w:r>
        <w:fldChar w:fldCharType="end"/>
      </w:r>
      <w:r>
        <w:rPr>
          <w:rFonts w:hint="eastAsia" w:ascii="仿宋" w:hAnsi="仿宋" w:eastAsia="仿宋" w:cs="仿宋"/>
          <w:bCs/>
          <w:color w:val="auto"/>
          <w:szCs w:val="28"/>
          <w:highlight w:val="none"/>
        </w:rPr>
        <w:fldChar w:fldCharType="end"/>
      </w:r>
    </w:p>
    <w:p w14:paraId="11B0A573">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_Toc20081 </w:instrText>
      </w:r>
      <w:r>
        <w:rPr>
          <w:rFonts w:hint="eastAsia" w:ascii="仿宋" w:hAnsi="仿宋" w:eastAsia="仿宋" w:cs="仿宋"/>
          <w:bCs/>
          <w:szCs w:val="28"/>
          <w:highlight w:val="none"/>
        </w:rPr>
        <w:fldChar w:fldCharType="separate"/>
      </w:r>
      <w:r>
        <w:rPr>
          <w:rFonts w:ascii="黑体" w:hAnsi="黑体" w:eastAsia="黑体" w:cs="黑体"/>
          <w:bCs/>
          <w:kern w:val="0"/>
          <w:szCs w:val="30"/>
          <w:highlight w:val="none"/>
        </w:rPr>
        <w:t>6 应急预案</w:t>
      </w:r>
      <w:r>
        <w:rPr>
          <w:rFonts w:hint="eastAsia" w:ascii="黑体" w:hAnsi="黑体" w:eastAsia="黑体" w:cs="黑体"/>
          <w:bCs/>
          <w:kern w:val="0"/>
          <w:szCs w:val="30"/>
          <w:highlight w:val="none"/>
        </w:rPr>
        <w:t>管理</w:t>
      </w:r>
      <w:r>
        <w:tab/>
      </w:r>
      <w:r>
        <w:fldChar w:fldCharType="begin"/>
      </w:r>
      <w:r>
        <w:instrText xml:space="preserve"> PAGEREF _Toc20081 \h </w:instrText>
      </w:r>
      <w:r>
        <w:fldChar w:fldCharType="separate"/>
      </w:r>
      <w:r>
        <w:t>- 34 -</w:t>
      </w:r>
      <w:r>
        <w:fldChar w:fldCharType="end"/>
      </w:r>
      <w:r>
        <w:rPr>
          <w:rFonts w:hint="eastAsia" w:ascii="仿宋" w:hAnsi="仿宋" w:eastAsia="仿宋" w:cs="仿宋"/>
          <w:bCs/>
          <w:color w:val="auto"/>
          <w:szCs w:val="28"/>
          <w:highlight w:val="none"/>
        </w:rPr>
        <w:fldChar w:fldCharType="end"/>
      </w:r>
    </w:p>
    <w:p w14:paraId="2A50E19A">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_Toc3159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6.1 应急预案备案</w:t>
      </w:r>
      <w:r>
        <w:tab/>
      </w:r>
      <w:r>
        <w:fldChar w:fldCharType="begin"/>
      </w:r>
      <w:r>
        <w:instrText xml:space="preserve"> PAGEREF _Toc3159 \h </w:instrText>
      </w:r>
      <w:r>
        <w:fldChar w:fldCharType="separate"/>
      </w:r>
      <w:r>
        <w:t>- 34 -</w:t>
      </w:r>
      <w:r>
        <w:fldChar w:fldCharType="end"/>
      </w:r>
      <w:r>
        <w:rPr>
          <w:rFonts w:hint="eastAsia" w:ascii="仿宋" w:hAnsi="仿宋" w:eastAsia="仿宋" w:cs="仿宋"/>
          <w:bCs/>
          <w:color w:val="auto"/>
          <w:szCs w:val="28"/>
          <w:highlight w:val="none"/>
        </w:rPr>
        <w:fldChar w:fldCharType="end"/>
      </w:r>
    </w:p>
    <w:p w14:paraId="499FA571">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_Toc12326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6.2 应急预案培训</w:t>
      </w:r>
      <w:r>
        <w:tab/>
      </w:r>
      <w:r>
        <w:fldChar w:fldCharType="begin"/>
      </w:r>
      <w:r>
        <w:instrText xml:space="preserve"> PAGEREF _Toc12326 \h </w:instrText>
      </w:r>
      <w:r>
        <w:fldChar w:fldCharType="separate"/>
      </w:r>
      <w:r>
        <w:t>- 35 -</w:t>
      </w:r>
      <w:r>
        <w:fldChar w:fldCharType="end"/>
      </w:r>
      <w:r>
        <w:rPr>
          <w:rFonts w:hint="eastAsia" w:ascii="仿宋" w:hAnsi="仿宋" w:eastAsia="仿宋" w:cs="仿宋"/>
          <w:bCs/>
          <w:color w:val="auto"/>
          <w:szCs w:val="28"/>
          <w:highlight w:val="none"/>
        </w:rPr>
        <w:fldChar w:fldCharType="end"/>
      </w:r>
    </w:p>
    <w:p w14:paraId="2DDA9A4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_Toc8676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6.3应急预案演练</w:t>
      </w:r>
      <w:r>
        <w:tab/>
      </w:r>
      <w:r>
        <w:fldChar w:fldCharType="begin"/>
      </w:r>
      <w:r>
        <w:instrText xml:space="preserve"> PAGEREF _Toc8676 \h </w:instrText>
      </w:r>
      <w:r>
        <w:fldChar w:fldCharType="separate"/>
      </w:r>
      <w:r>
        <w:t>- 35 -</w:t>
      </w:r>
      <w:r>
        <w:fldChar w:fldCharType="end"/>
      </w:r>
      <w:r>
        <w:rPr>
          <w:rFonts w:hint="eastAsia" w:ascii="仿宋" w:hAnsi="仿宋" w:eastAsia="仿宋" w:cs="仿宋"/>
          <w:bCs/>
          <w:color w:val="auto"/>
          <w:szCs w:val="28"/>
          <w:highlight w:val="none"/>
        </w:rPr>
        <w:fldChar w:fldCharType="end"/>
      </w:r>
    </w:p>
    <w:p w14:paraId="4E0FF1C0">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_Toc5145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6.4 应急预案评估</w:t>
      </w:r>
      <w:r>
        <w:tab/>
      </w:r>
      <w:r>
        <w:fldChar w:fldCharType="begin"/>
      </w:r>
      <w:r>
        <w:instrText xml:space="preserve"> PAGEREF _Toc5145 \h </w:instrText>
      </w:r>
      <w:r>
        <w:fldChar w:fldCharType="separate"/>
      </w:r>
      <w:r>
        <w:t>- 36 -</w:t>
      </w:r>
      <w:r>
        <w:fldChar w:fldCharType="end"/>
      </w:r>
      <w:r>
        <w:rPr>
          <w:rFonts w:hint="eastAsia" w:ascii="仿宋" w:hAnsi="仿宋" w:eastAsia="仿宋" w:cs="仿宋"/>
          <w:bCs/>
          <w:color w:val="auto"/>
          <w:szCs w:val="28"/>
          <w:highlight w:val="none"/>
        </w:rPr>
        <w:fldChar w:fldCharType="end"/>
      </w:r>
    </w:p>
    <w:p w14:paraId="770B7050">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_Toc2653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6.5 应急预案修订</w:t>
      </w:r>
      <w:r>
        <w:tab/>
      </w:r>
      <w:r>
        <w:fldChar w:fldCharType="begin"/>
      </w:r>
      <w:r>
        <w:instrText xml:space="preserve"> PAGEREF _Toc2653 \h </w:instrText>
      </w:r>
      <w:r>
        <w:fldChar w:fldCharType="separate"/>
      </w:r>
      <w:r>
        <w:t>- 36 -</w:t>
      </w:r>
      <w:r>
        <w:fldChar w:fldCharType="end"/>
      </w:r>
      <w:r>
        <w:rPr>
          <w:rFonts w:hint="eastAsia" w:ascii="仿宋" w:hAnsi="仿宋" w:eastAsia="仿宋" w:cs="仿宋"/>
          <w:bCs/>
          <w:color w:val="auto"/>
          <w:szCs w:val="28"/>
          <w:highlight w:val="none"/>
        </w:rPr>
        <w:fldChar w:fldCharType="end"/>
      </w:r>
    </w:p>
    <w:p w14:paraId="3BB03982">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_Toc5975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6.6 应急预案实施</w:t>
      </w:r>
      <w:r>
        <w:tab/>
      </w:r>
      <w:r>
        <w:fldChar w:fldCharType="begin"/>
      </w:r>
      <w:r>
        <w:instrText xml:space="preserve"> PAGEREF _Toc5975 \h </w:instrText>
      </w:r>
      <w:r>
        <w:fldChar w:fldCharType="separate"/>
      </w:r>
      <w:r>
        <w:t>- 36 -</w:t>
      </w:r>
      <w:r>
        <w:fldChar w:fldCharType="end"/>
      </w:r>
      <w:r>
        <w:rPr>
          <w:rFonts w:hint="eastAsia" w:ascii="仿宋" w:hAnsi="仿宋" w:eastAsia="仿宋" w:cs="仿宋"/>
          <w:bCs/>
          <w:color w:val="auto"/>
          <w:szCs w:val="28"/>
          <w:highlight w:val="none"/>
        </w:rPr>
        <w:fldChar w:fldCharType="end"/>
      </w:r>
    </w:p>
    <w:p w14:paraId="7E95EA43">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_Toc24004 </w:instrText>
      </w:r>
      <w:r>
        <w:rPr>
          <w:rFonts w:hint="eastAsia" w:ascii="仿宋" w:hAnsi="仿宋" w:eastAsia="仿宋" w:cs="仿宋"/>
          <w:bCs/>
          <w:szCs w:val="28"/>
          <w:highlight w:val="none"/>
        </w:rPr>
        <w:fldChar w:fldCharType="separate"/>
      </w:r>
      <w:r>
        <w:rPr>
          <w:rFonts w:hint="eastAsia" w:ascii="方正小标宋简体" w:hAnsi="方正小标宋简体" w:eastAsia="方正小标宋简体" w:cs="方正小标宋简体"/>
          <w:kern w:val="0"/>
          <w:szCs w:val="52"/>
          <w:highlight w:val="none"/>
        </w:rPr>
        <w:t>第二部分 专项应急预案</w:t>
      </w:r>
      <w:r>
        <w:tab/>
      </w:r>
      <w:r>
        <w:fldChar w:fldCharType="begin"/>
      </w:r>
      <w:r>
        <w:instrText xml:space="preserve"> PAGEREF _Toc24004 \h </w:instrText>
      </w:r>
      <w:r>
        <w:fldChar w:fldCharType="separate"/>
      </w:r>
      <w:r>
        <w:t>- 37 -</w:t>
      </w:r>
      <w:r>
        <w:fldChar w:fldCharType="end"/>
      </w:r>
      <w:r>
        <w:rPr>
          <w:rFonts w:hint="eastAsia" w:ascii="仿宋" w:hAnsi="仿宋" w:eastAsia="仿宋" w:cs="仿宋"/>
          <w:bCs/>
          <w:color w:val="auto"/>
          <w:szCs w:val="28"/>
          <w:highlight w:val="none"/>
        </w:rPr>
        <w:fldChar w:fldCharType="end"/>
      </w:r>
    </w:p>
    <w:p w14:paraId="5A8B9E3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_Toc19553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1 </w:t>
      </w:r>
      <w:r>
        <w:rPr>
          <w:rFonts w:hint="eastAsia" w:ascii="黑体" w:hAnsi="黑体" w:eastAsia="黑体" w:cs="黑体"/>
          <w:szCs w:val="30"/>
          <w:highlight w:val="none"/>
          <w:lang w:val="en-US" w:eastAsia="zh-CN"/>
        </w:rPr>
        <w:t>瓦斯</w:t>
      </w:r>
      <w:r>
        <w:rPr>
          <w:rFonts w:hint="eastAsia" w:ascii="黑体" w:hAnsi="黑体" w:eastAsia="黑体" w:cs="黑体"/>
          <w:szCs w:val="30"/>
          <w:highlight w:val="none"/>
        </w:rPr>
        <w:t>事故专项应急预案</w:t>
      </w:r>
      <w:r>
        <w:tab/>
      </w:r>
      <w:r>
        <w:fldChar w:fldCharType="begin"/>
      </w:r>
      <w:r>
        <w:instrText xml:space="preserve"> PAGEREF _Toc19553 \h </w:instrText>
      </w:r>
      <w:r>
        <w:fldChar w:fldCharType="separate"/>
      </w:r>
      <w:r>
        <w:t>- 37 -</w:t>
      </w:r>
      <w:r>
        <w:fldChar w:fldCharType="end"/>
      </w:r>
      <w:r>
        <w:rPr>
          <w:rFonts w:hint="eastAsia" w:ascii="仿宋" w:hAnsi="仿宋" w:eastAsia="仿宋" w:cs="仿宋"/>
          <w:bCs/>
          <w:color w:val="auto"/>
          <w:szCs w:val="28"/>
          <w:highlight w:val="none"/>
        </w:rPr>
        <w:fldChar w:fldCharType="end"/>
      </w:r>
    </w:p>
    <w:p w14:paraId="3C31F902">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_Toc23826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1.1 适用范围</w:t>
      </w:r>
      <w:r>
        <w:tab/>
      </w:r>
      <w:r>
        <w:fldChar w:fldCharType="begin"/>
      </w:r>
      <w:r>
        <w:instrText xml:space="preserve"> PAGEREF _Toc23826 \h </w:instrText>
      </w:r>
      <w:r>
        <w:fldChar w:fldCharType="separate"/>
      </w:r>
      <w:r>
        <w:t>- 37 -</w:t>
      </w:r>
      <w:r>
        <w:fldChar w:fldCharType="end"/>
      </w:r>
      <w:r>
        <w:rPr>
          <w:rFonts w:hint="eastAsia" w:ascii="仿宋" w:hAnsi="仿宋" w:eastAsia="仿宋" w:cs="仿宋"/>
          <w:bCs/>
          <w:color w:val="auto"/>
          <w:szCs w:val="28"/>
          <w:highlight w:val="none"/>
        </w:rPr>
        <w:fldChar w:fldCharType="end"/>
      </w:r>
    </w:p>
    <w:p w14:paraId="64FD090A">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_Toc28376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1.2 应急组织机构及职责</w:t>
      </w:r>
      <w:r>
        <w:tab/>
      </w:r>
      <w:r>
        <w:fldChar w:fldCharType="begin"/>
      </w:r>
      <w:r>
        <w:instrText xml:space="preserve"> PAGEREF _Toc28376 \h </w:instrText>
      </w:r>
      <w:r>
        <w:fldChar w:fldCharType="separate"/>
      </w:r>
      <w:r>
        <w:t>- 37 -</w:t>
      </w:r>
      <w:r>
        <w:fldChar w:fldCharType="end"/>
      </w:r>
      <w:r>
        <w:rPr>
          <w:rFonts w:hint="eastAsia" w:ascii="仿宋" w:hAnsi="仿宋" w:eastAsia="仿宋" w:cs="仿宋"/>
          <w:bCs/>
          <w:color w:val="auto"/>
          <w:szCs w:val="28"/>
          <w:highlight w:val="none"/>
        </w:rPr>
        <w:fldChar w:fldCharType="end"/>
      </w:r>
    </w:p>
    <w:p w14:paraId="5A40E95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_Toc8617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1.3 响应启动</w:t>
      </w:r>
      <w:r>
        <w:tab/>
      </w:r>
      <w:r>
        <w:fldChar w:fldCharType="begin"/>
      </w:r>
      <w:r>
        <w:instrText xml:space="preserve"> PAGEREF _Toc8617 \h </w:instrText>
      </w:r>
      <w:r>
        <w:fldChar w:fldCharType="separate"/>
      </w:r>
      <w:r>
        <w:t>- 37 -</w:t>
      </w:r>
      <w:r>
        <w:fldChar w:fldCharType="end"/>
      </w:r>
      <w:r>
        <w:rPr>
          <w:rFonts w:hint="eastAsia" w:ascii="仿宋" w:hAnsi="仿宋" w:eastAsia="仿宋" w:cs="仿宋"/>
          <w:bCs/>
          <w:color w:val="auto"/>
          <w:szCs w:val="28"/>
          <w:highlight w:val="none"/>
        </w:rPr>
        <w:fldChar w:fldCharType="end"/>
      </w:r>
    </w:p>
    <w:p w14:paraId="2D246A5D">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_Toc30136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1.4 处置措施</w:t>
      </w:r>
      <w:r>
        <w:tab/>
      </w:r>
      <w:r>
        <w:fldChar w:fldCharType="begin"/>
      </w:r>
      <w:r>
        <w:instrText xml:space="preserve"> PAGEREF _Toc30136 \h </w:instrText>
      </w:r>
      <w:r>
        <w:fldChar w:fldCharType="separate"/>
      </w:r>
      <w:r>
        <w:t>- 39 -</w:t>
      </w:r>
      <w:r>
        <w:fldChar w:fldCharType="end"/>
      </w:r>
      <w:r>
        <w:rPr>
          <w:rFonts w:hint="eastAsia" w:ascii="仿宋" w:hAnsi="仿宋" w:eastAsia="仿宋" w:cs="仿宋"/>
          <w:bCs/>
          <w:color w:val="auto"/>
          <w:szCs w:val="28"/>
          <w:highlight w:val="none"/>
        </w:rPr>
        <w:fldChar w:fldCharType="end"/>
      </w:r>
    </w:p>
    <w:p w14:paraId="72E4B736">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_Toc1332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1.5 应急保障</w:t>
      </w:r>
      <w:r>
        <w:tab/>
      </w:r>
      <w:r>
        <w:fldChar w:fldCharType="begin"/>
      </w:r>
      <w:r>
        <w:instrText xml:space="preserve"> PAGEREF _Toc1332 \h </w:instrText>
      </w:r>
      <w:r>
        <w:fldChar w:fldCharType="separate"/>
      </w:r>
      <w:r>
        <w:t>- 47 -</w:t>
      </w:r>
      <w:r>
        <w:fldChar w:fldCharType="end"/>
      </w:r>
      <w:r>
        <w:rPr>
          <w:rFonts w:hint="eastAsia" w:ascii="仿宋" w:hAnsi="仿宋" w:eastAsia="仿宋" w:cs="仿宋"/>
          <w:bCs/>
          <w:color w:val="auto"/>
          <w:szCs w:val="28"/>
          <w:highlight w:val="none"/>
        </w:rPr>
        <w:fldChar w:fldCharType="end"/>
      </w:r>
    </w:p>
    <w:p w14:paraId="0578091D">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_Toc54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2 煤尘爆炸事故专项应急预案</w:t>
      </w:r>
      <w:r>
        <w:tab/>
      </w:r>
      <w:r>
        <w:fldChar w:fldCharType="begin"/>
      </w:r>
      <w:r>
        <w:instrText xml:space="preserve"> PAGEREF _Toc54 \h </w:instrText>
      </w:r>
      <w:r>
        <w:fldChar w:fldCharType="separate"/>
      </w:r>
      <w:r>
        <w:t>- 49 -</w:t>
      </w:r>
      <w:r>
        <w:fldChar w:fldCharType="end"/>
      </w:r>
      <w:r>
        <w:rPr>
          <w:rFonts w:hint="eastAsia" w:ascii="仿宋" w:hAnsi="仿宋" w:eastAsia="仿宋" w:cs="仿宋"/>
          <w:bCs/>
          <w:color w:val="auto"/>
          <w:szCs w:val="28"/>
          <w:highlight w:val="none"/>
        </w:rPr>
        <w:fldChar w:fldCharType="end"/>
      </w:r>
    </w:p>
    <w:p w14:paraId="046BEB2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_Toc28027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2.1 适用范围</w:t>
      </w:r>
      <w:r>
        <w:tab/>
      </w:r>
      <w:r>
        <w:fldChar w:fldCharType="begin"/>
      </w:r>
      <w:r>
        <w:instrText xml:space="preserve"> PAGEREF _Toc28027 \h </w:instrText>
      </w:r>
      <w:r>
        <w:fldChar w:fldCharType="separate"/>
      </w:r>
      <w:r>
        <w:t>- 49 -</w:t>
      </w:r>
      <w:r>
        <w:fldChar w:fldCharType="end"/>
      </w:r>
      <w:r>
        <w:rPr>
          <w:rFonts w:hint="eastAsia" w:ascii="仿宋" w:hAnsi="仿宋" w:eastAsia="仿宋" w:cs="仿宋"/>
          <w:bCs/>
          <w:color w:val="auto"/>
          <w:szCs w:val="28"/>
          <w:highlight w:val="none"/>
        </w:rPr>
        <w:fldChar w:fldCharType="end"/>
      </w:r>
    </w:p>
    <w:p w14:paraId="4A10D873">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_Toc15036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2.2 应急组织机构及职责</w:t>
      </w:r>
      <w:r>
        <w:tab/>
      </w:r>
      <w:r>
        <w:fldChar w:fldCharType="begin"/>
      </w:r>
      <w:r>
        <w:instrText xml:space="preserve"> PAGEREF _Toc15036 \h </w:instrText>
      </w:r>
      <w:r>
        <w:fldChar w:fldCharType="separate"/>
      </w:r>
      <w:r>
        <w:t>- 49 -</w:t>
      </w:r>
      <w:r>
        <w:fldChar w:fldCharType="end"/>
      </w:r>
      <w:r>
        <w:rPr>
          <w:rFonts w:hint="eastAsia" w:ascii="仿宋" w:hAnsi="仿宋" w:eastAsia="仿宋" w:cs="仿宋"/>
          <w:bCs/>
          <w:color w:val="auto"/>
          <w:szCs w:val="28"/>
          <w:highlight w:val="none"/>
        </w:rPr>
        <w:fldChar w:fldCharType="end"/>
      </w:r>
    </w:p>
    <w:p w14:paraId="6FC094E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_Toc17406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2.3 响应启动</w:t>
      </w:r>
      <w:r>
        <w:tab/>
      </w:r>
      <w:r>
        <w:fldChar w:fldCharType="begin"/>
      </w:r>
      <w:r>
        <w:instrText xml:space="preserve"> PAGEREF _Toc17406 \h </w:instrText>
      </w:r>
      <w:r>
        <w:fldChar w:fldCharType="separate"/>
      </w:r>
      <w:r>
        <w:t>- 49 -</w:t>
      </w:r>
      <w:r>
        <w:fldChar w:fldCharType="end"/>
      </w:r>
      <w:r>
        <w:rPr>
          <w:rFonts w:hint="eastAsia" w:ascii="仿宋" w:hAnsi="仿宋" w:eastAsia="仿宋" w:cs="仿宋"/>
          <w:bCs/>
          <w:color w:val="auto"/>
          <w:szCs w:val="28"/>
          <w:highlight w:val="none"/>
        </w:rPr>
        <w:fldChar w:fldCharType="end"/>
      </w:r>
    </w:p>
    <w:p w14:paraId="79427906">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_Toc1176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2.4 处置措施</w:t>
      </w:r>
      <w:r>
        <w:tab/>
      </w:r>
      <w:r>
        <w:fldChar w:fldCharType="begin"/>
      </w:r>
      <w:r>
        <w:instrText xml:space="preserve"> PAGEREF _Toc1176 \h </w:instrText>
      </w:r>
      <w:r>
        <w:fldChar w:fldCharType="separate"/>
      </w:r>
      <w:r>
        <w:t>- 51 -</w:t>
      </w:r>
      <w:r>
        <w:fldChar w:fldCharType="end"/>
      </w:r>
      <w:r>
        <w:rPr>
          <w:rFonts w:hint="eastAsia" w:ascii="仿宋" w:hAnsi="仿宋" w:eastAsia="仿宋" w:cs="仿宋"/>
          <w:bCs/>
          <w:color w:val="auto"/>
          <w:szCs w:val="28"/>
          <w:highlight w:val="none"/>
        </w:rPr>
        <w:fldChar w:fldCharType="end"/>
      </w:r>
    </w:p>
    <w:p w14:paraId="689C7F3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_Toc24409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2.5 应急保障</w:t>
      </w:r>
      <w:r>
        <w:tab/>
      </w:r>
      <w:r>
        <w:fldChar w:fldCharType="begin"/>
      </w:r>
      <w:r>
        <w:instrText xml:space="preserve"> PAGEREF _Toc24409 \h </w:instrText>
      </w:r>
      <w:r>
        <w:fldChar w:fldCharType="separate"/>
      </w:r>
      <w:r>
        <w:t>- 54 -</w:t>
      </w:r>
      <w:r>
        <w:fldChar w:fldCharType="end"/>
      </w:r>
      <w:r>
        <w:rPr>
          <w:rFonts w:hint="eastAsia" w:ascii="仿宋" w:hAnsi="仿宋" w:eastAsia="仿宋" w:cs="仿宋"/>
          <w:bCs/>
          <w:color w:val="auto"/>
          <w:szCs w:val="28"/>
          <w:highlight w:val="none"/>
        </w:rPr>
        <w:fldChar w:fldCharType="end"/>
      </w:r>
    </w:p>
    <w:p w14:paraId="6CEF693A">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_Toc9306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3 </w:t>
      </w:r>
      <w:r>
        <w:rPr>
          <w:rFonts w:hint="eastAsia" w:ascii="黑体" w:hAnsi="黑体" w:eastAsia="黑体" w:cs="黑体"/>
          <w:szCs w:val="30"/>
          <w:highlight w:val="none"/>
          <w:lang w:val="en-US" w:eastAsia="zh-CN"/>
        </w:rPr>
        <w:t>矿井</w:t>
      </w:r>
      <w:r>
        <w:rPr>
          <w:rFonts w:hint="eastAsia" w:ascii="黑体" w:hAnsi="黑体" w:eastAsia="黑体" w:cs="黑体"/>
          <w:szCs w:val="30"/>
          <w:highlight w:val="none"/>
        </w:rPr>
        <w:t>火灾事故专项应急预案</w:t>
      </w:r>
      <w:r>
        <w:tab/>
      </w:r>
      <w:r>
        <w:fldChar w:fldCharType="begin"/>
      </w:r>
      <w:r>
        <w:instrText xml:space="preserve"> PAGEREF _Toc9306 \h </w:instrText>
      </w:r>
      <w:r>
        <w:fldChar w:fldCharType="separate"/>
      </w:r>
      <w:r>
        <w:t>- 56 -</w:t>
      </w:r>
      <w:r>
        <w:fldChar w:fldCharType="end"/>
      </w:r>
      <w:r>
        <w:rPr>
          <w:rFonts w:hint="eastAsia" w:ascii="仿宋" w:hAnsi="仿宋" w:eastAsia="仿宋" w:cs="仿宋"/>
          <w:bCs/>
          <w:color w:val="auto"/>
          <w:szCs w:val="28"/>
          <w:highlight w:val="none"/>
        </w:rPr>
        <w:fldChar w:fldCharType="end"/>
      </w:r>
    </w:p>
    <w:p w14:paraId="66AB47C5">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_Toc5301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3.1 适用范围</w:t>
      </w:r>
      <w:r>
        <w:tab/>
      </w:r>
      <w:r>
        <w:fldChar w:fldCharType="begin"/>
      </w:r>
      <w:r>
        <w:instrText xml:space="preserve"> PAGEREF _Toc5301 \h </w:instrText>
      </w:r>
      <w:r>
        <w:fldChar w:fldCharType="separate"/>
      </w:r>
      <w:r>
        <w:t>- 56 -</w:t>
      </w:r>
      <w:r>
        <w:fldChar w:fldCharType="end"/>
      </w:r>
      <w:r>
        <w:rPr>
          <w:rFonts w:hint="eastAsia" w:ascii="仿宋" w:hAnsi="仿宋" w:eastAsia="仿宋" w:cs="仿宋"/>
          <w:bCs/>
          <w:color w:val="auto"/>
          <w:szCs w:val="28"/>
          <w:highlight w:val="none"/>
        </w:rPr>
        <w:fldChar w:fldCharType="end"/>
      </w:r>
    </w:p>
    <w:p w14:paraId="1EADA2A0">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_Toc2044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3.2 应急组织机构及职责</w:t>
      </w:r>
      <w:r>
        <w:tab/>
      </w:r>
      <w:r>
        <w:fldChar w:fldCharType="begin"/>
      </w:r>
      <w:r>
        <w:instrText xml:space="preserve"> PAGEREF _Toc2044 \h </w:instrText>
      </w:r>
      <w:r>
        <w:fldChar w:fldCharType="separate"/>
      </w:r>
      <w:r>
        <w:t>- 56 -</w:t>
      </w:r>
      <w:r>
        <w:fldChar w:fldCharType="end"/>
      </w:r>
      <w:r>
        <w:rPr>
          <w:rFonts w:hint="eastAsia" w:ascii="仿宋" w:hAnsi="仿宋" w:eastAsia="仿宋" w:cs="仿宋"/>
          <w:bCs/>
          <w:color w:val="auto"/>
          <w:szCs w:val="28"/>
          <w:highlight w:val="none"/>
        </w:rPr>
        <w:fldChar w:fldCharType="end"/>
      </w:r>
    </w:p>
    <w:p w14:paraId="68771A6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_Toc6611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3.3 响应启动</w:t>
      </w:r>
      <w:r>
        <w:tab/>
      </w:r>
      <w:r>
        <w:fldChar w:fldCharType="begin"/>
      </w:r>
      <w:r>
        <w:instrText xml:space="preserve"> PAGEREF _Toc6611 \h </w:instrText>
      </w:r>
      <w:r>
        <w:fldChar w:fldCharType="separate"/>
      </w:r>
      <w:r>
        <w:t>- 56 -</w:t>
      </w:r>
      <w:r>
        <w:fldChar w:fldCharType="end"/>
      </w:r>
      <w:r>
        <w:rPr>
          <w:rFonts w:hint="eastAsia" w:ascii="仿宋" w:hAnsi="仿宋" w:eastAsia="仿宋" w:cs="仿宋"/>
          <w:bCs/>
          <w:color w:val="auto"/>
          <w:szCs w:val="28"/>
          <w:highlight w:val="none"/>
        </w:rPr>
        <w:fldChar w:fldCharType="end"/>
      </w:r>
    </w:p>
    <w:p w14:paraId="2141DBD6">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_Toc14135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w:t>
      </w:r>
      <w:r>
        <w:rPr>
          <w:rFonts w:ascii="楷体_GB2312" w:hAnsi="楷体_GB2312" w:eastAsia="楷体_GB2312" w:cs="楷体_GB2312"/>
          <w:bCs/>
          <w:szCs w:val="30"/>
          <w:highlight w:val="none"/>
        </w:rPr>
        <w:t>4 处置措施</w:t>
      </w:r>
      <w:r>
        <w:tab/>
      </w:r>
      <w:r>
        <w:fldChar w:fldCharType="begin"/>
      </w:r>
      <w:r>
        <w:instrText xml:space="preserve"> PAGEREF _Toc14135 \h </w:instrText>
      </w:r>
      <w:r>
        <w:fldChar w:fldCharType="separate"/>
      </w:r>
      <w:r>
        <w:t>- 57 -</w:t>
      </w:r>
      <w:r>
        <w:fldChar w:fldCharType="end"/>
      </w:r>
      <w:r>
        <w:rPr>
          <w:rFonts w:hint="eastAsia" w:ascii="仿宋" w:hAnsi="仿宋" w:eastAsia="仿宋" w:cs="仿宋"/>
          <w:bCs/>
          <w:color w:val="auto"/>
          <w:szCs w:val="28"/>
          <w:highlight w:val="none"/>
        </w:rPr>
        <w:fldChar w:fldCharType="end"/>
      </w:r>
    </w:p>
    <w:p w14:paraId="73CDBC03">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_Toc25726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3.5 应急保障</w:t>
      </w:r>
      <w:r>
        <w:tab/>
      </w:r>
      <w:r>
        <w:fldChar w:fldCharType="begin"/>
      </w:r>
      <w:r>
        <w:instrText xml:space="preserve"> PAGEREF _Toc25726 \h </w:instrText>
      </w:r>
      <w:r>
        <w:fldChar w:fldCharType="separate"/>
      </w:r>
      <w:r>
        <w:t>- 66 -</w:t>
      </w:r>
      <w:r>
        <w:fldChar w:fldCharType="end"/>
      </w:r>
      <w:r>
        <w:rPr>
          <w:rFonts w:hint="eastAsia" w:ascii="仿宋" w:hAnsi="仿宋" w:eastAsia="仿宋" w:cs="仿宋"/>
          <w:bCs/>
          <w:color w:val="auto"/>
          <w:szCs w:val="28"/>
          <w:highlight w:val="none"/>
        </w:rPr>
        <w:fldChar w:fldCharType="end"/>
      </w:r>
    </w:p>
    <w:p w14:paraId="78B05545">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_Toc4547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4 水害事故专项应急预案</w:t>
      </w:r>
      <w:r>
        <w:tab/>
      </w:r>
      <w:r>
        <w:fldChar w:fldCharType="begin"/>
      </w:r>
      <w:r>
        <w:instrText xml:space="preserve"> PAGEREF _Toc4547 \h </w:instrText>
      </w:r>
      <w:r>
        <w:fldChar w:fldCharType="separate"/>
      </w:r>
      <w:r>
        <w:t>- 68 -</w:t>
      </w:r>
      <w:r>
        <w:fldChar w:fldCharType="end"/>
      </w:r>
      <w:r>
        <w:rPr>
          <w:rFonts w:hint="eastAsia" w:ascii="仿宋" w:hAnsi="仿宋" w:eastAsia="仿宋" w:cs="仿宋"/>
          <w:bCs/>
          <w:color w:val="auto"/>
          <w:szCs w:val="28"/>
          <w:highlight w:val="none"/>
        </w:rPr>
        <w:fldChar w:fldCharType="end"/>
      </w:r>
    </w:p>
    <w:p w14:paraId="0E3FD3C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_Toc23130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4.1 适用范围</w:t>
      </w:r>
      <w:r>
        <w:tab/>
      </w:r>
      <w:r>
        <w:fldChar w:fldCharType="begin"/>
      </w:r>
      <w:r>
        <w:instrText xml:space="preserve"> PAGEREF _Toc23130 \h </w:instrText>
      </w:r>
      <w:r>
        <w:fldChar w:fldCharType="separate"/>
      </w:r>
      <w:r>
        <w:t>- 68 -</w:t>
      </w:r>
      <w:r>
        <w:fldChar w:fldCharType="end"/>
      </w:r>
      <w:r>
        <w:rPr>
          <w:rFonts w:hint="eastAsia" w:ascii="仿宋" w:hAnsi="仿宋" w:eastAsia="仿宋" w:cs="仿宋"/>
          <w:bCs/>
          <w:color w:val="auto"/>
          <w:szCs w:val="28"/>
          <w:highlight w:val="none"/>
        </w:rPr>
        <w:fldChar w:fldCharType="end"/>
      </w:r>
    </w:p>
    <w:p w14:paraId="7A3CDD4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_Toc79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4.2 应急组织机构及职责</w:t>
      </w:r>
      <w:r>
        <w:tab/>
      </w:r>
      <w:r>
        <w:fldChar w:fldCharType="begin"/>
      </w:r>
      <w:r>
        <w:instrText xml:space="preserve"> PAGEREF _Toc79 \h </w:instrText>
      </w:r>
      <w:r>
        <w:fldChar w:fldCharType="separate"/>
      </w:r>
      <w:r>
        <w:t>- 68 -</w:t>
      </w:r>
      <w:r>
        <w:fldChar w:fldCharType="end"/>
      </w:r>
      <w:r>
        <w:rPr>
          <w:rFonts w:hint="eastAsia" w:ascii="仿宋" w:hAnsi="仿宋" w:eastAsia="仿宋" w:cs="仿宋"/>
          <w:bCs/>
          <w:color w:val="auto"/>
          <w:szCs w:val="28"/>
          <w:highlight w:val="none"/>
        </w:rPr>
        <w:fldChar w:fldCharType="end"/>
      </w:r>
    </w:p>
    <w:p w14:paraId="13A2F57C">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_Toc31858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4.3 响应启动</w:t>
      </w:r>
      <w:r>
        <w:tab/>
      </w:r>
      <w:r>
        <w:fldChar w:fldCharType="begin"/>
      </w:r>
      <w:r>
        <w:instrText xml:space="preserve"> PAGEREF _Toc31858 \h </w:instrText>
      </w:r>
      <w:r>
        <w:fldChar w:fldCharType="separate"/>
      </w:r>
      <w:r>
        <w:t>- 68 -</w:t>
      </w:r>
      <w:r>
        <w:fldChar w:fldCharType="end"/>
      </w:r>
      <w:r>
        <w:rPr>
          <w:rFonts w:hint="eastAsia" w:ascii="仿宋" w:hAnsi="仿宋" w:eastAsia="仿宋" w:cs="仿宋"/>
          <w:bCs/>
          <w:color w:val="auto"/>
          <w:szCs w:val="28"/>
          <w:highlight w:val="none"/>
        </w:rPr>
        <w:fldChar w:fldCharType="end"/>
      </w:r>
    </w:p>
    <w:p w14:paraId="7D8AF7F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_Toc13936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w:t>
      </w:r>
      <w:r>
        <w:rPr>
          <w:rFonts w:ascii="楷体_GB2312" w:hAnsi="楷体_GB2312" w:eastAsia="楷体_GB2312" w:cs="楷体_GB2312"/>
          <w:bCs/>
          <w:szCs w:val="30"/>
          <w:highlight w:val="none"/>
        </w:rPr>
        <w:t>4 处置措施</w:t>
      </w:r>
      <w:r>
        <w:tab/>
      </w:r>
      <w:r>
        <w:fldChar w:fldCharType="begin"/>
      </w:r>
      <w:r>
        <w:instrText xml:space="preserve"> PAGEREF _Toc13936 \h </w:instrText>
      </w:r>
      <w:r>
        <w:fldChar w:fldCharType="separate"/>
      </w:r>
      <w:r>
        <w:t>- 69 -</w:t>
      </w:r>
      <w:r>
        <w:fldChar w:fldCharType="end"/>
      </w:r>
      <w:r>
        <w:rPr>
          <w:rFonts w:hint="eastAsia" w:ascii="仿宋" w:hAnsi="仿宋" w:eastAsia="仿宋" w:cs="仿宋"/>
          <w:bCs/>
          <w:color w:val="auto"/>
          <w:szCs w:val="28"/>
          <w:highlight w:val="none"/>
        </w:rPr>
        <w:fldChar w:fldCharType="end"/>
      </w:r>
    </w:p>
    <w:p w14:paraId="5D41206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_Toc21492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4.5 应急保障</w:t>
      </w:r>
      <w:r>
        <w:tab/>
      </w:r>
      <w:r>
        <w:fldChar w:fldCharType="begin"/>
      </w:r>
      <w:r>
        <w:instrText xml:space="preserve"> PAGEREF _Toc21492 \h </w:instrText>
      </w:r>
      <w:r>
        <w:fldChar w:fldCharType="separate"/>
      </w:r>
      <w:r>
        <w:t>- 72 -</w:t>
      </w:r>
      <w:r>
        <w:fldChar w:fldCharType="end"/>
      </w:r>
      <w:r>
        <w:rPr>
          <w:rFonts w:hint="eastAsia" w:ascii="仿宋" w:hAnsi="仿宋" w:eastAsia="仿宋" w:cs="仿宋"/>
          <w:bCs/>
          <w:color w:val="auto"/>
          <w:szCs w:val="28"/>
          <w:highlight w:val="none"/>
        </w:rPr>
        <w:fldChar w:fldCharType="end"/>
      </w:r>
    </w:p>
    <w:p w14:paraId="31841306">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_Toc21725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5 顶板事故专项应急预案</w:t>
      </w:r>
      <w:r>
        <w:tab/>
      </w:r>
      <w:r>
        <w:fldChar w:fldCharType="begin"/>
      </w:r>
      <w:r>
        <w:instrText xml:space="preserve"> PAGEREF _Toc21725 \h </w:instrText>
      </w:r>
      <w:r>
        <w:fldChar w:fldCharType="separate"/>
      </w:r>
      <w:r>
        <w:t>- 74 -</w:t>
      </w:r>
      <w:r>
        <w:fldChar w:fldCharType="end"/>
      </w:r>
      <w:r>
        <w:rPr>
          <w:rFonts w:hint="eastAsia" w:ascii="仿宋" w:hAnsi="仿宋" w:eastAsia="仿宋" w:cs="仿宋"/>
          <w:bCs/>
          <w:color w:val="auto"/>
          <w:szCs w:val="28"/>
          <w:highlight w:val="none"/>
        </w:rPr>
        <w:fldChar w:fldCharType="end"/>
      </w:r>
    </w:p>
    <w:p w14:paraId="2491B5FA">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_Toc20980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5.1 适用范围</w:t>
      </w:r>
      <w:r>
        <w:tab/>
      </w:r>
      <w:r>
        <w:fldChar w:fldCharType="begin"/>
      </w:r>
      <w:r>
        <w:instrText xml:space="preserve"> PAGEREF _Toc20980 \h </w:instrText>
      </w:r>
      <w:r>
        <w:fldChar w:fldCharType="separate"/>
      </w:r>
      <w:r>
        <w:t>- 74 -</w:t>
      </w:r>
      <w:r>
        <w:fldChar w:fldCharType="end"/>
      </w:r>
      <w:r>
        <w:rPr>
          <w:rFonts w:hint="eastAsia" w:ascii="仿宋" w:hAnsi="仿宋" w:eastAsia="仿宋" w:cs="仿宋"/>
          <w:bCs/>
          <w:color w:val="auto"/>
          <w:szCs w:val="28"/>
          <w:highlight w:val="none"/>
        </w:rPr>
        <w:fldChar w:fldCharType="end"/>
      </w:r>
    </w:p>
    <w:p w14:paraId="660F9985">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_Toc30381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5.2 应急组织机构及职责</w:t>
      </w:r>
      <w:r>
        <w:tab/>
      </w:r>
      <w:r>
        <w:fldChar w:fldCharType="begin"/>
      </w:r>
      <w:r>
        <w:instrText xml:space="preserve"> PAGEREF _Toc30381 \h </w:instrText>
      </w:r>
      <w:r>
        <w:fldChar w:fldCharType="separate"/>
      </w:r>
      <w:r>
        <w:t>- 74 -</w:t>
      </w:r>
      <w:r>
        <w:fldChar w:fldCharType="end"/>
      </w:r>
      <w:r>
        <w:rPr>
          <w:rFonts w:hint="eastAsia" w:ascii="仿宋" w:hAnsi="仿宋" w:eastAsia="仿宋" w:cs="仿宋"/>
          <w:bCs/>
          <w:color w:val="auto"/>
          <w:szCs w:val="28"/>
          <w:highlight w:val="none"/>
        </w:rPr>
        <w:fldChar w:fldCharType="end"/>
      </w:r>
    </w:p>
    <w:p w14:paraId="63984016">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_Toc8757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5.3 响应启动</w:t>
      </w:r>
      <w:r>
        <w:tab/>
      </w:r>
      <w:r>
        <w:fldChar w:fldCharType="begin"/>
      </w:r>
      <w:r>
        <w:instrText xml:space="preserve"> PAGEREF _Toc8757 \h </w:instrText>
      </w:r>
      <w:r>
        <w:fldChar w:fldCharType="separate"/>
      </w:r>
      <w:r>
        <w:t>- 74 -</w:t>
      </w:r>
      <w:r>
        <w:fldChar w:fldCharType="end"/>
      </w:r>
      <w:r>
        <w:rPr>
          <w:rFonts w:hint="eastAsia" w:ascii="仿宋" w:hAnsi="仿宋" w:eastAsia="仿宋" w:cs="仿宋"/>
          <w:bCs/>
          <w:color w:val="auto"/>
          <w:szCs w:val="28"/>
          <w:highlight w:val="none"/>
        </w:rPr>
        <w:fldChar w:fldCharType="end"/>
      </w:r>
    </w:p>
    <w:p w14:paraId="51C08BCD">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_Toc18810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bCs/>
          <w:szCs w:val="30"/>
          <w:highlight w:val="none"/>
        </w:rPr>
        <w:t>5.</w:t>
      </w:r>
      <w:r>
        <w:rPr>
          <w:rFonts w:ascii="楷体_GB2312" w:hAnsi="楷体_GB2312" w:eastAsia="楷体_GB2312" w:cs="楷体_GB2312"/>
          <w:bCs/>
          <w:szCs w:val="30"/>
          <w:highlight w:val="none"/>
        </w:rPr>
        <w:t>4 处置措施</w:t>
      </w:r>
      <w:r>
        <w:tab/>
      </w:r>
      <w:r>
        <w:fldChar w:fldCharType="begin"/>
      </w:r>
      <w:r>
        <w:instrText xml:space="preserve"> PAGEREF _Toc18810 \h </w:instrText>
      </w:r>
      <w:r>
        <w:fldChar w:fldCharType="separate"/>
      </w:r>
      <w:r>
        <w:t>- 75 -</w:t>
      </w:r>
      <w:r>
        <w:fldChar w:fldCharType="end"/>
      </w:r>
      <w:r>
        <w:rPr>
          <w:rFonts w:hint="eastAsia" w:ascii="仿宋" w:hAnsi="仿宋" w:eastAsia="仿宋" w:cs="仿宋"/>
          <w:bCs/>
          <w:color w:val="auto"/>
          <w:szCs w:val="28"/>
          <w:highlight w:val="none"/>
        </w:rPr>
        <w:fldChar w:fldCharType="end"/>
      </w:r>
    </w:p>
    <w:p w14:paraId="0CA5ECF6">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_Toc12610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5.5 应急保障</w:t>
      </w:r>
      <w:r>
        <w:tab/>
      </w:r>
      <w:r>
        <w:fldChar w:fldCharType="begin"/>
      </w:r>
      <w:r>
        <w:instrText xml:space="preserve"> PAGEREF _Toc12610 \h </w:instrText>
      </w:r>
      <w:r>
        <w:fldChar w:fldCharType="separate"/>
      </w:r>
      <w:r>
        <w:t>- 80 -</w:t>
      </w:r>
      <w:r>
        <w:fldChar w:fldCharType="end"/>
      </w:r>
      <w:r>
        <w:rPr>
          <w:rFonts w:hint="eastAsia" w:ascii="仿宋" w:hAnsi="仿宋" w:eastAsia="仿宋" w:cs="仿宋"/>
          <w:bCs/>
          <w:color w:val="auto"/>
          <w:szCs w:val="28"/>
          <w:highlight w:val="none"/>
        </w:rPr>
        <w:fldChar w:fldCharType="end"/>
      </w:r>
    </w:p>
    <w:p w14:paraId="5CF50F30">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_Toc3983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6 冲击地压事故专项应急预案</w:t>
      </w:r>
      <w:r>
        <w:tab/>
      </w:r>
      <w:r>
        <w:fldChar w:fldCharType="begin"/>
      </w:r>
      <w:r>
        <w:instrText xml:space="preserve"> PAGEREF _Toc3983 \h </w:instrText>
      </w:r>
      <w:r>
        <w:fldChar w:fldCharType="separate"/>
      </w:r>
      <w:r>
        <w:t>- 82 -</w:t>
      </w:r>
      <w:r>
        <w:fldChar w:fldCharType="end"/>
      </w:r>
      <w:r>
        <w:rPr>
          <w:rFonts w:hint="eastAsia" w:ascii="仿宋" w:hAnsi="仿宋" w:eastAsia="仿宋" w:cs="仿宋"/>
          <w:bCs/>
          <w:color w:val="auto"/>
          <w:szCs w:val="28"/>
          <w:highlight w:val="none"/>
        </w:rPr>
        <w:fldChar w:fldCharType="end"/>
      </w:r>
    </w:p>
    <w:p w14:paraId="1874BA3E">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_Toc26730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6.1 适用范围</w:t>
      </w:r>
      <w:r>
        <w:tab/>
      </w:r>
      <w:r>
        <w:fldChar w:fldCharType="begin"/>
      </w:r>
      <w:r>
        <w:instrText xml:space="preserve"> PAGEREF _Toc26730 \h </w:instrText>
      </w:r>
      <w:r>
        <w:fldChar w:fldCharType="separate"/>
      </w:r>
      <w:r>
        <w:t>- 82 -</w:t>
      </w:r>
      <w:r>
        <w:fldChar w:fldCharType="end"/>
      </w:r>
      <w:r>
        <w:rPr>
          <w:rFonts w:hint="eastAsia" w:ascii="仿宋" w:hAnsi="仿宋" w:eastAsia="仿宋" w:cs="仿宋"/>
          <w:bCs/>
          <w:color w:val="auto"/>
          <w:szCs w:val="28"/>
          <w:highlight w:val="none"/>
        </w:rPr>
        <w:fldChar w:fldCharType="end"/>
      </w:r>
    </w:p>
    <w:p w14:paraId="55717FBC">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_Toc9352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6.2 应急组织机构及职责</w:t>
      </w:r>
      <w:r>
        <w:tab/>
      </w:r>
      <w:r>
        <w:fldChar w:fldCharType="begin"/>
      </w:r>
      <w:r>
        <w:instrText xml:space="preserve"> PAGEREF _Toc9352 \h </w:instrText>
      </w:r>
      <w:r>
        <w:fldChar w:fldCharType="separate"/>
      </w:r>
      <w:r>
        <w:t>- 82 -</w:t>
      </w:r>
      <w:r>
        <w:fldChar w:fldCharType="end"/>
      </w:r>
      <w:r>
        <w:rPr>
          <w:rFonts w:hint="eastAsia" w:ascii="仿宋" w:hAnsi="仿宋" w:eastAsia="仿宋" w:cs="仿宋"/>
          <w:bCs/>
          <w:color w:val="auto"/>
          <w:szCs w:val="28"/>
          <w:highlight w:val="none"/>
        </w:rPr>
        <w:fldChar w:fldCharType="end"/>
      </w:r>
    </w:p>
    <w:p w14:paraId="3254091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_Toc30283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6.3 响应启动</w:t>
      </w:r>
      <w:r>
        <w:tab/>
      </w:r>
      <w:r>
        <w:fldChar w:fldCharType="begin"/>
      </w:r>
      <w:r>
        <w:instrText xml:space="preserve"> PAGEREF _Toc30283 \h </w:instrText>
      </w:r>
      <w:r>
        <w:fldChar w:fldCharType="separate"/>
      </w:r>
      <w:r>
        <w:t>- 82 -</w:t>
      </w:r>
      <w:r>
        <w:fldChar w:fldCharType="end"/>
      </w:r>
      <w:r>
        <w:rPr>
          <w:rFonts w:hint="eastAsia" w:ascii="仿宋" w:hAnsi="仿宋" w:eastAsia="仿宋" w:cs="仿宋"/>
          <w:bCs/>
          <w:color w:val="auto"/>
          <w:szCs w:val="28"/>
          <w:highlight w:val="none"/>
        </w:rPr>
        <w:fldChar w:fldCharType="end"/>
      </w:r>
    </w:p>
    <w:p w14:paraId="69C895D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_Toc8218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w:t>
      </w:r>
      <w:r>
        <w:rPr>
          <w:rFonts w:ascii="楷体_GB2312" w:hAnsi="楷体_GB2312" w:eastAsia="楷体_GB2312" w:cs="楷体_GB2312"/>
          <w:szCs w:val="30"/>
          <w:highlight w:val="none"/>
        </w:rPr>
        <w:t>4 处置措施</w:t>
      </w:r>
      <w:r>
        <w:tab/>
      </w:r>
      <w:r>
        <w:fldChar w:fldCharType="begin"/>
      </w:r>
      <w:r>
        <w:instrText xml:space="preserve"> PAGEREF _Toc8218 \h </w:instrText>
      </w:r>
      <w:r>
        <w:fldChar w:fldCharType="separate"/>
      </w:r>
      <w:r>
        <w:t>- 83 -</w:t>
      </w:r>
      <w:r>
        <w:fldChar w:fldCharType="end"/>
      </w:r>
      <w:r>
        <w:rPr>
          <w:rFonts w:hint="eastAsia" w:ascii="仿宋" w:hAnsi="仿宋" w:eastAsia="仿宋" w:cs="仿宋"/>
          <w:bCs/>
          <w:color w:val="auto"/>
          <w:szCs w:val="28"/>
          <w:highlight w:val="none"/>
        </w:rPr>
        <w:fldChar w:fldCharType="end"/>
      </w:r>
    </w:p>
    <w:p w14:paraId="0B8C4E8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_Toc28951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6.5 应急保障</w:t>
      </w:r>
      <w:r>
        <w:tab/>
      </w:r>
      <w:r>
        <w:fldChar w:fldCharType="begin"/>
      </w:r>
      <w:r>
        <w:instrText xml:space="preserve"> PAGEREF _Toc28951 \h </w:instrText>
      </w:r>
      <w:r>
        <w:fldChar w:fldCharType="separate"/>
      </w:r>
      <w:r>
        <w:t>- 89 -</w:t>
      </w:r>
      <w:r>
        <w:fldChar w:fldCharType="end"/>
      </w:r>
      <w:r>
        <w:rPr>
          <w:rFonts w:hint="eastAsia" w:ascii="仿宋" w:hAnsi="仿宋" w:eastAsia="仿宋" w:cs="仿宋"/>
          <w:bCs/>
          <w:color w:val="auto"/>
          <w:szCs w:val="28"/>
          <w:highlight w:val="none"/>
        </w:rPr>
        <w:fldChar w:fldCharType="end"/>
      </w:r>
    </w:p>
    <w:p w14:paraId="090BF822">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_Toc20433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7 主要通风机停止运转事故专项应急预案</w:t>
      </w:r>
      <w:r>
        <w:tab/>
      </w:r>
      <w:r>
        <w:fldChar w:fldCharType="begin"/>
      </w:r>
      <w:r>
        <w:instrText xml:space="preserve"> PAGEREF _Toc20433 \h </w:instrText>
      </w:r>
      <w:r>
        <w:fldChar w:fldCharType="separate"/>
      </w:r>
      <w:r>
        <w:t>- 91 -</w:t>
      </w:r>
      <w:r>
        <w:fldChar w:fldCharType="end"/>
      </w:r>
      <w:r>
        <w:rPr>
          <w:rFonts w:hint="eastAsia" w:ascii="仿宋" w:hAnsi="仿宋" w:eastAsia="仿宋" w:cs="仿宋"/>
          <w:bCs/>
          <w:color w:val="auto"/>
          <w:szCs w:val="28"/>
          <w:highlight w:val="none"/>
        </w:rPr>
        <w:fldChar w:fldCharType="end"/>
      </w:r>
    </w:p>
    <w:p w14:paraId="6D921E54">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_Toc18369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7.1 适用范围</w:t>
      </w:r>
      <w:r>
        <w:tab/>
      </w:r>
      <w:r>
        <w:fldChar w:fldCharType="begin"/>
      </w:r>
      <w:r>
        <w:instrText xml:space="preserve"> PAGEREF _Toc18369 \h </w:instrText>
      </w:r>
      <w:r>
        <w:fldChar w:fldCharType="separate"/>
      </w:r>
      <w:r>
        <w:t>- 91 -</w:t>
      </w:r>
      <w:r>
        <w:fldChar w:fldCharType="end"/>
      </w:r>
      <w:r>
        <w:rPr>
          <w:rFonts w:hint="eastAsia" w:ascii="仿宋" w:hAnsi="仿宋" w:eastAsia="仿宋" w:cs="仿宋"/>
          <w:bCs/>
          <w:color w:val="auto"/>
          <w:szCs w:val="28"/>
          <w:highlight w:val="none"/>
        </w:rPr>
        <w:fldChar w:fldCharType="end"/>
      </w:r>
    </w:p>
    <w:p w14:paraId="5D80A9D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_Toc18440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7.2 应急组织机构及职责</w:t>
      </w:r>
      <w:r>
        <w:tab/>
      </w:r>
      <w:r>
        <w:fldChar w:fldCharType="begin"/>
      </w:r>
      <w:r>
        <w:instrText xml:space="preserve"> PAGEREF _Toc18440 \h </w:instrText>
      </w:r>
      <w:r>
        <w:fldChar w:fldCharType="separate"/>
      </w:r>
      <w:r>
        <w:t>- 91 -</w:t>
      </w:r>
      <w:r>
        <w:fldChar w:fldCharType="end"/>
      </w:r>
      <w:r>
        <w:rPr>
          <w:rFonts w:hint="eastAsia" w:ascii="仿宋" w:hAnsi="仿宋" w:eastAsia="仿宋" w:cs="仿宋"/>
          <w:bCs/>
          <w:color w:val="auto"/>
          <w:szCs w:val="28"/>
          <w:highlight w:val="none"/>
        </w:rPr>
        <w:fldChar w:fldCharType="end"/>
      </w:r>
    </w:p>
    <w:p w14:paraId="4A95696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_Toc24996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7.3 响应启动</w:t>
      </w:r>
      <w:r>
        <w:tab/>
      </w:r>
      <w:r>
        <w:fldChar w:fldCharType="begin"/>
      </w:r>
      <w:r>
        <w:instrText xml:space="preserve"> PAGEREF _Toc24996 \h </w:instrText>
      </w:r>
      <w:r>
        <w:fldChar w:fldCharType="separate"/>
      </w:r>
      <w:r>
        <w:t>- 91 -</w:t>
      </w:r>
      <w:r>
        <w:fldChar w:fldCharType="end"/>
      </w:r>
      <w:r>
        <w:rPr>
          <w:rFonts w:hint="eastAsia" w:ascii="仿宋" w:hAnsi="仿宋" w:eastAsia="仿宋" w:cs="仿宋"/>
          <w:bCs/>
          <w:color w:val="auto"/>
          <w:szCs w:val="28"/>
          <w:highlight w:val="none"/>
        </w:rPr>
        <w:fldChar w:fldCharType="end"/>
      </w:r>
    </w:p>
    <w:p w14:paraId="3D6FC91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_Toc3436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w:t>
      </w:r>
      <w:r>
        <w:rPr>
          <w:rFonts w:ascii="楷体_GB2312" w:hAnsi="楷体_GB2312" w:eastAsia="楷体_GB2312" w:cs="楷体_GB2312"/>
          <w:szCs w:val="30"/>
          <w:highlight w:val="none"/>
        </w:rPr>
        <w:t>4 处置措施</w:t>
      </w:r>
      <w:r>
        <w:tab/>
      </w:r>
      <w:r>
        <w:fldChar w:fldCharType="begin"/>
      </w:r>
      <w:r>
        <w:instrText xml:space="preserve"> PAGEREF _Toc3436 \h </w:instrText>
      </w:r>
      <w:r>
        <w:fldChar w:fldCharType="separate"/>
      </w:r>
      <w:r>
        <w:t>- 92 -</w:t>
      </w:r>
      <w:r>
        <w:fldChar w:fldCharType="end"/>
      </w:r>
      <w:r>
        <w:rPr>
          <w:rFonts w:hint="eastAsia" w:ascii="仿宋" w:hAnsi="仿宋" w:eastAsia="仿宋" w:cs="仿宋"/>
          <w:bCs/>
          <w:color w:val="auto"/>
          <w:szCs w:val="28"/>
          <w:highlight w:val="none"/>
        </w:rPr>
        <w:fldChar w:fldCharType="end"/>
      </w:r>
    </w:p>
    <w:p w14:paraId="54BEC3D4">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_Toc2158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7.5 应急保障</w:t>
      </w:r>
      <w:r>
        <w:tab/>
      </w:r>
      <w:r>
        <w:fldChar w:fldCharType="begin"/>
      </w:r>
      <w:r>
        <w:instrText xml:space="preserve"> PAGEREF _Toc2158 \h </w:instrText>
      </w:r>
      <w:r>
        <w:fldChar w:fldCharType="separate"/>
      </w:r>
      <w:r>
        <w:t>- 100 -</w:t>
      </w:r>
      <w:r>
        <w:fldChar w:fldCharType="end"/>
      </w:r>
      <w:r>
        <w:rPr>
          <w:rFonts w:hint="eastAsia" w:ascii="仿宋" w:hAnsi="仿宋" w:eastAsia="仿宋" w:cs="仿宋"/>
          <w:bCs/>
          <w:color w:val="auto"/>
          <w:szCs w:val="28"/>
          <w:highlight w:val="none"/>
        </w:rPr>
        <w:fldChar w:fldCharType="end"/>
      </w:r>
    </w:p>
    <w:p w14:paraId="3B8DDC69">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_Toc9158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8 矿井供电事故专项应急预案</w:t>
      </w:r>
      <w:r>
        <w:tab/>
      </w:r>
      <w:r>
        <w:fldChar w:fldCharType="begin"/>
      </w:r>
      <w:r>
        <w:instrText xml:space="preserve"> PAGEREF _Toc9158 \h </w:instrText>
      </w:r>
      <w:r>
        <w:fldChar w:fldCharType="separate"/>
      </w:r>
      <w:r>
        <w:t>- 101 -</w:t>
      </w:r>
      <w:r>
        <w:fldChar w:fldCharType="end"/>
      </w:r>
      <w:r>
        <w:rPr>
          <w:rFonts w:hint="eastAsia" w:ascii="仿宋" w:hAnsi="仿宋" w:eastAsia="仿宋" w:cs="仿宋"/>
          <w:bCs/>
          <w:color w:val="auto"/>
          <w:szCs w:val="28"/>
          <w:highlight w:val="none"/>
        </w:rPr>
        <w:fldChar w:fldCharType="end"/>
      </w:r>
    </w:p>
    <w:p w14:paraId="43B3861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_Toc22099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8.1 适用范围</w:t>
      </w:r>
      <w:r>
        <w:tab/>
      </w:r>
      <w:r>
        <w:fldChar w:fldCharType="begin"/>
      </w:r>
      <w:r>
        <w:instrText xml:space="preserve"> PAGEREF _Toc22099 \h </w:instrText>
      </w:r>
      <w:r>
        <w:fldChar w:fldCharType="separate"/>
      </w:r>
      <w:r>
        <w:t>- 101 -</w:t>
      </w:r>
      <w:r>
        <w:fldChar w:fldCharType="end"/>
      </w:r>
      <w:r>
        <w:rPr>
          <w:rFonts w:hint="eastAsia" w:ascii="仿宋" w:hAnsi="仿宋" w:eastAsia="仿宋" w:cs="仿宋"/>
          <w:bCs/>
          <w:color w:val="auto"/>
          <w:szCs w:val="28"/>
          <w:highlight w:val="none"/>
        </w:rPr>
        <w:fldChar w:fldCharType="end"/>
      </w:r>
    </w:p>
    <w:p w14:paraId="1262E462">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_Toc29665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8.2 应急组织机构及职责</w:t>
      </w:r>
      <w:r>
        <w:tab/>
      </w:r>
      <w:r>
        <w:fldChar w:fldCharType="begin"/>
      </w:r>
      <w:r>
        <w:instrText xml:space="preserve"> PAGEREF _Toc29665 \h </w:instrText>
      </w:r>
      <w:r>
        <w:fldChar w:fldCharType="separate"/>
      </w:r>
      <w:r>
        <w:t>- 101 -</w:t>
      </w:r>
      <w:r>
        <w:fldChar w:fldCharType="end"/>
      </w:r>
      <w:r>
        <w:rPr>
          <w:rFonts w:hint="eastAsia" w:ascii="仿宋" w:hAnsi="仿宋" w:eastAsia="仿宋" w:cs="仿宋"/>
          <w:bCs/>
          <w:color w:val="auto"/>
          <w:szCs w:val="28"/>
          <w:highlight w:val="none"/>
        </w:rPr>
        <w:fldChar w:fldCharType="end"/>
      </w:r>
    </w:p>
    <w:p w14:paraId="0FCE006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_Toc29387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8.3 响应启动</w:t>
      </w:r>
      <w:r>
        <w:tab/>
      </w:r>
      <w:r>
        <w:fldChar w:fldCharType="begin"/>
      </w:r>
      <w:r>
        <w:instrText xml:space="preserve"> PAGEREF _Toc29387 \h </w:instrText>
      </w:r>
      <w:r>
        <w:fldChar w:fldCharType="separate"/>
      </w:r>
      <w:r>
        <w:t>- 101 -</w:t>
      </w:r>
      <w:r>
        <w:fldChar w:fldCharType="end"/>
      </w:r>
      <w:r>
        <w:rPr>
          <w:rFonts w:hint="eastAsia" w:ascii="仿宋" w:hAnsi="仿宋" w:eastAsia="仿宋" w:cs="仿宋"/>
          <w:bCs/>
          <w:color w:val="auto"/>
          <w:szCs w:val="28"/>
          <w:highlight w:val="none"/>
        </w:rPr>
        <w:fldChar w:fldCharType="end"/>
      </w:r>
    </w:p>
    <w:p w14:paraId="3F083145">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_Toc18880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w:t>
      </w:r>
      <w:r>
        <w:rPr>
          <w:rFonts w:ascii="楷体_GB2312" w:hAnsi="楷体_GB2312" w:eastAsia="楷体_GB2312" w:cs="楷体_GB2312"/>
          <w:szCs w:val="30"/>
          <w:highlight w:val="none"/>
        </w:rPr>
        <w:t>4 处置措施</w:t>
      </w:r>
      <w:r>
        <w:tab/>
      </w:r>
      <w:r>
        <w:fldChar w:fldCharType="begin"/>
      </w:r>
      <w:r>
        <w:instrText xml:space="preserve"> PAGEREF _Toc18880 \h </w:instrText>
      </w:r>
      <w:r>
        <w:fldChar w:fldCharType="separate"/>
      </w:r>
      <w:r>
        <w:t>- 102 -</w:t>
      </w:r>
      <w:r>
        <w:fldChar w:fldCharType="end"/>
      </w:r>
      <w:r>
        <w:rPr>
          <w:rFonts w:hint="eastAsia" w:ascii="仿宋" w:hAnsi="仿宋" w:eastAsia="仿宋" w:cs="仿宋"/>
          <w:bCs/>
          <w:color w:val="auto"/>
          <w:szCs w:val="28"/>
          <w:highlight w:val="none"/>
        </w:rPr>
        <w:fldChar w:fldCharType="end"/>
      </w:r>
    </w:p>
    <w:p w14:paraId="24400B81">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_Toc31349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8.5 应急保障</w:t>
      </w:r>
      <w:r>
        <w:tab/>
      </w:r>
      <w:r>
        <w:fldChar w:fldCharType="begin"/>
      </w:r>
      <w:r>
        <w:instrText xml:space="preserve"> PAGEREF _Toc31349 \h </w:instrText>
      </w:r>
      <w:r>
        <w:fldChar w:fldCharType="separate"/>
      </w:r>
      <w:r>
        <w:t>- 106 -</w:t>
      </w:r>
      <w:r>
        <w:fldChar w:fldCharType="end"/>
      </w:r>
      <w:r>
        <w:rPr>
          <w:rFonts w:hint="eastAsia" w:ascii="仿宋" w:hAnsi="仿宋" w:eastAsia="仿宋" w:cs="仿宋"/>
          <w:bCs/>
          <w:color w:val="auto"/>
          <w:szCs w:val="28"/>
          <w:highlight w:val="none"/>
        </w:rPr>
        <w:fldChar w:fldCharType="end"/>
      </w:r>
    </w:p>
    <w:p w14:paraId="53EB7895">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_Toc30092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9 提升运输事故专项应急预案</w:t>
      </w:r>
      <w:r>
        <w:tab/>
      </w:r>
      <w:r>
        <w:fldChar w:fldCharType="begin"/>
      </w:r>
      <w:r>
        <w:instrText xml:space="preserve"> PAGEREF _Toc30092 \h </w:instrText>
      </w:r>
      <w:r>
        <w:fldChar w:fldCharType="separate"/>
      </w:r>
      <w:r>
        <w:t>- 107 -</w:t>
      </w:r>
      <w:r>
        <w:fldChar w:fldCharType="end"/>
      </w:r>
      <w:r>
        <w:rPr>
          <w:rFonts w:hint="eastAsia" w:ascii="仿宋" w:hAnsi="仿宋" w:eastAsia="仿宋" w:cs="仿宋"/>
          <w:bCs/>
          <w:color w:val="auto"/>
          <w:szCs w:val="28"/>
          <w:highlight w:val="none"/>
        </w:rPr>
        <w:fldChar w:fldCharType="end"/>
      </w:r>
    </w:p>
    <w:p w14:paraId="79EB78F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_Toc4815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9.1 适用范围</w:t>
      </w:r>
      <w:r>
        <w:tab/>
      </w:r>
      <w:r>
        <w:fldChar w:fldCharType="begin"/>
      </w:r>
      <w:r>
        <w:instrText xml:space="preserve"> PAGEREF _Toc4815 \h </w:instrText>
      </w:r>
      <w:r>
        <w:fldChar w:fldCharType="separate"/>
      </w:r>
      <w:r>
        <w:t>- 107 -</w:t>
      </w:r>
      <w:r>
        <w:fldChar w:fldCharType="end"/>
      </w:r>
      <w:r>
        <w:rPr>
          <w:rFonts w:hint="eastAsia" w:ascii="仿宋" w:hAnsi="仿宋" w:eastAsia="仿宋" w:cs="仿宋"/>
          <w:bCs/>
          <w:color w:val="auto"/>
          <w:szCs w:val="28"/>
          <w:highlight w:val="none"/>
        </w:rPr>
        <w:fldChar w:fldCharType="end"/>
      </w:r>
    </w:p>
    <w:p w14:paraId="38A6C98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_Toc11486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9.2 应急组织机构及职责</w:t>
      </w:r>
      <w:r>
        <w:tab/>
      </w:r>
      <w:r>
        <w:fldChar w:fldCharType="begin"/>
      </w:r>
      <w:r>
        <w:instrText xml:space="preserve"> PAGEREF _Toc11486 \h </w:instrText>
      </w:r>
      <w:r>
        <w:fldChar w:fldCharType="separate"/>
      </w:r>
      <w:r>
        <w:t>- 107 -</w:t>
      </w:r>
      <w:r>
        <w:fldChar w:fldCharType="end"/>
      </w:r>
      <w:r>
        <w:rPr>
          <w:rFonts w:hint="eastAsia" w:ascii="仿宋" w:hAnsi="仿宋" w:eastAsia="仿宋" w:cs="仿宋"/>
          <w:bCs/>
          <w:color w:val="auto"/>
          <w:szCs w:val="28"/>
          <w:highlight w:val="none"/>
        </w:rPr>
        <w:fldChar w:fldCharType="end"/>
      </w:r>
    </w:p>
    <w:p w14:paraId="5D699E9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_Toc28894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9.3 响应启动</w:t>
      </w:r>
      <w:r>
        <w:tab/>
      </w:r>
      <w:r>
        <w:fldChar w:fldCharType="begin"/>
      </w:r>
      <w:r>
        <w:instrText xml:space="preserve"> PAGEREF _Toc28894 \h </w:instrText>
      </w:r>
      <w:r>
        <w:fldChar w:fldCharType="separate"/>
      </w:r>
      <w:r>
        <w:t>- 107 -</w:t>
      </w:r>
      <w:r>
        <w:fldChar w:fldCharType="end"/>
      </w:r>
      <w:r>
        <w:rPr>
          <w:rFonts w:hint="eastAsia" w:ascii="仿宋" w:hAnsi="仿宋" w:eastAsia="仿宋" w:cs="仿宋"/>
          <w:bCs/>
          <w:color w:val="auto"/>
          <w:szCs w:val="28"/>
          <w:highlight w:val="none"/>
        </w:rPr>
        <w:fldChar w:fldCharType="end"/>
      </w:r>
    </w:p>
    <w:p w14:paraId="54418C8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_Toc30535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w:t>
      </w:r>
      <w:r>
        <w:rPr>
          <w:rFonts w:ascii="楷体_GB2312" w:hAnsi="楷体_GB2312" w:eastAsia="楷体_GB2312" w:cs="楷体_GB2312"/>
          <w:szCs w:val="30"/>
          <w:highlight w:val="none"/>
        </w:rPr>
        <w:t>4 处置措施</w:t>
      </w:r>
      <w:r>
        <w:tab/>
      </w:r>
      <w:r>
        <w:fldChar w:fldCharType="begin"/>
      </w:r>
      <w:r>
        <w:instrText xml:space="preserve"> PAGEREF _Toc30535 \h </w:instrText>
      </w:r>
      <w:r>
        <w:fldChar w:fldCharType="separate"/>
      </w:r>
      <w:r>
        <w:t>- 108 -</w:t>
      </w:r>
      <w:r>
        <w:fldChar w:fldCharType="end"/>
      </w:r>
      <w:r>
        <w:rPr>
          <w:rFonts w:hint="eastAsia" w:ascii="仿宋" w:hAnsi="仿宋" w:eastAsia="仿宋" w:cs="仿宋"/>
          <w:bCs/>
          <w:color w:val="auto"/>
          <w:szCs w:val="28"/>
          <w:highlight w:val="none"/>
        </w:rPr>
        <w:fldChar w:fldCharType="end"/>
      </w:r>
    </w:p>
    <w:p w14:paraId="2F0266A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_Toc4613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9.5 应急保障</w:t>
      </w:r>
      <w:r>
        <w:tab/>
      </w:r>
      <w:r>
        <w:fldChar w:fldCharType="begin"/>
      </w:r>
      <w:r>
        <w:instrText xml:space="preserve"> PAGEREF _Toc4613 \h </w:instrText>
      </w:r>
      <w:r>
        <w:fldChar w:fldCharType="separate"/>
      </w:r>
      <w:r>
        <w:t>- 118 -</w:t>
      </w:r>
      <w:r>
        <w:fldChar w:fldCharType="end"/>
      </w:r>
      <w:r>
        <w:rPr>
          <w:rFonts w:hint="eastAsia" w:ascii="仿宋" w:hAnsi="仿宋" w:eastAsia="仿宋" w:cs="仿宋"/>
          <w:bCs/>
          <w:color w:val="auto"/>
          <w:szCs w:val="28"/>
          <w:highlight w:val="none"/>
        </w:rPr>
        <w:fldChar w:fldCharType="end"/>
      </w:r>
    </w:p>
    <w:p w14:paraId="15932FFA">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_Toc2126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10 </w:t>
      </w:r>
      <w:r>
        <w:rPr>
          <w:rFonts w:hint="eastAsia" w:ascii="黑体" w:hAnsi="黑体" w:eastAsia="黑体" w:cs="黑体"/>
          <w:szCs w:val="30"/>
          <w:highlight w:val="none"/>
          <w:lang w:val="en-US" w:eastAsia="zh-CN"/>
        </w:rPr>
        <w:t>民用</w:t>
      </w:r>
      <w:r>
        <w:rPr>
          <w:rFonts w:hint="eastAsia" w:ascii="黑体" w:hAnsi="黑体" w:eastAsia="黑体" w:cs="黑体"/>
          <w:szCs w:val="30"/>
          <w:highlight w:val="none"/>
        </w:rPr>
        <w:t>爆炸物品事故专项应急预案</w:t>
      </w:r>
      <w:r>
        <w:tab/>
      </w:r>
      <w:r>
        <w:fldChar w:fldCharType="begin"/>
      </w:r>
      <w:r>
        <w:instrText xml:space="preserve"> PAGEREF _Toc2126 \h </w:instrText>
      </w:r>
      <w:r>
        <w:fldChar w:fldCharType="separate"/>
      </w:r>
      <w:r>
        <w:t>- 119 -</w:t>
      </w:r>
      <w:r>
        <w:fldChar w:fldCharType="end"/>
      </w:r>
      <w:r>
        <w:rPr>
          <w:rFonts w:hint="eastAsia" w:ascii="仿宋" w:hAnsi="仿宋" w:eastAsia="仿宋" w:cs="仿宋"/>
          <w:bCs/>
          <w:color w:val="auto"/>
          <w:szCs w:val="28"/>
          <w:highlight w:val="none"/>
        </w:rPr>
        <w:fldChar w:fldCharType="end"/>
      </w:r>
    </w:p>
    <w:p w14:paraId="71C7F724">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_Toc8342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10.1 适用范围</w:t>
      </w:r>
      <w:r>
        <w:tab/>
      </w:r>
      <w:r>
        <w:fldChar w:fldCharType="begin"/>
      </w:r>
      <w:r>
        <w:instrText xml:space="preserve"> PAGEREF _Toc8342 \h </w:instrText>
      </w:r>
      <w:r>
        <w:fldChar w:fldCharType="separate"/>
      </w:r>
      <w:r>
        <w:t>- 119 -</w:t>
      </w:r>
      <w:r>
        <w:fldChar w:fldCharType="end"/>
      </w:r>
      <w:r>
        <w:rPr>
          <w:rFonts w:hint="eastAsia" w:ascii="仿宋" w:hAnsi="仿宋" w:eastAsia="仿宋" w:cs="仿宋"/>
          <w:bCs/>
          <w:color w:val="auto"/>
          <w:szCs w:val="28"/>
          <w:highlight w:val="none"/>
        </w:rPr>
        <w:fldChar w:fldCharType="end"/>
      </w:r>
    </w:p>
    <w:p w14:paraId="01891055">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_Toc14915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10.2 应急组织机构及职责</w:t>
      </w:r>
      <w:r>
        <w:tab/>
      </w:r>
      <w:r>
        <w:fldChar w:fldCharType="begin"/>
      </w:r>
      <w:r>
        <w:instrText xml:space="preserve"> PAGEREF _Toc14915 \h </w:instrText>
      </w:r>
      <w:r>
        <w:fldChar w:fldCharType="separate"/>
      </w:r>
      <w:r>
        <w:t>- 119 -</w:t>
      </w:r>
      <w:r>
        <w:fldChar w:fldCharType="end"/>
      </w:r>
      <w:r>
        <w:rPr>
          <w:rFonts w:hint="eastAsia" w:ascii="仿宋" w:hAnsi="仿宋" w:eastAsia="仿宋" w:cs="仿宋"/>
          <w:bCs/>
          <w:color w:val="auto"/>
          <w:szCs w:val="28"/>
          <w:highlight w:val="none"/>
        </w:rPr>
        <w:fldChar w:fldCharType="end"/>
      </w:r>
    </w:p>
    <w:p w14:paraId="6CB8BA5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_Toc2529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10.3 响应启动</w:t>
      </w:r>
      <w:r>
        <w:tab/>
      </w:r>
      <w:r>
        <w:fldChar w:fldCharType="begin"/>
      </w:r>
      <w:r>
        <w:instrText xml:space="preserve"> PAGEREF _Toc2529 \h </w:instrText>
      </w:r>
      <w:r>
        <w:fldChar w:fldCharType="separate"/>
      </w:r>
      <w:r>
        <w:t>- 119 -</w:t>
      </w:r>
      <w:r>
        <w:fldChar w:fldCharType="end"/>
      </w:r>
      <w:r>
        <w:rPr>
          <w:rFonts w:hint="eastAsia" w:ascii="仿宋" w:hAnsi="仿宋" w:eastAsia="仿宋" w:cs="仿宋"/>
          <w:bCs/>
          <w:color w:val="auto"/>
          <w:szCs w:val="28"/>
          <w:highlight w:val="none"/>
        </w:rPr>
        <w:fldChar w:fldCharType="end"/>
      </w:r>
    </w:p>
    <w:p w14:paraId="4416544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_Toc14469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w:t>
      </w:r>
      <w:r>
        <w:rPr>
          <w:rFonts w:ascii="楷体_GB2312" w:hAnsi="楷体_GB2312" w:eastAsia="楷体_GB2312" w:cs="楷体_GB2312"/>
          <w:szCs w:val="30"/>
          <w:highlight w:val="none"/>
        </w:rPr>
        <w:t>4 处置措施</w:t>
      </w:r>
      <w:r>
        <w:tab/>
      </w:r>
      <w:r>
        <w:fldChar w:fldCharType="begin"/>
      </w:r>
      <w:r>
        <w:instrText xml:space="preserve"> PAGEREF _Toc14469 \h </w:instrText>
      </w:r>
      <w:r>
        <w:fldChar w:fldCharType="separate"/>
      </w:r>
      <w:r>
        <w:t>- 120 -</w:t>
      </w:r>
      <w:r>
        <w:fldChar w:fldCharType="end"/>
      </w:r>
      <w:r>
        <w:rPr>
          <w:rFonts w:hint="eastAsia" w:ascii="仿宋" w:hAnsi="仿宋" w:eastAsia="仿宋" w:cs="仿宋"/>
          <w:bCs/>
          <w:color w:val="auto"/>
          <w:szCs w:val="28"/>
          <w:highlight w:val="none"/>
        </w:rPr>
        <w:fldChar w:fldCharType="end"/>
      </w:r>
    </w:p>
    <w:p w14:paraId="4AEAE00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_Toc14801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10.5 应急保障</w:t>
      </w:r>
      <w:r>
        <w:tab/>
      </w:r>
      <w:r>
        <w:fldChar w:fldCharType="begin"/>
      </w:r>
      <w:r>
        <w:instrText xml:space="preserve"> PAGEREF _Toc14801 \h </w:instrText>
      </w:r>
      <w:r>
        <w:fldChar w:fldCharType="separate"/>
      </w:r>
      <w:r>
        <w:t>- 122 -</w:t>
      </w:r>
      <w:r>
        <w:fldChar w:fldCharType="end"/>
      </w:r>
      <w:r>
        <w:rPr>
          <w:rFonts w:hint="eastAsia" w:ascii="仿宋" w:hAnsi="仿宋" w:eastAsia="仿宋" w:cs="仿宋"/>
          <w:bCs/>
          <w:color w:val="auto"/>
          <w:szCs w:val="28"/>
          <w:highlight w:val="none"/>
        </w:rPr>
        <w:fldChar w:fldCharType="end"/>
      </w:r>
    </w:p>
    <w:p w14:paraId="4297CEE1">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_Toc7479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11 </w:t>
      </w:r>
      <w:r>
        <w:rPr>
          <w:rFonts w:hint="eastAsia" w:ascii="黑体" w:hAnsi="黑体" w:eastAsia="黑体" w:cs="黑体"/>
          <w:szCs w:val="30"/>
          <w:highlight w:val="none"/>
          <w:lang w:val="en-US" w:eastAsia="zh-CN"/>
        </w:rPr>
        <w:t>煤仓</w:t>
      </w:r>
      <w:r>
        <w:rPr>
          <w:rFonts w:hint="eastAsia" w:ascii="黑体" w:hAnsi="黑体" w:eastAsia="黑体" w:cs="黑体"/>
          <w:szCs w:val="30"/>
          <w:highlight w:val="none"/>
        </w:rPr>
        <w:t>事故专项应急预案</w:t>
      </w:r>
      <w:r>
        <w:tab/>
      </w:r>
      <w:r>
        <w:fldChar w:fldCharType="begin"/>
      </w:r>
      <w:r>
        <w:instrText xml:space="preserve"> PAGEREF _Toc7479 \h </w:instrText>
      </w:r>
      <w:r>
        <w:fldChar w:fldCharType="separate"/>
      </w:r>
      <w:r>
        <w:t>- 124 -</w:t>
      </w:r>
      <w:r>
        <w:fldChar w:fldCharType="end"/>
      </w:r>
      <w:r>
        <w:rPr>
          <w:rFonts w:hint="eastAsia" w:ascii="仿宋" w:hAnsi="仿宋" w:eastAsia="仿宋" w:cs="仿宋"/>
          <w:bCs/>
          <w:color w:val="auto"/>
          <w:szCs w:val="28"/>
          <w:highlight w:val="none"/>
        </w:rPr>
        <w:fldChar w:fldCharType="end"/>
      </w:r>
    </w:p>
    <w:p w14:paraId="6E1B4340">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_Toc20564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11.1 适用范围</w:t>
      </w:r>
      <w:r>
        <w:tab/>
      </w:r>
      <w:r>
        <w:fldChar w:fldCharType="begin"/>
      </w:r>
      <w:r>
        <w:instrText xml:space="preserve"> PAGEREF _Toc20564 \h </w:instrText>
      </w:r>
      <w:r>
        <w:fldChar w:fldCharType="separate"/>
      </w:r>
      <w:r>
        <w:t>- 124 -</w:t>
      </w:r>
      <w:r>
        <w:fldChar w:fldCharType="end"/>
      </w:r>
      <w:r>
        <w:rPr>
          <w:rFonts w:hint="eastAsia" w:ascii="仿宋" w:hAnsi="仿宋" w:eastAsia="仿宋" w:cs="仿宋"/>
          <w:bCs/>
          <w:color w:val="auto"/>
          <w:szCs w:val="28"/>
          <w:highlight w:val="none"/>
        </w:rPr>
        <w:fldChar w:fldCharType="end"/>
      </w:r>
    </w:p>
    <w:p w14:paraId="4AEC670E">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_Toc9600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11.2 应急组织机构及职责</w:t>
      </w:r>
      <w:r>
        <w:tab/>
      </w:r>
      <w:r>
        <w:fldChar w:fldCharType="begin"/>
      </w:r>
      <w:r>
        <w:instrText xml:space="preserve"> PAGEREF _Toc9600 \h </w:instrText>
      </w:r>
      <w:r>
        <w:fldChar w:fldCharType="separate"/>
      </w:r>
      <w:r>
        <w:t>- 124 -</w:t>
      </w:r>
      <w:r>
        <w:fldChar w:fldCharType="end"/>
      </w:r>
      <w:r>
        <w:rPr>
          <w:rFonts w:hint="eastAsia" w:ascii="仿宋" w:hAnsi="仿宋" w:eastAsia="仿宋" w:cs="仿宋"/>
          <w:bCs/>
          <w:color w:val="auto"/>
          <w:szCs w:val="28"/>
          <w:highlight w:val="none"/>
        </w:rPr>
        <w:fldChar w:fldCharType="end"/>
      </w:r>
    </w:p>
    <w:p w14:paraId="7B556049">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_Toc1825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11.3 响应启动</w:t>
      </w:r>
      <w:r>
        <w:tab/>
      </w:r>
      <w:r>
        <w:fldChar w:fldCharType="begin"/>
      </w:r>
      <w:r>
        <w:instrText xml:space="preserve"> PAGEREF _Toc1825 \h </w:instrText>
      </w:r>
      <w:r>
        <w:fldChar w:fldCharType="separate"/>
      </w:r>
      <w:r>
        <w:t>- 124 -</w:t>
      </w:r>
      <w:r>
        <w:fldChar w:fldCharType="end"/>
      </w:r>
      <w:r>
        <w:rPr>
          <w:rFonts w:hint="eastAsia" w:ascii="仿宋" w:hAnsi="仿宋" w:eastAsia="仿宋" w:cs="仿宋"/>
          <w:bCs/>
          <w:color w:val="auto"/>
          <w:szCs w:val="28"/>
          <w:highlight w:val="none"/>
        </w:rPr>
        <w:fldChar w:fldCharType="end"/>
      </w:r>
    </w:p>
    <w:p w14:paraId="7C2E2184">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_Toc30909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11.</w:t>
      </w:r>
      <w:r>
        <w:rPr>
          <w:rFonts w:ascii="楷体_GB2312" w:hAnsi="楷体_GB2312" w:eastAsia="楷体_GB2312" w:cs="楷体_GB2312"/>
          <w:szCs w:val="30"/>
          <w:highlight w:val="none"/>
        </w:rPr>
        <w:t>4 处置措施</w:t>
      </w:r>
      <w:r>
        <w:tab/>
      </w:r>
      <w:r>
        <w:fldChar w:fldCharType="begin"/>
      </w:r>
      <w:r>
        <w:instrText xml:space="preserve"> PAGEREF _Toc30909 \h </w:instrText>
      </w:r>
      <w:r>
        <w:fldChar w:fldCharType="separate"/>
      </w:r>
      <w:r>
        <w:t>- 125 -</w:t>
      </w:r>
      <w:r>
        <w:fldChar w:fldCharType="end"/>
      </w:r>
      <w:r>
        <w:rPr>
          <w:rFonts w:hint="eastAsia" w:ascii="仿宋" w:hAnsi="仿宋" w:eastAsia="仿宋" w:cs="仿宋"/>
          <w:bCs/>
          <w:color w:val="auto"/>
          <w:szCs w:val="28"/>
          <w:highlight w:val="none"/>
        </w:rPr>
        <w:fldChar w:fldCharType="end"/>
      </w:r>
    </w:p>
    <w:p w14:paraId="2949692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_Toc29342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11.5 应急保障</w:t>
      </w:r>
      <w:r>
        <w:tab/>
      </w:r>
      <w:r>
        <w:fldChar w:fldCharType="begin"/>
      </w:r>
      <w:r>
        <w:instrText xml:space="preserve"> PAGEREF _Toc29342 \h </w:instrText>
      </w:r>
      <w:r>
        <w:fldChar w:fldCharType="separate"/>
      </w:r>
      <w:r>
        <w:t>- 128 -</w:t>
      </w:r>
      <w:r>
        <w:fldChar w:fldCharType="end"/>
      </w:r>
      <w:r>
        <w:rPr>
          <w:rFonts w:hint="eastAsia" w:ascii="仿宋" w:hAnsi="仿宋" w:eastAsia="仿宋" w:cs="仿宋"/>
          <w:bCs/>
          <w:color w:val="auto"/>
          <w:szCs w:val="28"/>
          <w:highlight w:val="none"/>
        </w:rPr>
        <w:fldChar w:fldCharType="end"/>
      </w:r>
    </w:p>
    <w:p w14:paraId="18AD2BD7">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_Toc8784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12 自然灾害事故专项应急预案</w:t>
      </w:r>
      <w:r>
        <w:tab/>
      </w:r>
      <w:r>
        <w:fldChar w:fldCharType="begin"/>
      </w:r>
      <w:r>
        <w:instrText xml:space="preserve"> PAGEREF _Toc8784 \h </w:instrText>
      </w:r>
      <w:r>
        <w:fldChar w:fldCharType="separate"/>
      </w:r>
      <w:r>
        <w:t>- 129 -</w:t>
      </w:r>
      <w:r>
        <w:fldChar w:fldCharType="end"/>
      </w:r>
      <w:r>
        <w:rPr>
          <w:rFonts w:hint="eastAsia" w:ascii="仿宋" w:hAnsi="仿宋" w:eastAsia="仿宋" w:cs="仿宋"/>
          <w:bCs/>
          <w:color w:val="auto"/>
          <w:szCs w:val="28"/>
          <w:highlight w:val="none"/>
        </w:rPr>
        <w:fldChar w:fldCharType="end"/>
      </w:r>
    </w:p>
    <w:p w14:paraId="3E9EDEB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_Toc24299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2</w:t>
      </w:r>
      <w:r>
        <w:rPr>
          <w:rFonts w:hint="eastAsia" w:ascii="仿宋" w:hAnsi="仿宋" w:eastAsia="仿宋" w:cs="仿宋"/>
          <w:bCs/>
          <w:szCs w:val="30"/>
          <w:highlight w:val="none"/>
        </w:rPr>
        <w:t>.1 适用范围</w:t>
      </w:r>
      <w:r>
        <w:tab/>
      </w:r>
      <w:r>
        <w:fldChar w:fldCharType="begin"/>
      </w:r>
      <w:r>
        <w:instrText xml:space="preserve"> PAGEREF _Toc24299 \h </w:instrText>
      </w:r>
      <w:r>
        <w:fldChar w:fldCharType="separate"/>
      </w:r>
      <w:r>
        <w:t>- 129 -</w:t>
      </w:r>
      <w:r>
        <w:fldChar w:fldCharType="end"/>
      </w:r>
      <w:r>
        <w:rPr>
          <w:rFonts w:hint="eastAsia" w:ascii="仿宋" w:hAnsi="仿宋" w:eastAsia="仿宋" w:cs="仿宋"/>
          <w:bCs/>
          <w:color w:val="auto"/>
          <w:szCs w:val="28"/>
          <w:highlight w:val="none"/>
        </w:rPr>
        <w:fldChar w:fldCharType="end"/>
      </w:r>
    </w:p>
    <w:p w14:paraId="19B44B5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_Toc6904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2</w:t>
      </w:r>
      <w:r>
        <w:rPr>
          <w:rFonts w:hint="eastAsia" w:ascii="仿宋" w:hAnsi="仿宋" w:eastAsia="仿宋" w:cs="仿宋"/>
          <w:bCs/>
          <w:szCs w:val="30"/>
          <w:highlight w:val="none"/>
        </w:rPr>
        <w:t>.2 应急组织机构及职责</w:t>
      </w:r>
      <w:r>
        <w:tab/>
      </w:r>
      <w:r>
        <w:fldChar w:fldCharType="begin"/>
      </w:r>
      <w:r>
        <w:instrText xml:space="preserve"> PAGEREF _Toc6904 \h </w:instrText>
      </w:r>
      <w:r>
        <w:fldChar w:fldCharType="separate"/>
      </w:r>
      <w:r>
        <w:t>- 129 -</w:t>
      </w:r>
      <w:r>
        <w:fldChar w:fldCharType="end"/>
      </w:r>
      <w:r>
        <w:rPr>
          <w:rFonts w:hint="eastAsia" w:ascii="仿宋" w:hAnsi="仿宋" w:eastAsia="仿宋" w:cs="仿宋"/>
          <w:bCs/>
          <w:color w:val="auto"/>
          <w:szCs w:val="28"/>
          <w:highlight w:val="none"/>
        </w:rPr>
        <w:fldChar w:fldCharType="end"/>
      </w:r>
    </w:p>
    <w:p w14:paraId="2A85AAE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_Toc21092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2</w:t>
      </w:r>
      <w:r>
        <w:rPr>
          <w:rFonts w:hint="eastAsia" w:ascii="仿宋" w:hAnsi="仿宋" w:eastAsia="仿宋" w:cs="仿宋"/>
          <w:bCs/>
          <w:szCs w:val="30"/>
          <w:highlight w:val="none"/>
        </w:rPr>
        <w:t>.3 响应启动</w:t>
      </w:r>
      <w:r>
        <w:tab/>
      </w:r>
      <w:r>
        <w:fldChar w:fldCharType="begin"/>
      </w:r>
      <w:r>
        <w:instrText xml:space="preserve"> PAGEREF _Toc21092 \h </w:instrText>
      </w:r>
      <w:r>
        <w:fldChar w:fldCharType="separate"/>
      </w:r>
      <w:r>
        <w:t>- 129 -</w:t>
      </w:r>
      <w:r>
        <w:fldChar w:fldCharType="end"/>
      </w:r>
      <w:r>
        <w:rPr>
          <w:rFonts w:hint="eastAsia" w:ascii="仿宋" w:hAnsi="仿宋" w:eastAsia="仿宋" w:cs="仿宋"/>
          <w:bCs/>
          <w:color w:val="auto"/>
          <w:szCs w:val="28"/>
          <w:highlight w:val="none"/>
        </w:rPr>
        <w:fldChar w:fldCharType="end"/>
      </w:r>
    </w:p>
    <w:p w14:paraId="0C318388">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_Toc26069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2</w:t>
      </w:r>
      <w:r>
        <w:rPr>
          <w:rFonts w:hint="eastAsia" w:ascii="仿宋" w:hAnsi="仿宋" w:eastAsia="仿宋" w:cs="仿宋"/>
          <w:bCs/>
          <w:szCs w:val="30"/>
          <w:highlight w:val="none"/>
        </w:rPr>
        <w:t>.</w:t>
      </w:r>
      <w:r>
        <w:rPr>
          <w:rFonts w:ascii="仿宋" w:hAnsi="仿宋" w:eastAsia="仿宋" w:cs="仿宋"/>
          <w:bCs/>
          <w:szCs w:val="30"/>
          <w:highlight w:val="none"/>
        </w:rPr>
        <w:t>4 处置措施</w:t>
      </w:r>
      <w:r>
        <w:tab/>
      </w:r>
      <w:r>
        <w:fldChar w:fldCharType="begin"/>
      </w:r>
      <w:r>
        <w:instrText xml:space="preserve"> PAGEREF _Toc26069 \h </w:instrText>
      </w:r>
      <w:r>
        <w:fldChar w:fldCharType="separate"/>
      </w:r>
      <w:r>
        <w:t>- 130 -</w:t>
      </w:r>
      <w:r>
        <w:fldChar w:fldCharType="end"/>
      </w:r>
      <w:r>
        <w:rPr>
          <w:rFonts w:hint="eastAsia" w:ascii="仿宋" w:hAnsi="仿宋" w:eastAsia="仿宋" w:cs="仿宋"/>
          <w:bCs/>
          <w:color w:val="auto"/>
          <w:szCs w:val="28"/>
          <w:highlight w:val="none"/>
        </w:rPr>
        <w:fldChar w:fldCharType="end"/>
      </w:r>
    </w:p>
    <w:p w14:paraId="4682C422">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_Toc18712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2</w:t>
      </w:r>
      <w:r>
        <w:rPr>
          <w:rFonts w:hint="eastAsia" w:ascii="仿宋" w:hAnsi="仿宋" w:eastAsia="仿宋" w:cs="仿宋"/>
          <w:bCs/>
          <w:szCs w:val="30"/>
          <w:highlight w:val="none"/>
        </w:rPr>
        <w:t>.5 应急保障</w:t>
      </w:r>
      <w:r>
        <w:tab/>
      </w:r>
      <w:r>
        <w:fldChar w:fldCharType="begin"/>
      </w:r>
      <w:r>
        <w:instrText xml:space="preserve"> PAGEREF _Toc18712 \h </w:instrText>
      </w:r>
      <w:r>
        <w:fldChar w:fldCharType="separate"/>
      </w:r>
      <w:r>
        <w:t>- 133 -</w:t>
      </w:r>
      <w:r>
        <w:fldChar w:fldCharType="end"/>
      </w:r>
      <w:r>
        <w:rPr>
          <w:rFonts w:hint="eastAsia" w:ascii="仿宋" w:hAnsi="仿宋" w:eastAsia="仿宋" w:cs="仿宋"/>
          <w:bCs/>
          <w:color w:val="auto"/>
          <w:szCs w:val="28"/>
          <w:highlight w:val="none"/>
        </w:rPr>
        <w:fldChar w:fldCharType="end"/>
      </w:r>
    </w:p>
    <w:p w14:paraId="2AAA6EB1">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_Toc9851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1</w:t>
      </w:r>
      <w:r>
        <w:rPr>
          <w:rFonts w:hint="eastAsia" w:ascii="黑体" w:hAnsi="黑体" w:eastAsia="黑体" w:cs="黑体"/>
          <w:szCs w:val="30"/>
          <w:highlight w:val="none"/>
          <w:lang w:val="en-US" w:eastAsia="zh-CN"/>
        </w:rPr>
        <w:t>3</w:t>
      </w:r>
      <w:r>
        <w:rPr>
          <w:rFonts w:hint="eastAsia" w:ascii="黑体" w:hAnsi="黑体" w:eastAsia="黑体" w:cs="黑体"/>
          <w:szCs w:val="30"/>
          <w:highlight w:val="none"/>
        </w:rPr>
        <w:t xml:space="preserve"> </w:t>
      </w:r>
      <w:r>
        <w:rPr>
          <w:rFonts w:hint="eastAsia" w:ascii="黑体" w:hAnsi="黑体" w:eastAsia="黑体" w:cs="黑体"/>
          <w:szCs w:val="30"/>
          <w:highlight w:val="none"/>
          <w:lang w:val="en-US" w:eastAsia="zh-CN"/>
        </w:rPr>
        <w:t>压力容器爆炸</w:t>
      </w:r>
      <w:r>
        <w:rPr>
          <w:rFonts w:hint="eastAsia" w:ascii="黑体" w:hAnsi="黑体" w:eastAsia="黑体" w:cs="黑体"/>
          <w:szCs w:val="30"/>
          <w:highlight w:val="none"/>
        </w:rPr>
        <w:t>事故专项应急预案</w:t>
      </w:r>
      <w:r>
        <w:tab/>
      </w:r>
      <w:r>
        <w:fldChar w:fldCharType="begin"/>
      </w:r>
      <w:r>
        <w:instrText xml:space="preserve"> PAGEREF _Toc9851 \h </w:instrText>
      </w:r>
      <w:r>
        <w:fldChar w:fldCharType="separate"/>
      </w:r>
      <w:r>
        <w:t>- 135 -</w:t>
      </w:r>
      <w:r>
        <w:fldChar w:fldCharType="end"/>
      </w:r>
      <w:r>
        <w:rPr>
          <w:rFonts w:hint="eastAsia" w:ascii="仿宋" w:hAnsi="仿宋" w:eastAsia="仿宋" w:cs="仿宋"/>
          <w:bCs/>
          <w:color w:val="auto"/>
          <w:szCs w:val="28"/>
          <w:highlight w:val="none"/>
        </w:rPr>
        <w:fldChar w:fldCharType="end"/>
      </w:r>
    </w:p>
    <w:p w14:paraId="5DD2EF17">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_Toc6402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3</w:t>
      </w:r>
      <w:r>
        <w:rPr>
          <w:rFonts w:hint="eastAsia" w:ascii="仿宋" w:hAnsi="仿宋" w:eastAsia="仿宋" w:cs="仿宋"/>
          <w:bCs/>
          <w:szCs w:val="30"/>
          <w:highlight w:val="none"/>
        </w:rPr>
        <w:t>.1 适用范围</w:t>
      </w:r>
      <w:r>
        <w:tab/>
      </w:r>
      <w:r>
        <w:fldChar w:fldCharType="begin"/>
      </w:r>
      <w:r>
        <w:instrText xml:space="preserve"> PAGEREF _Toc6402 \h </w:instrText>
      </w:r>
      <w:r>
        <w:fldChar w:fldCharType="separate"/>
      </w:r>
      <w:r>
        <w:t>- 135 -</w:t>
      </w:r>
      <w:r>
        <w:fldChar w:fldCharType="end"/>
      </w:r>
      <w:r>
        <w:rPr>
          <w:rFonts w:hint="eastAsia" w:ascii="仿宋" w:hAnsi="仿宋" w:eastAsia="仿宋" w:cs="仿宋"/>
          <w:bCs/>
          <w:color w:val="auto"/>
          <w:szCs w:val="28"/>
          <w:highlight w:val="none"/>
        </w:rPr>
        <w:fldChar w:fldCharType="end"/>
      </w:r>
    </w:p>
    <w:p w14:paraId="65EF72DF">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_Toc202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3</w:t>
      </w:r>
      <w:r>
        <w:rPr>
          <w:rFonts w:hint="eastAsia" w:ascii="仿宋" w:hAnsi="仿宋" w:eastAsia="仿宋" w:cs="仿宋"/>
          <w:bCs/>
          <w:szCs w:val="30"/>
          <w:highlight w:val="none"/>
        </w:rPr>
        <w:t>.2 应急组织机构及职责</w:t>
      </w:r>
      <w:r>
        <w:tab/>
      </w:r>
      <w:r>
        <w:fldChar w:fldCharType="begin"/>
      </w:r>
      <w:r>
        <w:instrText xml:space="preserve"> PAGEREF _Toc202 \h </w:instrText>
      </w:r>
      <w:r>
        <w:fldChar w:fldCharType="separate"/>
      </w:r>
      <w:r>
        <w:t>- 135 -</w:t>
      </w:r>
      <w:r>
        <w:fldChar w:fldCharType="end"/>
      </w:r>
      <w:r>
        <w:rPr>
          <w:rFonts w:hint="eastAsia" w:ascii="仿宋" w:hAnsi="仿宋" w:eastAsia="仿宋" w:cs="仿宋"/>
          <w:bCs/>
          <w:color w:val="auto"/>
          <w:szCs w:val="28"/>
          <w:highlight w:val="none"/>
        </w:rPr>
        <w:fldChar w:fldCharType="end"/>
      </w:r>
    </w:p>
    <w:p w14:paraId="57204BF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_Toc11532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3</w:t>
      </w:r>
      <w:r>
        <w:rPr>
          <w:rFonts w:hint="eastAsia" w:ascii="仿宋" w:hAnsi="仿宋" w:eastAsia="仿宋" w:cs="仿宋"/>
          <w:bCs/>
          <w:szCs w:val="30"/>
          <w:highlight w:val="none"/>
        </w:rPr>
        <w:t>.3 响应启动</w:t>
      </w:r>
      <w:r>
        <w:tab/>
      </w:r>
      <w:r>
        <w:fldChar w:fldCharType="begin"/>
      </w:r>
      <w:r>
        <w:instrText xml:space="preserve"> PAGEREF _Toc11532 \h </w:instrText>
      </w:r>
      <w:r>
        <w:fldChar w:fldCharType="separate"/>
      </w:r>
      <w:r>
        <w:t>- 135 -</w:t>
      </w:r>
      <w:r>
        <w:fldChar w:fldCharType="end"/>
      </w:r>
      <w:r>
        <w:rPr>
          <w:rFonts w:hint="eastAsia" w:ascii="仿宋" w:hAnsi="仿宋" w:eastAsia="仿宋" w:cs="仿宋"/>
          <w:bCs/>
          <w:color w:val="auto"/>
          <w:szCs w:val="28"/>
          <w:highlight w:val="none"/>
        </w:rPr>
        <w:fldChar w:fldCharType="end"/>
      </w:r>
    </w:p>
    <w:p w14:paraId="3D00738B">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_Toc22630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3</w:t>
      </w:r>
      <w:r>
        <w:rPr>
          <w:rFonts w:hint="eastAsia" w:ascii="仿宋" w:hAnsi="仿宋" w:eastAsia="仿宋" w:cs="仿宋"/>
          <w:bCs/>
          <w:szCs w:val="30"/>
          <w:highlight w:val="none"/>
        </w:rPr>
        <w:t>.</w:t>
      </w:r>
      <w:r>
        <w:rPr>
          <w:rFonts w:ascii="仿宋" w:hAnsi="仿宋" w:eastAsia="仿宋" w:cs="仿宋"/>
          <w:bCs/>
          <w:szCs w:val="30"/>
          <w:highlight w:val="none"/>
        </w:rPr>
        <w:t>4 处置措施</w:t>
      </w:r>
      <w:r>
        <w:tab/>
      </w:r>
      <w:r>
        <w:fldChar w:fldCharType="begin"/>
      </w:r>
      <w:r>
        <w:instrText xml:space="preserve"> PAGEREF _Toc22630 \h </w:instrText>
      </w:r>
      <w:r>
        <w:fldChar w:fldCharType="separate"/>
      </w:r>
      <w:r>
        <w:t>- 136 -</w:t>
      </w:r>
      <w:r>
        <w:fldChar w:fldCharType="end"/>
      </w:r>
      <w:r>
        <w:rPr>
          <w:rFonts w:hint="eastAsia" w:ascii="仿宋" w:hAnsi="仿宋" w:eastAsia="仿宋" w:cs="仿宋"/>
          <w:bCs/>
          <w:color w:val="auto"/>
          <w:szCs w:val="28"/>
          <w:highlight w:val="none"/>
        </w:rPr>
        <w:fldChar w:fldCharType="end"/>
      </w:r>
    </w:p>
    <w:p w14:paraId="496AE23C">
      <w:pPr>
        <w:pStyle w:val="14"/>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_Toc29986 </w:instrText>
      </w:r>
      <w:r>
        <w:rPr>
          <w:rFonts w:hint="eastAsia" w:ascii="仿宋" w:hAnsi="仿宋" w:eastAsia="仿宋" w:cs="仿宋"/>
          <w:bCs/>
          <w:szCs w:val="28"/>
          <w:highlight w:val="none"/>
        </w:rPr>
        <w:fldChar w:fldCharType="separate"/>
      </w:r>
      <w:r>
        <w:rPr>
          <w:rFonts w:hint="eastAsia" w:ascii="仿宋" w:hAnsi="仿宋" w:eastAsia="仿宋" w:cs="仿宋"/>
          <w:bCs/>
          <w:szCs w:val="30"/>
          <w:highlight w:val="none"/>
        </w:rPr>
        <w:t>1</w:t>
      </w:r>
      <w:r>
        <w:rPr>
          <w:rFonts w:hint="eastAsia" w:ascii="仿宋" w:hAnsi="仿宋" w:eastAsia="仿宋" w:cs="仿宋"/>
          <w:bCs/>
          <w:szCs w:val="30"/>
          <w:highlight w:val="none"/>
          <w:lang w:val="en-US" w:eastAsia="zh-CN"/>
        </w:rPr>
        <w:t>3</w:t>
      </w:r>
      <w:r>
        <w:rPr>
          <w:rFonts w:hint="eastAsia" w:ascii="仿宋" w:hAnsi="仿宋" w:eastAsia="仿宋" w:cs="仿宋"/>
          <w:bCs/>
          <w:szCs w:val="30"/>
          <w:highlight w:val="none"/>
        </w:rPr>
        <w:t>.5 应急保障</w:t>
      </w:r>
      <w:r>
        <w:tab/>
      </w:r>
      <w:r>
        <w:fldChar w:fldCharType="begin"/>
      </w:r>
      <w:r>
        <w:instrText xml:space="preserve"> PAGEREF _Toc29986 \h </w:instrText>
      </w:r>
      <w:r>
        <w:fldChar w:fldCharType="separate"/>
      </w:r>
      <w:r>
        <w:t>- 138 -</w:t>
      </w:r>
      <w:r>
        <w:fldChar w:fldCharType="end"/>
      </w:r>
      <w:r>
        <w:rPr>
          <w:rFonts w:hint="eastAsia" w:ascii="仿宋" w:hAnsi="仿宋" w:eastAsia="仿宋" w:cs="仿宋"/>
          <w:bCs/>
          <w:color w:val="auto"/>
          <w:szCs w:val="28"/>
          <w:highlight w:val="none"/>
        </w:rPr>
        <w:fldChar w:fldCharType="end"/>
      </w:r>
    </w:p>
    <w:p w14:paraId="2592BB6C">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_Toc29953 </w:instrText>
      </w:r>
      <w:r>
        <w:rPr>
          <w:rFonts w:hint="eastAsia" w:ascii="仿宋" w:hAnsi="仿宋" w:eastAsia="仿宋" w:cs="仿宋"/>
          <w:bCs/>
          <w:szCs w:val="28"/>
          <w:highlight w:val="none"/>
        </w:rPr>
        <w:fldChar w:fldCharType="separate"/>
      </w:r>
      <w:r>
        <w:rPr>
          <w:rFonts w:hint="eastAsia" w:ascii="方正小标宋简体" w:hAnsi="方正小标宋简体" w:eastAsia="方正小标宋简体" w:cs="方正小标宋简体"/>
          <w:kern w:val="44"/>
          <w:szCs w:val="44"/>
          <w:highlight w:val="none"/>
        </w:rPr>
        <w:t>第三部分 现场处置方案</w:t>
      </w:r>
      <w:r>
        <w:tab/>
      </w:r>
      <w:r>
        <w:fldChar w:fldCharType="begin"/>
      </w:r>
      <w:r>
        <w:instrText xml:space="preserve"> PAGEREF _Toc29953 \h </w:instrText>
      </w:r>
      <w:r>
        <w:fldChar w:fldCharType="separate"/>
      </w:r>
      <w:r>
        <w:t>- 140 -</w:t>
      </w:r>
      <w:r>
        <w:fldChar w:fldCharType="end"/>
      </w:r>
      <w:r>
        <w:rPr>
          <w:rFonts w:hint="eastAsia" w:ascii="仿宋" w:hAnsi="仿宋" w:eastAsia="仿宋" w:cs="仿宋"/>
          <w:bCs/>
          <w:color w:val="auto"/>
          <w:szCs w:val="28"/>
          <w:highlight w:val="none"/>
        </w:rPr>
        <w:fldChar w:fldCharType="end"/>
      </w:r>
    </w:p>
    <w:p w14:paraId="6EE2B8F9">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_Toc7132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1 </w:t>
      </w:r>
      <w:r>
        <w:rPr>
          <w:rFonts w:hint="eastAsia" w:ascii="黑体" w:hAnsi="黑体" w:eastAsia="黑体" w:cs="黑体"/>
          <w:szCs w:val="30"/>
          <w:highlight w:val="none"/>
          <w:lang w:val="en-US" w:eastAsia="zh-CN"/>
        </w:rPr>
        <w:t>瓦斯</w:t>
      </w:r>
      <w:r>
        <w:rPr>
          <w:rFonts w:hint="eastAsia" w:ascii="黑体" w:hAnsi="黑体" w:eastAsia="黑体" w:cs="黑体"/>
          <w:szCs w:val="30"/>
          <w:highlight w:val="none"/>
        </w:rPr>
        <w:t>事故现场处置方案</w:t>
      </w:r>
      <w:r>
        <w:tab/>
      </w:r>
      <w:r>
        <w:fldChar w:fldCharType="begin"/>
      </w:r>
      <w:r>
        <w:instrText xml:space="preserve"> PAGEREF _Toc7132 \h </w:instrText>
      </w:r>
      <w:r>
        <w:fldChar w:fldCharType="separate"/>
      </w:r>
      <w:r>
        <w:t>- 140 -</w:t>
      </w:r>
      <w:r>
        <w:fldChar w:fldCharType="end"/>
      </w:r>
      <w:r>
        <w:rPr>
          <w:rFonts w:hint="eastAsia" w:ascii="仿宋" w:hAnsi="仿宋" w:eastAsia="仿宋" w:cs="仿宋"/>
          <w:bCs/>
          <w:color w:val="auto"/>
          <w:szCs w:val="28"/>
          <w:highlight w:val="none"/>
        </w:rPr>
        <w:fldChar w:fldCharType="end"/>
      </w:r>
    </w:p>
    <w:p w14:paraId="78C7996B">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_Toc31186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1.1事故风险描述</w:t>
      </w:r>
      <w:r>
        <w:tab/>
      </w:r>
      <w:r>
        <w:fldChar w:fldCharType="begin"/>
      </w:r>
      <w:r>
        <w:instrText xml:space="preserve"> PAGEREF _Toc31186 \h </w:instrText>
      </w:r>
      <w:r>
        <w:fldChar w:fldCharType="separate"/>
      </w:r>
      <w:r>
        <w:t>- 140 -</w:t>
      </w:r>
      <w:r>
        <w:fldChar w:fldCharType="end"/>
      </w:r>
      <w:r>
        <w:rPr>
          <w:rFonts w:hint="eastAsia" w:ascii="仿宋" w:hAnsi="仿宋" w:eastAsia="仿宋" w:cs="仿宋"/>
          <w:bCs/>
          <w:color w:val="auto"/>
          <w:szCs w:val="28"/>
          <w:highlight w:val="none"/>
        </w:rPr>
        <w:fldChar w:fldCharType="end"/>
      </w:r>
    </w:p>
    <w:p w14:paraId="0466CE3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_Toc22158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1.2 应急工作职责</w:t>
      </w:r>
      <w:r>
        <w:tab/>
      </w:r>
      <w:r>
        <w:fldChar w:fldCharType="begin"/>
      </w:r>
      <w:r>
        <w:instrText xml:space="preserve"> PAGEREF _Toc22158 \h </w:instrText>
      </w:r>
      <w:r>
        <w:fldChar w:fldCharType="separate"/>
      </w:r>
      <w:r>
        <w:t>- 140 -</w:t>
      </w:r>
      <w:r>
        <w:fldChar w:fldCharType="end"/>
      </w:r>
      <w:r>
        <w:rPr>
          <w:rFonts w:hint="eastAsia" w:ascii="仿宋" w:hAnsi="仿宋" w:eastAsia="仿宋" w:cs="仿宋"/>
          <w:bCs/>
          <w:color w:val="auto"/>
          <w:szCs w:val="28"/>
          <w:highlight w:val="none"/>
        </w:rPr>
        <w:fldChar w:fldCharType="end"/>
      </w:r>
    </w:p>
    <w:p w14:paraId="7EC009FD">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_Toc20976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ascii="楷体_GB2312" w:hAnsi="楷体_GB2312" w:eastAsia="楷体_GB2312" w:cs="楷体_GB2312"/>
          <w:szCs w:val="30"/>
          <w:highlight w:val="none"/>
        </w:rPr>
        <w:t>3 应急处置</w:t>
      </w:r>
      <w:r>
        <w:tab/>
      </w:r>
      <w:r>
        <w:fldChar w:fldCharType="begin"/>
      </w:r>
      <w:r>
        <w:instrText xml:space="preserve"> PAGEREF _Toc20976 \h </w:instrText>
      </w:r>
      <w:r>
        <w:fldChar w:fldCharType="separate"/>
      </w:r>
      <w:r>
        <w:t>- 141 -</w:t>
      </w:r>
      <w:r>
        <w:fldChar w:fldCharType="end"/>
      </w:r>
      <w:r>
        <w:rPr>
          <w:rFonts w:hint="eastAsia" w:ascii="仿宋" w:hAnsi="仿宋" w:eastAsia="仿宋" w:cs="仿宋"/>
          <w:bCs/>
          <w:color w:val="auto"/>
          <w:szCs w:val="28"/>
          <w:highlight w:val="none"/>
        </w:rPr>
        <w:fldChar w:fldCharType="end"/>
      </w:r>
    </w:p>
    <w:p w14:paraId="559065B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_Toc2747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1.4 注意事项</w:t>
      </w:r>
      <w:r>
        <w:tab/>
      </w:r>
      <w:r>
        <w:fldChar w:fldCharType="begin"/>
      </w:r>
      <w:r>
        <w:instrText xml:space="preserve"> PAGEREF _Toc2747 \h </w:instrText>
      </w:r>
      <w:r>
        <w:fldChar w:fldCharType="separate"/>
      </w:r>
      <w:r>
        <w:t>- 145 -</w:t>
      </w:r>
      <w:r>
        <w:fldChar w:fldCharType="end"/>
      </w:r>
      <w:r>
        <w:rPr>
          <w:rFonts w:hint="eastAsia" w:ascii="仿宋" w:hAnsi="仿宋" w:eastAsia="仿宋" w:cs="仿宋"/>
          <w:bCs/>
          <w:color w:val="auto"/>
          <w:szCs w:val="28"/>
          <w:highlight w:val="none"/>
        </w:rPr>
        <w:fldChar w:fldCharType="end"/>
      </w:r>
    </w:p>
    <w:p w14:paraId="5EACD83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1.5 其他需要特别警示的事项</w:t>
      </w:r>
      <w:r>
        <w:tab/>
      </w:r>
      <w:r>
        <w:fldChar w:fldCharType="begin"/>
      </w:r>
      <w:r>
        <w:instrText xml:space="preserve"> PAGEREF _Toc112 \h </w:instrText>
      </w:r>
      <w:r>
        <w:fldChar w:fldCharType="separate"/>
      </w:r>
      <w:r>
        <w:t>- 147 -</w:t>
      </w:r>
      <w:r>
        <w:fldChar w:fldCharType="end"/>
      </w:r>
      <w:r>
        <w:rPr>
          <w:rFonts w:hint="eastAsia" w:ascii="仿宋" w:hAnsi="仿宋" w:eastAsia="仿宋" w:cs="仿宋"/>
          <w:bCs/>
          <w:color w:val="auto"/>
          <w:szCs w:val="28"/>
          <w:highlight w:val="none"/>
        </w:rPr>
        <w:fldChar w:fldCharType="end"/>
      </w:r>
    </w:p>
    <w:p w14:paraId="05631C26">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_Toc7234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2 煤尘爆炸事故现场处置方案</w:t>
      </w:r>
      <w:r>
        <w:tab/>
      </w:r>
      <w:r>
        <w:fldChar w:fldCharType="begin"/>
      </w:r>
      <w:r>
        <w:instrText xml:space="preserve"> PAGEREF _Toc7234 \h </w:instrText>
      </w:r>
      <w:r>
        <w:fldChar w:fldCharType="separate"/>
      </w:r>
      <w:r>
        <w:t>- 148 -</w:t>
      </w:r>
      <w:r>
        <w:fldChar w:fldCharType="end"/>
      </w:r>
      <w:r>
        <w:rPr>
          <w:rFonts w:hint="eastAsia" w:ascii="仿宋" w:hAnsi="仿宋" w:eastAsia="仿宋" w:cs="仿宋"/>
          <w:bCs/>
          <w:color w:val="auto"/>
          <w:szCs w:val="28"/>
          <w:highlight w:val="none"/>
        </w:rPr>
        <w:fldChar w:fldCharType="end"/>
      </w:r>
    </w:p>
    <w:p w14:paraId="4AC73A9E">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_Toc31341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2.1事故风险描述</w:t>
      </w:r>
      <w:r>
        <w:tab/>
      </w:r>
      <w:r>
        <w:fldChar w:fldCharType="begin"/>
      </w:r>
      <w:r>
        <w:instrText xml:space="preserve"> PAGEREF _Toc31341 \h </w:instrText>
      </w:r>
      <w:r>
        <w:fldChar w:fldCharType="separate"/>
      </w:r>
      <w:r>
        <w:t>- 148 -</w:t>
      </w:r>
      <w:r>
        <w:fldChar w:fldCharType="end"/>
      </w:r>
      <w:r>
        <w:rPr>
          <w:rFonts w:hint="eastAsia" w:ascii="仿宋" w:hAnsi="仿宋" w:eastAsia="仿宋" w:cs="仿宋"/>
          <w:bCs/>
          <w:color w:val="auto"/>
          <w:szCs w:val="28"/>
          <w:highlight w:val="none"/>
        </w:rPr>
        <w:fldChar w:fldCharType="end"/>
      </w:r>
    </w:p>
    <w:p w14:paraId="77C34EEE">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_Toc4534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2.2 应急工作职责</w:t>
      </w:r>
      <w:r>
        <w:tab/>
      </w:r>
      <w:r>
        <w:fldChar w:fldCharType="begin"/>
      </w:r>
      <w:r>
        <w:instrText xml:space="preserve"> PAGEREF _Toc4534 \h </w:instrText>
      </w:r>
      <w:r>
        <w:fldChar w:fldCharType="separate"/>
      </w:r>
      <w:r>
        <w:t>- 148 -</w:t>
      </w:r>
      <w:r>
        <w:fldChar w:fldCharType="end"/>
      </w:r>
      <w:r>
        <w:rPr>
          <w:rFonts w:hint="eastAsia" w:ascii="仿宋" w:hAnsi="仿宋" w:eastAsia="仿宋" w:cs="仿宋"/>
          <w:bCs/>
          <w:color w:val="auto"/>
          <w:szCs w:val="28"/>
          <w:highlight w:val="none"/>
        </w:rPr>
        <w:fldChar w:fldCharType="end"/>
      </w:r>
    </w:p>
    <w:p w14:paraId="4E361586">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_Toc8812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2.3 应急处置</w:t>
      </w:r>
      <w:r>
        <w:tab/>
      </w:r>
      <w:r>
        <w:fldChar w:fldCharType="begin"/>
      </w:r>
      <w:r>
        <w:instrText xml:space="preserve"> PAGEREF _Toc8812 \h </w:instrText>
      </w:r>
      <w:r>
        <w:fldChar w:fldCharType="separate"/>
      </w:r>
      <w:r>
        <w:t>- 149 -</w:t>
      </w:r>
      <w:r>
        <w:fldChar w:fldCharType="end"/>
      </w:r>
      <w:r>
        <w:rPr>
          <w:rFonts w:hint="eastAsia" w:ascii="仿宋" w:hAnsi="仿宋" w:eastAsia="仿宋" w:cs="仿宋"/>
          <w:bCs/>
          <w:color w:val="auto"/>
          <w:szCs w:val="28"/>
          <w:highlight w:val="none"/>
        </w:rPr>
        <w:fldChar w:fldCharType="end"/>
      </w:r>
    </w:p>
    <w:p w14:paraId="5FAE8D58">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_Toc26822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w:t>
      </w:r>
      <w:r>
        <w:rPr>
          <w:rFonts w:ascii="楷体_GB2312" w:hAnsi="楷体_GB2312" w:eastAsia="楷体_GB2312" w:cs="楷体_GB2312"/>
          <w:szCs w:val="30"/>
          <w:highlight w:val="none"/>
        </w:rPr>
        <w:t>4 注意事项</w:t>
      </w:r>
      <w:r>
        <w:tab/>
      </w:r>
      <w:r>
        <w:fldChar w:fldCharType="begin"/>
      </w:r>
      <w:r>
        <w:instrText xml:space="preserve"> PAGEREF _Toc26822 \h </w:instrText>
      </w:r>
      <w:r>
        <w:fldChar w:fldCharType="separate"/>
      </w:r>
      <w:r>
        <w:t>- 153 -</w:t>
      </w:r>
      <w:r>
        <w:fldChar w:fldCharType="end"/>
      </w:r>
      <w:r>
        <w:rPr>
          <w:rFonts w:hint="eastAsia" w:ascii="仿宋" w:hAnsi="仿宋" w:eastAsia="仿宋" w:cs="仿宋"/>
          <w:bCs/>
          <w:color w:val="auto"/>
          <w:szCs w:val="28"/>
          <w:highlight w:val="none"/>
        </w:rPr>
        <w:fldChar w:fldCharType="end"/>
      </w:r>
    </w:p>
    <w:p w14:paraId="2A3351A9">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_Toc30646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2.5 其他需要特别警示的事项</w:t>
      </w:r>
      <w:r>
        <w:tab/>
      </w:r>
      <w:r>
        <w:fldChar w:fldCharType="begin"/>
      </w:r>
      <w:r>
        <w:instrText xml:space="preserve"> PAGEREF _Toc30646 \h </w:instrText>
      </w:r>
      <w:r>
        <w:fldChar w:fldCharType="separate"/>
      </w:r>
      <w:r>
        <w:t>- 156 -</w:t>
      </w:r>
      <w:r>
        <w:fldChar w:fldCharType="end"/>
      </w:r>
      <w:r>
        <w:rPr>
          <w:rFonts w:hint="eastAsia" w:ascii="仿宋" w:hAnsi="仿宋" w:eastAsia="仿宋" w:cs="仿宋"/>
          <w:bCs/>
          <w:color w:val="auto"/>
          <w:szCs w:val="28"/>
          <w:highlight w:val="none"/>
        </w:rPr>
        <w:fldChar w:fldCharType="end"/>
      </w:r>
    </w:p>
    <w:p w14:paraId="7D08E3CD">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_Toc674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3 </w:t>
      </w:r>
      <w:r>
        <w:rPr>
          <w:rFonts w:hint="eastAsia" w:ascii="黑体" w:hAnsi="黑体" w:eastAsia="黑体" w:cs="黑体"/>
          <w:szCs w:val="30"/>
          <w:highlight w:val="none"/>
          <w:lang w:val="en-US" w:eastAsia="zh-CN"/>
        </w:rPr>
        <w:t>矿井</w:t>
      </w:r>
      <w:r>
        <w:rPr>
          <w:rFonts w:hint="eastAsia" w:ascii="黑体" w:hAnsi="黑体" w:eastAsia="黑体" w:cs="黑体"/>
          <w:szCs w:val="30"/>
          <w:highlight w:val="none"/>
        </w:rPr>
        <w:t>火灾事故现场处置方案</w:t>
      </w:r>
      <w:r>
        <w:tab/>
      </w:r>
      <w:r>
        <w:fldChar w:fldCharType="begin"/>
      </w:r>
      <w:r>
        <w:instrText xml:space="preserve"> PAGEREF _Toc674 \h </w:instrText>
      </w:r>
      <w:r>
        <w:fldChar w:fldCharType="separate"/>
      </w:r>
      <w:r>
        <w:t>- 157 -</w:t>
      </w:r>
      <w:r>
        <w:fldChar w:fldCharType="end"/>
      </w:r>
      <w:r>
        <w:rPr>
          <w:rFonts w:hint="eastAsia" w:ascii="仿宋" w:hAnsi="仿宋" w:eastAsia="仿宋" w:cs="仿宋"/>
          <w:bCs/>
          <w:color w:val="auto"/>
          <w:szCs w:val="28"/>
          <w:highlight w:val="none"/>
        </w:rPr>
        <w:fldChar w:fldCharType="end"/>
      </w:r>
    </w:p>
    <w:p w14:paraId="0A240F3E">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_Toc24984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3.1事故风险描述</w:t>
      </w:r>
      <w:r>
        <w:tab/>
      </w:r>
      <w:r>
        <w:fldChar w:fldCharType="begin"/>
      </w:r>
      <w:r>
        <w:instrText xml:space="preserve"> PAGEREF _Toc24984 \h </w:instrText>
      </w:r>
      <w:r>
        <w:fldChar w:fldCharType="separate"/>
      </w:r>
      <w:r>
        <w:t>- 157 -</w:t>
      </w:r>
      <w:r>
        <w:fldChar w:fldCharType="end"/>
      </w:r>
      <w:r>
        <w:rPr>
          <w:rFonts w:hint="eastAsia" w:ascii="仿宋" w:hAnsi="仿宋" w:eastAsia="仿宋" w:cs="仿宋"/>
          <w:bCs/>
          <w:color w:val="auto"/>
          <w:szCs w:val="28"/>
          <w:highlight w:val="none"/>
        </w:rPr>
        <w:fldChar w:fldCharType="end"/>
      </w:r>
    </w:p>
    <w:p w14:paraId="569C468E">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_Toc4282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3.2 应急工作职责</w:t>
      </w:r>
      <w:r>
        <w:tab/>
      </w:r>
      <w:r>
        <w:fldChar w:fldCharType="begin"/>
      </w:r>
      <w:r>
        <w:instrText xml:space="preserve"> PAGEREF _Toc4282 \h </w:instrText>
      </w:r>
      <w:r>
        <w:fldChar w:fldCharType="separate"/>
      </w:r>
      <w:r>
        <w:t>- 158 -</w:t>
      </w:r>
      <w:r>
        <w:fldChar w:fldCharType="end"/>
      </w:r>
      <w:r>
        <w:rPr>
          <w:rFonts w:hint="eastAsia" w:ascii="仿宋" w:hAnsi="仿宋" w:eastAsia="仿宋" w:cs="仿宋"/>
          <w:bCs/>
          <w:color w:val="auto"/>
          <w:szCs w:val="28"/>
          <w:highlight w:val="none"/>
        </w:rPr>
        <w:fldChar w:fldCharType="end"/>
      </w:r>
    </w:p>
    <w:p w14:paraId="1A60C70B">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_Toc32180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3.3</w:t>
      </w:r>
      <w:r>
        <w:rPr>
          <w:rFonts w:ascii="楷体_GB2312" w:hAnsi="楷体_GB2312" w:eastAsia="楷体_GB2312" w:cs="楷体_GB2312"/>
          <w:szCs w:val="30"/>
          <w:highlight w:val="none"/>
        </w:rPr>
        <w:t xml:space="preserve"> 应急处置</w:t>
      </w:r>
      <w:r>
        <w:tab/>
      </w:r>
      <w:r>
        <w:fldChar w:fldCharType="begin"/>
      </w:r>
      <w:r>
        <w:instrText xml:space="preserve"> PAGEREF _Toc32180 \h </w:instrText>
      </w:r>
      <w:r>
        <w:fldChar w:fldCharType="separate"/>
      </w:r>
      <w:r>
        <w:t>- 159 -</w:t>
      </w:r>
      <w:r>
        <w:fldChar w:fldCharType="end"/>
      </w:r>
      <w:r>
        <w:rPr>
          <w:rFonts w:hint="eastAsia" w:ascii="仿宋" w:hAnsi="仿宋" w:eastAsia="仿宋" w:cs="仿宋"/>
          <w:bCs/>
          <w:color w:val="auto"/>
          <w:szCs w:val="28"/>
          <w:highlight w:val="none"/>
        </w:rPr>
        <w:fldChar w:fldCharType="end"/>
      </w:r>
    </w:p>
    <w:p w14:paraId="09677420">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_Toc27730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3.4 注意事项</w:t>
      </w:r>
      <w:r>
        <w:tab/>
      </w:r>
      <w:r>
        <w:fldChar w:fldCharType="begin"/>
      </w:r>
      <w:r>
        <w:instrText xml:space="preserve"> PAGEREF _Toc27730 \h </w:instrText>
      </w:r>
      <w:r>
        <w:fldChar w:fldCharType="separate"/>
      </w:r>
      <w:r>
        <w:t>- 165 -</w:t>
      </w:r>
      <w:r>
        <w:fldChar w:fldCharType="end"/>
      </w:r>
      <w:r>
        <w:rPr>
          <w:rFonts w:hint="eastAsia" w:ascii="仿宋" w:hAnsi="仿宋" w:eastAsia="仿宋" w:cs="仿宋"/>
          <w:bCs/>
          <w:color w:val="auto"/>
          <w:szCs w:val="28"/>
          <w:highlight w:val="none"/>
        </w:rPr>
        <w:fldChar w:fldCharType="end"/>
      </w:r>
    </w:p>
    <w:p w14:paraId="2FF5C28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_Toc20934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3.5 其他需要特别警示的事项</w:t>
      </w:r>
      <w:r>
        <w:tab/>
      </w:r>
      <w:r>
        <w:fldChar w:fldCharType="begin"/>
      </w:r>
      <w:r>
        <w:instrText xml:space="preserve"> PAGEREF _Toc20934 \h </w:instrText>
      </w:r>
      <w:r>
        <w:fldChar w:fldCharType="separate"/>
      </w:r>
      <w:r>
        <w:t>- 167 -</w:t>
      </w:r>
      <w:r>
        <w:fldChar w:fldCharType="end"/>
      </w:r>
      <w:r>
        <w:rPr>
          <w:rFonts w:hint="eastAsia" w:ascii="仿宋" w:hAnsi="仿宋" w:eastAsia="仿宋" w:cs="仿宋"/>
          <w:bCs/>
          <w:color w:val="auto"/>
          <w:szCs w:val="28"/>
          <w:highlight w:val="none"/>
        </w:rPr>
        <w:fldChar w:fldCharType="end"/>
      </w:r>
    </w:p>
    <w:p w14:paraId="6C480B98">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_Toc22450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4 矿井水害事故现场处置方案</w:t>
      </w:r>
      <w:r>
        <w:tab/>
      </w:r>
      <w:r>
        <w:fldChar w:fldCharType="begin"/>
      </w:r>
      <w:r>
        <w:instrText xml:space="preserve"> PAGEREF _Toc22450 \h </w:instrText>
      </w:r>
      <w:r>
        <w:fldChar w:fldCharType="separate"/>
      </w:r>
      <w:r>
        <w:t>- 168 -</w:t>
      </w:r>
      <w:r>
        <w:fldChar w:fldCharType="end"/>
      </w:r>
      <w:r>
        <w:rPr>
          <w:rFonts w:hint="eastAsia" w:ascii="仿宋" w:hAnsi="仿宋" w:eastAsia="仿宋" w:cs="仿宋"/>
          <w:bCs/>
          <w:color w:val="auto"/>
          <w:szCs w:val="28"/>
          <w:highlight w:val="none"/>
        </w:rPr>
        <w:fldChar w:fldCharType="end"/>
      </w:r>
    </w:p>
    <w:p w14:paraId="789C7AD2">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_Toc1153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4.1.1风险描述</w:t>
      </w:r>
      <w:r>
        <w:tab/>
      </w:r>
      <w:r>
        <w:fldChar w:fldCharType="begin"/>
      </w:r>
      <w:r>
        <w:instrText xml:space="preserve"> PAGEREF _Toc1153 \h </w:instrText>
      </w:r>
      <w:r>
        <w:fldChar w:fldCharType="separate"/>
      </w:r>
      <w:r>
        <w:t>- 168 -</w:t>
      </w:r>
      <w:r>
        <w:fldChar w:fldCharType="end"/>
      </w:r>
      <w:r>
        <w:rPr>
          <w:rFonts w:hint="eastAsia" w:ascii="仿宋" w:hAnsi="仿宋" w:eastAsia="仿宋" w:cs="仿宋"/>
          <w:bCs/>
          <w:color w:val="auto"/>
          <w:szCs w:val="28"/>
          <w:highlight w:val="none"/>
        </w:rPr>
        <w:fldChar w:fldCharType="end"/>
      </w:r>
    </w:p>
    <w:p w14:paraId="50FCFB4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_Toc24077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4.2 应急工作职责</w:t>
      </w:r>
      <w:r>
        <w:tab/>
      </w:r>
      <w:r>
        <w:fldChar w:fldCharType="begin"/>
      </w:r>
      <w:r>
        <w:instrText xml:space="preserve"> PAGEREF _Toc24077 \h </w:instrText>
      </w:r>
      <w:r>
        <w:fldChar w:fldCharType="separate"/>
      </w:r>
      <w:r>
        <w:t>- 168 -</w:t>
      </w:r>
      <w:r>
        <w:fldChar w:fldCharType="end"/>
      </w:r>
      <w:r>
        <w:rPr>
          <w:rFonts w:hint="eastAsia" w:ascii="仿宋" w:hAnsi="仿宋" w:eastAsia="仿宋" w:cs="仿宋"/>
          <w:bCs/>
          <w:color w:val="auto"/>
          <w:szCs w:val="28"/>
          <w:highlight w:val="none"/>
        </w:rPr>
        <w:fldChar w:fldCharType="end"/>
      </w:r>
    </w:p>
    <w:p w14:paraId="11E71EB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_Toc7797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4.3 应急处置</w:t>
      </w:r>
      <w:r>
        <w:tab/>
      </w:r>
      <w:r>
        <w:fldChar w:fldCharType="begin"/>
      </w:r>
      <w:r>
        <w:instrText xml:space="preserve"> PAGEREF _Toc7797 \h </w:instrText>
      </w:r>
      <w:r>
        <w:fldChar w:fldCharType="separate"/>
      </w:r>
      <w:r>
        <w:t>- 169 -</w:t>
      </w:r>
      <w:r>
        <w:fldChar w:fldCharType="end"/>
      </w:r>
      <w:r>
        <w:rPr>
          <w:rFonts w:hint="eastAsia" w:ascii="仿宋" w:hAnsi="仿宋" w:eastAsia="仿宋" w:cs="仿宋"/>
          <w:bCs/>
          <w:color w:val="auto"/>
          <w:szCs w:val="28"/>
          <w:highlight w:val="none"/>
        </w:rPr>
        <w:fldChar w:fldCharType="end"/>
      </w:r>
    </w:p>
    <w:p w14:paraId="3B7D7C2E">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_Toc28485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4.4 注意事项</w:t>
      </w:r>
      <w:r>
        <w:tab/>
      </w:r>
      <w:r>
        <w:fldChar w:fldCharType="begin"/>
      </w:r>
      <w:r>
        <w:instrText xml:space="preserve"> PAGEREF _Toc28485 \h </w:instrText>
      </w:r>
      <w:r>
        <w:fldChar w:fldCharType="separate"/>
      </w:r>
      <w:r>
        <w:t>- 174 -</w:t>
      </w:r>
      <w:r>
        <w:fldChar w:fldCharType="end"/>
      </w:r>
      <w:r>
        <w:rPr>
          <w:rFonts w:hint="eastAsia" w:ascii="仿宋" w:hAnsi="仿宋" w:eastAsia="仿宋" w:cs="仿宋"/>
          <w:bCs/>
          <w:color w:val="auto"/>
          <w:szCs w:val="28"/>
          <w:highlight w:val="none"/>
        </w:rPr>
        <w:fldChar w:fldCharType="end"/>
      </w:r>
    </w:p>
    <w:p w14:paraId="0ADDD0F5">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_Toc6951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4.5 其他需要特别警示的事项</w:t>
      </w:r>
      <w:r>
        <w:tab/>
      </w:r>
      <w:r>
        <w:fldChar w:fldCharType="begin"/>
      </w:r>
      <w:r>
        <w:instrText xml:space="preserve"> PAGEREF _Toc6951 \h </w:instrText>
      </w:r>
      <w:r>
        <w:fldChar w:fldCharType="separate"/>
      </w:r>
      <w:r>
        <w:t>- 175 -</w:t>
      </w:r>
      <w:r>
        <w:fldChar w:fldCharType="end"/>
      </w:r>
      <w:r>
        <w:rPr>
          <w:rFonts w:hint="eastAsia" w:ascii="仿宋" w:hAnsi="仿宋" w:eastAsia="仿宋" w:cs="仿宋"/>
          <w:bCs/>
          <w:color w:val="auto"/>
          <w:szCs w:val="28"/>
          <w:highlight w:val="none"/>
        </w:rPr>
        <w:fldChar w:fldCharType="end"/>
      </w:r>
    </w:p>
    <w:p w14:paraId="0C9733F9">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_Toc32574 </w:instrText>
      </w:r>
      <w:r>
        <w:rPr>
          <w:rFonts w:hint="eastAsia" w:ascii="仿宋" w:hAnsi="仿宋" w:eastAsia="仿宋" w:cs="仿宋"/>
          <w:bCs/>
          <w:szCs w:val="28"/>
          <w:highlight w:val="none"/>
        </w:rPr>
        <w:fldChar w:fldCharType="separate"/>
      </w:r>
      <w:r>
        <w:rPr>
          <w:rFonts w:hint="eastAsia" w:ascii="黑体" w:hAnsi="黑体" w:eastAsia="黑体" w:cs="黑体"/>
          <w:bCs/>
          <w:szCs w:val="30"/>
          <w:highlight w:val="none"/>
        </w:rPr>
        <w:t>5 顶板事故现场处置方案</w:t>
      </w:r>
      <w:r>
        <w:tab/>
      </w:r>
      <w:r>
        <w:fldChar w:fldCharType="begin"/>
      </w:r>
      <w:r>
        <w:instrText xml:space="preserve"> PAGEREF _Toc32574 \h </w:instrText>
      </w:r>
      <w:r>
        <w:fldChar w:fldCharType="separate"/>
      </w:r>
      <w:r>
        <w:t>- 177 -</w:t>
      </w:r>
      <w:r>
        <w:fldChar w:fldCharType="end"/>
      </w:r>
      <w:r>
        <w:rPr>
          <w:rFonts w:hint="eastAsia" w:ascii="仿宋" w:hAnsi="仿宋" w:eastAsia="仿宋" w:cs="仿宋"/>
          <w:bCs/>
          <w:color w:val="auto"/>
          <w:szCs w:val="28"/>
          <w:highlight w:val="none"/>
        </w:rPr>
        <w:fldChar w:fldCharType="end"/>
      </w:r>
    </w:p>
    <w:p w14:paraId="1D09947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_Toc5041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5.1事故风险描述</w:t>
      </w:r>
      <w:r>
        <w:tab/>
      </w:r>
      <w:r>
        <w:fldChar w:fldCharType="begin"/>
      </w:r>
      <w:r>
        <w:instrText xml:space="preserve"> PAGEREF _Toc5041 \h </w:instrText>
      </w:r>
      <w:r>
        <w:fldChar w:fldCharType="separate"/>
      </w:r>
      <w:r>
        <w:t>- 177 -</w:t>
      </w:r>
      <w:r>
        <w:fldChar w:fldCharType="end"/>
      </w:r>
      <w:r>
        <w:rPr>
          <w:rFonts w:hint="eastAsia" w:ascii="仿宋" w:hAnsi="仿宋" w:eastAsia="仿宋" w:cs="仿宋"/>
          <w:bCs/>
          <w:color w:val="auto"/>
          <w:szCs w:val="28"/>
          <w:highlight w:val="none"/>
        </w:rPr>
        <w:fldChar w:fldCharType="end"/>
      </w:r>
    </w:p>
    <w:p w14:paraId="58B03AE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_Toc27745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5.2 应急工作职责</w:t>
      </w:r>
      <w:r>
        <w:tab/>
      </w:r>
      <w:r>
        <w:fldChar w:fldCharType="begin"/>
      </w:r>
      <w:r>
        <w:instrText xml:space="preserve"> PAGEREF _Toc27745 \h </w:instrText>
      </w:r>
      <w:r>
        <w:fldChar w:fldCharType="separate"/>
      </w:r>
      <w:r>
        <w:t>- 177 -</w:t>
      </w:r>
      <w:r>
        <w:fldChar w:fldCharType="end"/>
      </w:r>
      <w:r>
        <w:rPr>
          <w:rFonts w:hint="eastAsia" w:ascii="仿宋" w:hAnsi="仿宋" w:eastAsia="仿宋" w:cs="仿宋"/>
          <w:bCs/>
          <w:color w:val="auto"/>
          <w:szCs w:val="28"/>
          <w:highlight w:val="none"/>
        </w:rPr>
        <w:fldChar w:fldCharType="end"/>
      </w:r>
    </w:p>
    <w:p w14:paraId="45B7605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_Toc22443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5.3 应急处置</w:t>
      </w:r>
      <w:r>
        <w:tab/>
      </w:r>
      <w:r>
        <w:fldChar w:fldCharType="begin"/>
      </w:r>
      <w:r>
        <w:instrText xml:space="preserve"> PAGEREF _Toc22443 \h </w:instrText>
      </w:r>
      <w:r>
        <w:fldChar w:fldCharType="separate"/>
      </w:r>
      <w:r>
        <w:t>- 178 -</w:t>
      </w:r>
      <w:r>
        <w:fldChar w:fldCharType="end"/>
      </w:r>
      <w:r>
        <w:rPr>
          <w:rFonts w:hint="eastAsia" w:ascii="仿宋" w:hAnsi="仿宋" w:eastAsia="仿宋" w:cs="仿宋"/>
          <w:bCs/>
          <w:color w:val="auto"/>
          <w:szCs w:val="28"/>
          <w:highlight w:val="none"/>
        </w:rPr>
        <w:fldChar w:fldCharType="end"/>
      </w:r>
    </w:p>
    <w:p w14:paraId="78A6DC52">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_Toc20334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5.</w:t>
      </w:r>
      <w:r>
        <w:rPr>
          <w:rFonts w:ascii="楷体_GB2312" w:hAnsi="楷体_GB2312" w:eastAsia="楷体_GB2312" w:cs="楷体_GB2312"/>
          <w:szCs w:val="30"/>
          <w:highlight w:val="none"/>
        </w:rPr>
        <w:t>4 注意事项</w:t>
      </w:r>
      <w:r>
        <w:tab/>
      </w:r>
      <w:r>
        <w:fldChar w:fldCharType="begin"/>
      </w:r>
      <w:r>
        <w:instrText xml:space="preserve"> PAGEREF _Toc20334 \h </w:instrText>
      </w:r>
      <w:r>
        <w:fldChar w:fldCharType="separate"/>
      </w:r>
      <w:r>
        <w:t>- 184 -</w:t>
      </w:r>
      <w:r>
        <w:fldChar w:fldCharType="end"/>
      </w:r>
      <w:r>
        <w:rPr>
          <w:rFonts w:hint="eastAsia" w:ascii="仿宋" w:hAnsi="仿宋" w:eastAsia="仿宋" w:cs="仿宋"/>
          <w:bCs/>
          <w:color w:val="auto"/>
          <w:szCs w:val="28"/>
          <w:highlight w:val="none"/>
        </w:rPr>
        <w:fldChar w:fldCharType="end"/>
      </w:r>
    </w:p>
    <w:p w14:paraId="2B28626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_Toc11828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5.5. 其他需要特别警示的事项</w:t>
      </w:r>
      <w:r>
        <w:tab/>
      </w:r>
      <w:r>
        <w:fldChar w:fldCharType="begin"/>
      </w:r>
      <w:r>
        <w:instrText xml:space="preserve"> PAGEREF _Toc11828 \h </w:instrText>
      </w:r>
      <w:r>
        <w:fldChar w:fldCharType="separate"/>
      </w:r>
      <w:r>
        <w:t>- 185 -</w:t>
      </w:r>
      <w:r>
        <w:fldChar w:fldCharType="end"/>
      </w:r>
      <w:r>
        <w:rPr>
          <w:rFonts w:hint="eastAsia" w:ascii="仿宋" w:hAnsi="仿宋" w:eastAsia="仿宋" w:cs="仿宋"/>
          <w:bCs/>
          <w:color w:val="auto"/>
          <w:szCs w:val="28"/>
          <w:highlight w:val="none"/>
        </w:rPr>
        <w:fldChar w:fldCharType="end"/>
      </w:r>
    </w:p>
    <w:p w14:paraId="39152F04">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_Toc9953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6 冲击地压事故现场处置方案</w:t>
      </w:r>
      <w:r>
        <w:tab/>
      </w:r>
      <w:r>
        <w:fldChar w:fldCharType="begin"/>
      </w:r>
      <w:r>
        <w:instrText xml:space="preserve"> PAGEREF _Toc9953 \h </w:instrText>
      </w:r>
      <w:r>
        <w:fldChar w:fldCharType="separate"/>
      </w:r>
      <w:r>
        <w:t>- 187 -</w:t>
      </w:r>
      <w:r>
        <w:fldChar w:fldCharType="end"/>
      </w:r>
      <w:r>
        <w:rPr>
          <w:rFonts w:hint="eastAsia" w:ascii="仿宋" w:hAnsi="仿宋" w:eastAsia="仿宋" w:cs="仿宋"/>
          <w:bCs/>
          <w:color w:val="auto"/>
          <w:szCs w:val="28"/>
          <w:highlight w:val="none"/>
        </w:rPr>
        <w:fldChar w:fldCharType="end"/>
      </w:r>
    </w:p>
    <w:p w14:paraId="62FFA91B">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_Toc2122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6.1事故风险描述</w:t>
      </w:r>
      <w:r>
        <w:tab/>
      </w:r>
      <w:r>
        <w:fldChar w:fldCharType="begin"/>
      </w:r>
      <w:r>
        <w:instrText xml:space="preserve"> PAGEREF _Toc2122 \h </w:instrText>
      </w:r>
      <w:r>
        <w:fldChar w:fldCharType="separate"/>
      </w:r>
      <w:r>
        <w:t>- 187 -</w:t>
      </w:r>
      <w:r>
        <w:fldChar w:fldCharType="end"/>
      </w:r>
      <w:r>
        <w:rPr>
          <w:rFonts w:hint="eastAsia" w:ascii="仿宋" w:hAnsi="仿宋" w:eastAsia="仿宋" w:cs="仿宋"/>
          <w:bCs/>
          <w:color w:val="auto"/>
          <w:szCs w:val="28"/>
          <w:highlight w:val="none"/>
        </w:rPr>
        <w:fldChar w:fldCharType="end"/>
      </w:r>
    </w:p>
    <w:p w14:paraId="5BB16CAE">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_Toc8816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6.2 应急工作职责</w:t>
      </w:r>
      <w:r>
        <w:tab/>
      </w:r>
      <w:r>
        <w:fldChar w:fldCharType="begin"/>
      </w:r>
      <w:r>
        <w:instrText xml:space="preserve"> PAGEREF _Toc8816 \h </w:instrText>
      </w:r>
      <w:r>
        <w:fldChar w:fldCharType="separate"/>
      </w:r>
      <w:r>
        <w:t>- 187 -</w:t>
      </w:r>
      <w:r>
        <w:fldChar w:fldCharType="end"/>
      </w:r>
      <w:r>
        <w:rPr>
          <w:rFonts w:hint="eastAsia" w:ascii="仿宋" w:hAnsi="仿宋" w:eastAsia="仿宋" w:cs="仿宋"/>
          <w:bCs/>
          <w:color w:val="auto"/>
          <w:szCs w:val="28"/>
          <w:highlight w:val="none"/>
        </w:rPr>
        <w:fldChar w:fldCharType="end"/>
      </w:r>
    </w:p>
    <w:p w14:paraId="7F68B0E8">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_Toc30417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6.3 应急处置</w:t>
      </w:r>
      <w:r>
        <w:tab/>
      </w:r>
      <w:r>
        <w:fldChar w:fldCharType="begin"/>
      </w:r>
      <w:r>
        <w:instrText xml:space="preserve"> PAGEREF _Toc30417 \h </w:instrText>
      </w:r>
      <w:r>
        <w:fldChar w:fldCharType="separate"/>
      </w:r>
      <w:r>
        <w:t>- 188 -</w:t>
      </w:r>
      <w:r>
        <w:fldChar w:fldCharType="end"/>
      </w:r>
      <w:r>
        <w:rPr>
          <w:rFonts w:hint="eastAsia" w:ascii="仿宋" w:hAnsi="仿宋" w:eastAsia="仿宋" w:cs="仿宋"/>
          <w:bCs/>
          <w:color w:val="auto"/>
          <w:szCs w:val="28"/>
          <w:highlight w:val="none"/>
        </w:rPr>
        <w:fldChar w:fldCharType="end"/>
      </w:r>
    </w:p>
    <w:p w14:paraId="7BA10962">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_Toc14178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6.4 注意事项</w:t>
      </w:r>
      <w:r>
        <w:tab/>
      </w:r>
      <w:r>
        <w:fldChar w:fldCharType="begin"/>
      </w:r>
      <w:r>
        <w:instrText xml:space="preserve"> PAGEREF _Toc14178 \h </w:instrText>
      </w:r>
      <w:r>
        <w:fldChar w:fldCharType="separate"/>
      </w:r>
      <w:r>
        <w:t>- 191 -</w:t>
      </w:r>
      <w:r>
        <w:fldChar w:fldCharType="end"/>
      </w:r>
      <w:r>
        <w:rPr>
          <w:rFonts w:hint="eastAsia" w:ascii="仿宋" w:hAnsi="仿宋" w:eastAsia="仿宋" w:cs="仿宋"/>
          <w:bCs/>
          <w:color w:val="auto"/>
          <w:szCs w:val="28"/>
          <w:highlight w:val="none"/>
        </w:rPr>
        <w:fldChar w:fldCharType="end"/>
      </w:r>
    </w:p>
    <w:p w14:paraId="64E3BFF0">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_Toc2562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6.5 其他需要特别警示的事项</w:t>
      </w:r>
      <w:r>
        <w:tab/>
      </w:r>
      <w:r>
        <w:fldChar w:fldCharType="begin"/>
      </w:r>
      <w:r>
        <w:instrText xml:space="preserve"> PAGEREF _Toc2562 \h </w:instrText>
      </w:r>
      <w:r>
        <w:fldChar w:fldCharType="separate"/>
      </w:r>
      <w:r>
        <w:t>- 193 -</w:t>
      </w:r>
      <w:r>
        <w:fldChar w:fldCharType="end"/>
      </w:r>
      <w:r>
        <w:rPr>
          <w:rFonts w:hint="eastAsia" w:ascii="仿宋" w:hAnsi="仿宋" w:eastAsia="仿宋" w:cs="仿宋"/>
          <w:bCs/>
          <w:color w:val="auto"/>
          <w:szCs w:val="28"/>
          <w:highlight w:val="none"/>
        </w:rPr>
        <w:fldChar w:fldCharType="end"/>
      </w:r>
    </w:p>
    <w:p w14:paraId="11D3CF8E">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_Toc11539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7 主要通风机停止运转事故现场处置方案</w:t>
      </w:r>
      <w:r>
        <w:tab/>
      </w:r>
      <w:r>
        <w:fldChar w:fldCharType="begin"/>
      </w:r>
      <w:r>
        <w:instrText xml:space="preserve"> PAGEREF _Toc11539 \h </w:instrText>
      </w:r>
      <w:r>
        <w:fldChar w:fldCharType="separate"/>
      </w:r>
      <w:r>
        <w:t>- 195 -</w:t>
      </w:r>
      <w:r>
        <w:fldChar w:fldCharType="end"/>
      </w:r>
      <w:r>
        <w:rPr>
          <w:rFonts w:hint="eastAsia" w:ascii="仿宋" w:hAnsi="仿宋" w:eastAsia="仿宋" w:cs="仿宋"/>
          <w:bCs/>
          <w:color w:val="auto"/>
          <w:szCs w:val="28"/>
          <w:highlight w:val="none"/>
        </w:rPr>
        <w:fldChar w:fldCharType="end"/>
      </w:r>
    </w:p>
    <w:p w14:paraId="01668FCB">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_Toc1874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7.1 事故风险描述</w:t>
      </w:r>
      <w:r>
        <w:tab/>
      </w:r>
      <w:r>
        <w:fldChar w:fldCharType="begin"/>
      </w:r>
      <w:r>
        <w:instrText xml:space="preserve"> PAGEREF _Toc1874 \h </w:instrText>
      </w:r>
      <w:r>
        <w:fldChar w:fldCharType="separate"/>
      </w:r>
      <w:r>
        <w:t>- 195 -</w:t>
      </w:r>
      <w:r>
        <w:fldChar w:fldCharType="end"/>
      </w:r>
      <w:r>
        <w:rPr>
          <w:rFonts w:hint="eastAsia" w:ascii="仿宋" w:hAnsi="仿宋" w:eastAsia="仿宋" w:cs="仿宋"/>
          <w:bCs/>
          <w:color w:val="auto"/>
          <w:szCs w:val="28"/>
          <w:highlight w:val="none"/>
        </w:rPr>
        <w:fldChar w:fldCharType="end"/>
      </w:r>
    </w:p>
    <w:p w14:paraId="033323B8">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_Toc26708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7.2 应急工作职责</w:t>
      </w:r>
      <w:r>
        <w:tab/>
      </w:r>
      <w:r>
        <w:fldChar w:fldCharType="begin"/>
      </w:r>
      <w:r>
        <w:instrText xml:space="preserve"> PAGEREF _Toc26708 \h </w:instrText>
      </w:r>
      <w:r>
        <w:fldChar w:fldCharType="separate"/>
      </w:r>
      <w:r>
        <w:t>- 195 -</w:t>
      </w:r>
      <w:r>
        <w:fldChar w:fldCharType="end"/>
      </w:r>
      <w:r>
        <w:rPr>
          <w:rFonts w:hint="eastAsia" w:ascii="仿宋" w:hAnsi="仿宋" w:eastAsia="仿宋" w:cs="仿宋"/>
          <w:bCs/>
          <w:color w:val="auto"/>
          <w:szCs w:val="28"/>
          <w:highlight w:val="none"/>
        </w:rPr>
        <w:fldChar w:fldCharType="end"/>
      </w:r>
    </w:p>
    <w:p w14:paraId="668EFC0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_Toc13502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7.3 应急处置</w:t>
      </w:r>
      <w:r>
        <w:tab/>
      </w:r>
      <w:r>
        <w:fldChar w:fldCharType="begin"/>
      </w:r>
      <w:r>
        <w:instrText xml:space="preserve"> PAGEREF _Toc13502 \h </w:instrText>
      </w:r>
      <w:r>
        <w:fldChar w:fldCharType="separate"/>
      </w:r>
      <w:r>
        <w:t>- 196 -</w:t>
      </w:r>
      <w:r>
        <w:fldChar w:fldCharType="end"/>
      </w:r>
      <w:r>
        <w:rPr>
          <w:rFonts w:hint="eastAsia" w:ascii="仿宋" w:hAnsi="仿宋" w:eastAsia="仿宋" w:cs="仿宋"/>
          <w:bCs/>
          <w:color w:val="auto"/>
          <w:szCs w:val="28"/>
          <w:highlight w:val="none"/>
        </w:rPr>
        <w:fldChar w:fldCharType="end"/>
      </w:r>
    </w:p>
    <w:p w14:paraId="1FC1F13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_Toc1313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w:t>
      </w:r>
      <w:r>
        <w:rPr>
          <w:rFonts w:ascii="楷体_GB2312" w:hAnsi="楷体_GB2312" w:eastAsia="楷体_GB2312" w:cs="楷体_GB2312"/>
          <w:szCs w:val="30"/>
          <w:highlight w:val="none"/>
        </w:rPr>
        <w:t>4 注意事项</w:t>
      </w:r>
      <w:r>
        <w:tab/>
      </w:r>
      <w:r>
        <w:fldChar w:fldCharType="begin"/>
      </w:r>
      <w:r>
        <w:instrText xml:space="preserve"> PAGEREF _Toc1313 \h </w:instrText>
      </w:r>
      <w:r>
        <w:fldChar w:fldCharType="separate"/>
      </w:r>
      <w:r>
        <w:t>- 201 -</w:t>
      </w:r>
      <w:r>
        <w:fldChar w:fldCharType="end"/>
      </w:r>
      <w:r>
        <w:rPr>
          <w:rFonts w:hint="eastAsia" w:ascii="仿宋" w:hAnsi="仿宋" w:eastAsia="仿宋" w:cs="仿宋"/>
          <w:bCs/>
          <w:color w:val="auto"/>
          <w:szCs w:val="28"/>
          <w:highlight w:val="none"/>
        </w:rPr>
        <w:fldChar w:fldCharType="end"/>
      </w:r>
    </w:p>
    <w:p w14:paraId="0D71F2A2">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_Toc10057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7.5 其他需要特别警示的事项</w:t>
      </w:r>
      <w:r>
        <w:tab/>
      </w:r>
      <w:r>
        <w:fldChar w:fldCharType="begin"/>
      </w:r>
      <w:r>
        <w:instrText xml:space="preserve"> PAGEREF _Toc10057 \h </w:instrText>
      </w:r>
      <w:r>
        <w:fldChar w:fldCharType="separate"/>
      </w:r>
      <w:r>
        <w:t>- 202 -</w:t>
      </w:r>
      <w:r>
        <w:fldChar w:fldCharType="end"/>
      </w:r>
      <w:r>
        <w:rPr>
          <w:rFonts w:hint="eastAsia" w:ascii="仿宋" w:hAnsi="仿宋" w:eastAsia="仿宋" w:cs="仿宋"/>
          <w:bCs/>
          <w:color w:val="auto"/>
          <w:szCs w:val="28"/>
          <w:highlight w:val="none"/>
        </w:rPr>
        <w:fldChar w:fldCharType="end"/>
      </w:r>
    </w:p>
    <w:p w14:paraId="6035EE65">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_Toc10825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8 矿井供电事故现场处置方案</w:t>
      </w:r>
      <w:r>
        <w:tab/>
      </w:r>
      <w:r>
        <w:fldChar w:fldCharType="begin"/>
      </w:r>
      <w:r>
        <w:instrText xml:space="preserve"> PAGEREF _Toc10825 \h </w:instrText>
      </w:r>
      <w:r>
        <w:fldChar w:fldCharType="separate"/>
      </w:r>
      <w:r>
        <w:t>- 203 -</w:t>
      </w:r>
      <w:r>
        <w:fldChar w:fldCharType="end"/>
      </w:r>
      <w:r>
        <w:rPr>
          <w:rFonts w:hint="eastAsia" w:ascii="仿宋" w:hAnsi="仿宋" w:eastAsia="仿宋" w:cs="仿宋"/>
          <w:bCs/>
          <w:color w:val="auto"/>
          <w:szCs w:val="28"/>
          <w:highlight w:val="none"/>
        </w:rPr>
        <w:fldChar w:fldCharType="end"/>
      </w:r>
    </w:p>
    <w:p w14:paraId="22A59C3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_Toc14990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8.1事故风险描述</w:t>
      </w:r>
      <w:r>
        <w:tab/>
      </w:r>
      <w:r>
        <w:fldChar w:fldCharType="begin"/>
      </w:r>
      <w:r>
        <w:instrText xml:space="preserve"> PAGEREF _Toc14990 \h </w:instrText>
      </w:r>
      <w:r>
        <w:fldChar w:fldCharType="separate"/>
      </w:r>
      <w:r>
        <w:t>- 203 -</w:t>
      </w:r>
      <w:r>
        <w:fldChar w:fldCharType="end"/>
      </w:r>
      <w:r>
        <w:rPr>
          <w:rFonts w:hint="eastAsia" w:ascii="仿宋" w:hAnsi="仿宋" w:eastAsia="仿宋" w:cs="仿宋"/>
          <w:bCs/>
          <w:color w:val="auto"/>
          <w:szCs w:val="28"/>
          <w:highlight w:val="none"/>
        </w:rPr>
        <w:fldChar w:fldCharType="end"/>
      </w:r>
    </w:p>
    <w:p w14:paraId="53F126E3">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_Toc31972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8.2 应急工作职责</w:t>
      </w:r>
      <w:r>
        <w:tab/>
      </w:r>
      <w:r>
        <w:fldChar w:fldCharType="begin"/>
      </w:r>
      <w:r>
        <w:instrText xml:space="preserve"> PAGEREF _Toc31972 \h </w:instrText>
      </w:r>
      <w:r>
        <w:fldChar w:fldCharType="separate"/>
      </w:r>
      <w:r>
        <w:t>- 203 -</w:t>
      </w:r>
      <w:r>
        <w:fldChar w:fldCharType="end"/>
      </w:r>
      <w:r>
        <w:rPr>
          <w:rFonts w:hint="eastAsia" w:ascii="仿宋" w:hAnsi="仿宋" w:eastAsia="仿宋" w:cs="仿宋"/>
          <w:bCs/>
          <w:color w:val="auto"/>
          <w:szCs w:val="28"/>
          <w:highlight w:val="none"/>
        </w:rPr>
        <w:fldChar w:fldCharType="end"/>
      </w:r>
    </w:p>
    <w:p w14:paraId="0E359F75">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_Toc24477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8.3 应急处置</w:t>
      </w:r>
      <w:r>
        <w:tab/>
      </w:r>
      <w:r>
        <w:fldChar w:fldCharType="begin"/>
      </w:r>
      <w:r>
        <w:instrText xml:space="preserve"> PAGEREF _Toc24477 \h </w:instrText>
      </w:r>
      <w:r>
        <w:fldChar w:fldCharType="separate"/>
      </w:r>
      <w:r>
        <w:t>- 204 -</w:t>
      </w:r>
      <w:r>
        <w:fldChar w:fldCharType="end"/>
      </w:r>
      <w:r>
        <w:rPr>
          <w:rFonts w:hint="eastAsia" w:ascii="仿宋" w:hAnsi="仿宋" w:eastAsia="仿宋" w:cs="仿宋"/>
          <w:bCs/>
          <w:color w:val="auto"/>
          <w:szCs w:val="28"/>
          <w:highlight w:val="none"/>
        </w:rPr>
        <w:fldChar w:fldCharType="end"/>
      </w:r>
    </w:p>
    <w:p w14:paraId="7E514374">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_Toc28851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8.4 注意事项</w:t>
      </w:r>
      <w:r>
        <w:tab/>
      </w:r>
      <w:r>
        <w:fldChar w:fldCharType="begin"/>
      </w:r>
      <w:r>
        <w:instrText xml:space="preserve"> PAGEREF _Toc28851 \h </w:instrText>
      </w:r>
      <w:r>
        <w:fldChar w:fldCharType="separate"/>
      </w:r>
      <w:r>
        <w:t>- 209 -</w:t>
      </w:r>
      <w:r>
        <w:fldChar w:fldCharType="end"/>
      </w:r>
      <w:r>
        <w:rPr>
          <w:rFonts w:hint="eastAsia" w:ascii="仿宋" w:hAnsi="仿宋" w:eastAsia="仿宋" w:cs="仿宋"/>
          <w:bCs/>
          <w:color w:val="auto"/>
          <w:szCs w:val="28"/>
          <w:highlight w:val="none"/>
        </w:rPr>
        <w:fldChar w:fldCharType="end"/>
      </w:r>
    </w:p>
    <w:p w14:paraId="12B10714">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_Toc11875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8.5 其他需要特别警示的事项</w:t>
      </w:r>
      <w:r>
        <w:tab/>
      </w:r>
      <w:r>
        <w:fldChar w:fldCharType="begin"/>
      </w:r>
      <w:r>
        <w:instrText xml:space="preserve"> PAGEREF _Toc11875 \h </w:instrText>
      </w:r>
      <w:r>
        <w:fldChar w:fldCharType="separate"/>
      </w:r>
      <w:r>
        <w:t>- 211 -</w:t>
      </w:r>
      <w:r>
        <w:fldChar w:fldCharType="end"/>
      </w:r>
      <w:r>
        <w:rPr>
          <w:rFonts w:hint="eastAsia" w:ascii="仿宋" w:hAnsi="仿宋" w:eastAsia="仿宋" w:cs="仿宋"/>
          <w:bCs/>
          <w:color w:val="auto"/>
          <w:szCs w:val="28"/>
          <w:highlight w:val="none"/>
        </w:rPr>
        <w:fldChar w:fldCharType="end"/>
      </w:r>
    </w:p>
    <w:p w14:paraId="1A7EBBB3">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_Toc3180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9 提升运输事故现场处置方案</w:t>
      </w:r>
      <w:r>
        <w:tab/>
      </w:r>
      <w:r>
        <w:fldChar w:fldCharType="begin"/>
      </w:r>
      <w:r>
        <w:instrText xml:space="preserve"> PAGEREF _Toc3180 \h </w:instrText>
      </w:r>
      <w:r>
        <w:fldChar w:fldCharType="separate"/>
      </w:r>
      <w:r>
        <w:t>- 212 -</w:t>
      </w:r>
      <w:r>
        <w:fldChar w:fldCharType="end"/>
      </w:r>
      <w:r>
        <w:rPr>
          <w:rFonts w:hint="eastAsia" w:ascii="仿宋" w:hAnsi="仿宋" w:eastAsia="仿宋" w:cs="仿宋"/>
          <w:bCs/>
          <w:color w:val="auto"/>
          <w:szCs w:val="28"/>
          <w:highlight w:val="none"/>
        </w:rPr>
        <w:fldChar w:fldCharType="end"/>
      </w:r>
    </w:p>
    <w:p w14:paraId="4F72B120">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_Toc12081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9.1 事故风险描述</w:t>
      </w:r>
      <w:r>
        <w:tab/>
      </w:r>
      <w:r>
        <w:fldChar w:fldCharType="begin"/>
      </w:r>
      <w:r>
        <w:instrText xml:space="preserve"> PAGEREF _Toc12081 \h </w:instrText>
      </w:r>
      <w:r>
        <w:fldChar w:fldCharType="separate"/>
      </w:r>
      <w:r>
        <w:t>- 212 -</w:t>
      </w:r>
      <w:r>
        <w:fldChar w:fldCharType="end"/>
      </w:r>
      <w:r>
        <w:rPr>
          <w:rFonts w:hint="eastAsia" w:ascii="仿宋" w:hAnsi="仿宋" w:eastAsia="仿宋" w:cs="仿宋"/>
          <w:bCs/>
          <w:color w:val="auto"/>
          <w:szCs w:val="28"/>
          <w:highlight w:val="none"/>
        </w:rPr>
        <w:fldChar w:fldCharType="end"/>
      </w:r>
    </w:p>
    <w:p w14:paraId="4723B691">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_Toc1380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w:t>
      </w:r>
      <w:r>
        <w:rPr>
          <w:rFonts w:ascii="楷体_GB2312" w:hAnsi="楷体_GB2312" w:eastAsia="楷体_GB2312" w:cs="楷体_GB2312"/>
          <w:szCs w:val="30"/>
          <w:highlight w:val="none"/>
        </w:rPr>
        <w:t>2 应急工作职责</w:t>
      </w:r>
      <w:r>
        <w:tab/>
      </w:r>
      <w:r>
        <w:fldChar w:fldCharType="begin"/>
      </w:r>
      <w:r>
        <w:instrText xml:space="preserve"> PAGEREF _Toc1380 \h </w:instrText>
      </w:r>
      <w:r>
        <w:fldChar w:fldCharType="separate"/>
      </w:r>
      <w:r>
        <w:t>- 212 -</w:t>
      </w:r>
      <w:r>
        <w:fldChar w:fldCharType="end"/>
      </w:r>
      <w:r>
        <w:rPr>
          <w:rFonts w:hint="eastAsia" w:ascii="仿宋" w:hAnsi="仿宋" w:eastAsia="仿宋" w:cs="仿宋"/>
          <w:bCs/>
          <w:color w:val="auto"/>
          <w:szCs w:val="28"/>
          <w:highlight w:val="none"/>
        </w:rPr>
        <w:fldChar w:fldCharType="end"/>
      </w:r>
    </w:p>
    <w:p w14:paraId="33B1A1E0">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_Toc13712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w:t>
      </w:r>
      <w:r>
        <w:rPr>
          <w:rFonts w:ascii="楷体_GB2312" w:hAnsi="楷体_GB2312" w:eastAsia="楷体_GB2312" w:cs="楷体_GB2312"/>
          <w:szCs w:val="30"/>
          <w:highlight w:val="none"/>
        </w:rPr>
        <w:t>3 应急处置</w:t>
      </w:r>
      <w:r>
        <w:tab/>
      </w:r>
      <w:r>
        <w:fldChar w:fldCharType="begin"/>
      </w:r>
      <w:r>
        <w:instrText xml:space="preserve"> PAGEREF _Toc13712 \h </w:instrText>
      </w:r>
      <w:r>
        <w:fldChar w:fldCharType="separate"/>
      </w:r>
      <w:r>
        <w:t>- 213 -</w:t>
      </w:r>
      <w:r>
        <w:fldChar w:fldCharType="end"/>
      </w:r>
      <w:r>
        <w:rPr>
          <w:rFonts w:hint="eastAsia" w:ascii="仿宋" w:hAnsi="仿宋" w:eastAsia="仿宋" w:cs="仿宋"/>
          <w:bCs/>
          <w:color w:val="auto"/>
          <w:szCs w:val="28"/>
          <w:highlight w:val="none"/>
        </w:rPr>
        <w:fldChar w:fldCharType="end"/>
      </w:r>
    </w:p>
    <w:p w14:paraId="29EADA60">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_Toc11405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w:t>
      </w:r>
      <w:r>
        <w:rPr>
          <w:rFonts w:ascii="楷体_GB2312" w:hAnsi="楷体_GB2312" w:eastAsia="楷体_GB2312" w:cs="楷体_GB2312"/>
          <w:szCs w:val="30"/>
          <w:highlight w:val="none"/>
        </w:rPr>
        <w:t>4 注意事项</w:t>
      </w:r>
      <w:r>
        <w:tab/>
      </w:r>
      <w:r>
        <w:fldChar w:fldCharType="begin"/>
      </w:r>
      <w:r>
        <w:instrText xml:space="preserve"> PAGEREF _Toc11405 \h </w:instrText>
      </w:r>
      <w:r>
        <w:fldChar w:fldCharType="separate"/>
      </w:r>
      <w:r>
        <w:t>- 229 -</w:t>
      </w:r>
      <w:r>
        <w:fldChar w:fldCharType="end"/>
      </w:r>
      <w:r>
        <w:rPr>
          <w:rFonts w:hint="eastAsia" w:ascii="仿宋" w:hAnsi="仿宋" w:eastAsia="仿宋" w:cs="仿宋"/>
          <w:bCs/>
          <w:color w:val="auto"/>
          <w:szCs w:val="28"/>
          <w:highlight w:val="none"/>
        </w:rPr>
        <w:fldChar w:fldCharType="end"/>
      </w:r>
    </w:p>
    <w:p w14:paraId="06046F46">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_Toc17280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9.5其他需要特别警示的事项</w:t>
      </w:r>
      <w:r>
        <w:tab/>
      </w:r>
      <w:r>
        <w:fldChar w:fldCharType="begin"/>
      </w:r>
      <w:r>
        <w:instrText xml:space="preserve"> PAGEREF _Toc17280 \h </w:instrText>
      </w:r>
      <w:r>
        <w:fldChar w:fldCharType="separate"/>
      </w:r>
      <w:r>
        <w:t>- 231 -</w:t>
      </w:r>
      <w:r>
        <w:fldChar w:fldCharType="end"/>
      </w:r>
      <w:r>
        <w:rPr>
          <w:rFonts w:hint="eastAsia" w:ascii="仿宋" w:hAnsi="仿宋" w:eastAsia="仿宋" w:cs="仿宋"/>
          <w:bCs/>
          <w:color w:val="auto"/>
          <w:szCs w:val="28"/>
          <w:highlight w:val="none"/>
        </w:rPr>
        <w:fldChar w:fldCharType="end"/>
      </w:r>
    </w:p>
    <w:p w14:paraId="35643F4F">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_Toc14037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10 </w:t>
      </w:r>
      <w:r>
        <w:rPr>
          <w:rFonts w:hint="eastAsia" w:ascii="黑体" w:hAnsi="黑体" w:eastAsia="黑体" w:cs="黑体"/>
          <w:szCs w:val="30"/>
          <w:highlight w:val="none"/>
          <w:lang w:val="en-US" w:eastAsia="zh-CN"/>
        </w:rPr>
        <w:t>民用</w:t>
      </w:r>
      <w:r>
        <w:rPr>
          <w:rFonts w:hint="eastAsia" w:ascii="黑体" w:hAnsi="黑体" w:eastAsia="黑体" w:cs="黑体"/>
          <w:szCs w:val="30"/>
          <w:highlight w:val="none"/>
        </w:rPr>
        <w:t>爆炸物品事故现场处置方案</w:t>
      </w:r>
      <w:r>
        <w:tab/>
      </w:r>
      <w:r>
        <w:fldChar w:fldCharType="begin"/>
      </w:r>
      <w:r>
        <w:instrText xml:space="preserve"> PAGEREF _Toc14037 \h </w:instrText>
      </w:r>
      <w:r>
        <w:fldChar w:fldCharType="separate"/>
      </w:r>
      <w:r>
        <w:t>- 232 -</w:t>
      </w:r>
      <w:r>
        <w:fldChar w:fldCharType="end"/>
      </w:r>
      <w:r>
        <w:rPr>
          <w:rFonts w:hint="eastAsia" w:ascii="仿宋" w:hAnsi="仿宋" w:eastAsia="仿宋" w:cs="仿宋"/>
          <w:bCs/>
          <w:color w:val="auto"/>
          <w:szCs w:val="28"/>
          <w:highlight w:val="none"/>
        </w:rPr>
        <w:fldChar w:fldCharType="end"/>
      </w:r>
    </w:p>
    <w:p w14:paraId="580D30F9">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_Toc32052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10.1事故风险描述</w:t>
      </w:r>
      <w:r>
        <w:tab/>
      </w:r>
      <w:r>
        <w:fldChar w:fldCharType="begin"/>
      </w:r>
      <w:r>
        <w:instrText xml:space="preserve"> PAGEREF _Toc32052 \h </w:instrText>
      </w:r>
      <w:r>
        <w:fldChar w:fldCharType="separate"/>
      </w:r>
      <w:r>
        <w:t>- 232 -</w:t>
      </w:r>
      <w:r>
        <w:fldChar w:fldCharType="end"/>
      </w:r>
      <w:r>
        <w:rPr>
          <w:rFonts w:hint="eastAsia" w:ascii="仿宋" w:hAnsi="仿宋" w:eastAsia="仿宋" w:cs="仿宋"/>
          <w:bCs/>
          <w:color w:val="auto"/>
          <w:szCs w:val="28"/>
          <w:highlight w:val="none"/>
        </w:rPr>
        <w:fldChar w:fldCharType="end"/>
      </w:r>
    </w:p>
    <w:p w14:paraId="2F276A73">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_Toc22641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w:t>
      </w:r>
      <w:r>
        <w:rPr>
          <w:rFonts w:ascii="楷体_GB2312" w:hAnsi="楷体_GB2312" w:eastAsia="楷体_GB2312" w:cs="楷体_GB2312"/>
          <w:szCs w:val="30"/>
          <w:highlight w:val="none"/>
        </w:rPr>
        <w:t>2 应急工作职责</w:t>
      </w:r>
      <w:r>
        <w:tab/>
      </w:r>
      <w:r>
        <w:fldChar w:fldCharType="begin"/>
      </w:r>
      <w:r>
        <w:instrText xml:space="preserve"> PAGEREF _Toc22641 \h </w:instrText>
      </w:r>
      <w:r>
        <w:fldChar w:fldCharType="separate"/>
      </w:r>
      <w:r>
        <w:t>- 232 -</w:t>
      </w:r>
      <w:r>
        <w:fldChar w:fldCharType="end"/>
      </w:r>
      <w:r>
        <w:rPr>
          <w:rFonts w:hint="eastAsia" w:ascii="仿宋" w:hAnsi="仿宋" w:eastAsia="仿宋" w:cs="仿宋"/>
          <w:bCs/>
          <w:color w:val="auto"/>
          <w:szCs w:val="28"/>
          <w:highlight w:val="none"/>
        </w:rPr>
        <w:fldChar w:fldCharType="end"/>
      </w:r>
    </w:p>
    <w:p w14:paraId="2D585FD6">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_Toc19808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w:t>
      </w:r>
      <w:r>
        <w:rPr>
          <w:rFonts w:ascii="楷体_GB2312" w:hAnsi="楷体_GB2312" w:eastAsia="楷体_GB2312" w:cs="楷体_GB2312"/>
          <w:szCs w:val="30"/>
          <w:highlight w:val="none"/>
        </w:rPr>
        <w:t>3 应急处置</w:t>
      </w:r>
      <w:r>
        <w:tab/>
      </w:r>
      <w:r>
        <w:fldChar w:fldCharType="begin"/>
      </w:r>
      <w:r>
        <w:instrText xml:space="preserve"> PAGEREF _Toc19808 \h </w:instrText>
      </w:r>
      <w:r>
        <w:fldChar w:fldCharType="separate"/>
      </w:r>
      <w:r>
        <w:t>- 233 -</w:t>
      </w:r>
      <w:r>
        <w:fldChar w:fldCharType="end"/>
      </w:r>
      <w:r>
        <w:rPr>
          <w:rFonts w:hint="eastAsia" w:ascii="仿宋" w:hAnsi="仿宋" w:eastAsia="仿宋" w:cs="仿宋"/>
          <w:bCs/>
          <w:color w:val="auto"/>
          <w:szCs w:val="28"/>
          <w:highlight w:val="none"/>
        </w:rPr>
        <w:fldChar w:fldCharType="end"/>
      </w:r>
    </w:p>
    <w:p w14:paraId="007B13B3">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_Toc26002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10.4 注意事项</w:t>
      </w:r>
      <w:r>
        <w:tab/>
      </w:r>
      <w:r>
        <w:fldChar w:fldCharType="begin"/>
      </w:r>
      <w:r>
        <w:instrText xml:space="preserve"> PAGEREF _Toc26002 \h </w:instrText>
      </w:r>
      <w:r>
        <w:fldChar w:fldCharType="separate"/>
      </w:r>
      <w:r>
        <w:t>- 236 -</w:t>
      </w:r>
      <w:r>
        <w:fldChar w:fldCharType="end"/>
      </w:r>
      <w:r>
        <w:rPr>
          <w:rFonts w:hint="eastAsia" w:ascii="仿宋" w:hAnsi="仿宋" w:eastAsia="仿宋" w:cs="仿宋"/>
          <w:bCs/>
          <w:color w:val="auto"/>
          <w:szCs w:val="28"/>
          <w:highlight w:val="none"/>
        </w:rPr>
        <w:fldChar w:fldCharType="end"/>
      </w:r>
    </w:p>
    <w:p w14:paraId="17875852">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_Toc22321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10.5 其他需要特别警示的事项</w:t>
      </w:r>
      <w:r>
        <w:tab/>
      </w:r>
      <w:r>
        <w:fldChar w:fldCharType="begin"/>
      </w:r>
      <w:r>
        <w:instrText xml:space="preserve"> PAGEREF _Toc22321 \h </w:instrText>
      </w:r>
      <w:r>
        <w:fldChar w:fldCharType="separate"/>
      </w:r>
      <w:r>
        <w:t>- 238 -</w:t>
      </w:r>
      <w:r>
        <w:fldChar w:fldCharType="end"/>
      </w:r>
      <w:r>
        <w:rPr>
          <w:rFonts w:hint="eastAsia" w:ascii="仿宋" w:hAnsi="仿宋" w:eastAsia="仿宋" w:cs="仿宋"/>
          <w:bCs/>
          <w:color w:val="auto"/>
          <w:szCs w:val="28"/>
          <w:highlight w:val="none"/>
        </w:rPr>
        <w:fldChar w:fldCharType="end"/>
      </w:r>
    </w:p>
    <w:p w14:paraId="41223C07">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_Toc13856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11  自然灾害事故现场处置方案</w:t>
      </w:r>
      <w:r>
        <w:tab/>
      </w:r>
      <w:r>
        <w:fldChar w:fldCharType="begin"/>
      </w:r>
      <w:r>
        <w:instrText xml:space="preserve"> PAGEREF _Toc13856 \h </w:instrText>
      </w:r>
      <w:r>
        <w:fldChar w:fldCharType="separate"/>
      </w:r>
      <w:r>
        <w:t>- 239 -</w:t>
      </w:r>
      <w:r>
        <w:fldChar w:fldCharType="end"/>
      </w:r>
      <w:r>
        <w:rPr>
          <w:rFonts w:hint="eastAsia" w:ascii="仿宋" w:hAnsi="仿宋" w:eastAsia="仿宋" w:cs="仿宋"/>
          <w:bCs/>
          <w:color w:val="auto"/>
          <w:szCs w:val="28"/>
          <w:highlight w:val="none"/>
        </w:rPr>
        <w:fldChar w:fldCharType="end"/>
      </w:r>
    </w:p>
    <w:p w14:paraId="1077FBA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_Toc5785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1</w:t>
      </w:r>
      <w:r>
        <w:rPr>
          <w:rFonts w:hint="eastAsia" w:ascii="楷体_GB2312" w:hAnsi="楷体_GB2312" w:eastAsia="楷体_GB2312" w:cs="楷体_GB2312"/>
          <w:szCs w:val="30"/>
          <w:highlight w:val="none"/>
        </w:rPr>
        <w:t>.1 事故风险描述</w:t>
      </w:r>
      <w:r>
        <w:tab/>
      </w:r>
      <w:r>
        <w:fldChar w:fldCharType="begin"/>
      </w:r>
      <w:r>
        <w:instrText xml:space="preserve"> PAGEREF _Toc5785 \h </w:instrText>
      </w:r>
      <w:r>
        <w:fldChar w:fldCharType="separate"/>
      </w:r>
      <w:r>
        <w:t>- 239 -</w:t>
      </w:r>
      <w:r>
        <w:fldChar w:fldCharType="end"/>
      </w:r>
      <w:r>
        <w:rPr>
          <w:rFonts w:hint="eastAsia" w:ascii="仿宋" w:hAnsi="仿宋" w:eastAsia="仿宋" w:cs="仿宋"/>
          <w:bCs/>
          <w:color w:val="auto"/>
          <w:szCs w:val="28"/>
          <w:highlight w:val="none"/>
        </w:rPr>
        <w:fldChar w:fldCharType="end"/>
      </w:r>
    </w:p>
    <w:p w14:paraId="5F82D09D">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_Toc29521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1</w:t>
      </w:r>
      <w:r>
        <w:rPr>
          <w:rFonts w:hint="eastAsia" w:ascii="楷体_GB2312" w:hAnsi="楷体_GB2312" w:eastAsia="楷体_GB2312" w:cs="楷体_GB2312"/>
          <w:szCs w:val="30"/>
          <w:highlight w:val="none"/>
        </w:rPr>
        <w:t>.</w:t>
      </w:r>
      <w:r>
        <w:rPr>
          <w:rFonts w:ascii="楷体_GB2312" w:hAnsi="楷体_GB2312" w:eastAsia="楷体_GB2312" w:cs="楷体_GB2312"/>
          <w:szCs w:val="30"/>
          <w:highlight w:val="none"/>
        </w:rPr>
        <w:t>2 应急工作职责</w:t>
      </w:r>
      <w:r>
        <w:tab/>
      </w:r>
      <w:r>
        <w:fldChar w:fldCharType="begin"/>
      </w:r>
      <w:r>
        <w:instrText xml:space="preserve"> PAGEREF _Toc29521 \h </w:instrText>
      </w:r>
      <w:r>
        <w:fldChar w:fldCharType="separate"/>
      </w:r>
      <w:r>
        <w:t>- 239 -</w:t>
      </w:r>
      <w:r>
        <w:fldChar w:fldCharType="end"/>
      </w:r>
      <w:r>
        <w:rPr>
          <w:rFonts w:hint="eastAsia" w:ascii="仿宋" w:hAnsi="仿宋" w:eastAsia="仿宋" w:cs="仿宋"/>
          <w:bCs/>
          <w:color w:val="auto"/>
          <w:szCs w:val="28"/>
          <w:highlight w:val="none"/>
        </w:rPr>
        <w:fldChar w:fldCharType="end"/>
      </w:r>
    </w:p>
    <w:p w14:paraId="55A97681">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_Toc16628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1</w:t>
      </w:r>
      <w:r>
        <w:rPr>
          <w:rFonts w:hint="eastAsia" w:ascii="楷体_GB2312" w:hAnsi="楷体_GB2312" w:eastAsia="楷体_GB2312" w:cs="楷体_GB2312"/>
          <w:szCs w:val="30"/>
          <w:highlight w:val="none"/>
        </w:rPr>
        <w:t>.</w:t>
      </w:r>
      <w:r>
        <w:rPr>
          <w:rFonts w:ascii="楷体_GB2312" w:hAnsi="楷体_GB2312" w:eastAsia="楷体_GB2312" w:cs="楷体_GB2312"/>
          <w:szCs w:val="30"/>
          <w:highlight w:val="none"/>
        </w:rPr>
        <w:t>3 应急处置</w:t>
      </w:r>
      <w:r>
        <w:tab/>
      </w:r>
      <w:r>
        <w:fldChar w:fldCharType="begin"/>
      </w:r>
      <w:r>
        <w:instrText xml:space="preserve"> PAGEREF _Toc16628 \h </w:instrText>
      </w:r>
      <w:r>
        <w:fldChar w:fldCharType="separate"/>
      </w:r>
      <w:r>
        <w:t>- 240 -</w:t>
      </w:r>
      <w:r>
        <w:fldChar w:fldCharType="end"/>
      </w:r>
      <w:r>
        <w:rPr>
          <w:rFonts w:hint="eastAsia" w:ascii="仿宋" w:hAnsi="仿宋" w:eastAsia="仿宋" w:cs="仿宋"/>
          <w:bCs/>
          <w:color w:val="auto"/>
          <w:szCs w:val="28"/>
          <w:highlight w:val="none"/>
        </w:rPr>
        <w:fldChar w:fldCharType="end"/>
      </w:r>
    </w:p>
    <w:p w14:paraId="4E2FCD9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_Toc21019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1</w:t>
      </w:r>
      <w:r>
        <w:rPr>
          <w:rFonts w:hint="eastAsia" w:ascii="楷体_GB2312" w:hAnsi="楷体_GB2312" w:eastAsia="楷体_GB2312" w:cs="楷体_GB2312"/>
          <w:szCs w:val="30"/>
          <w:highlight w:val="none"/>
        </w:rPr>
        <w:t>.4 注意事项</w:t>
      </w:r>
      <w:r>
        <w:tab/>
      </w:r>
      <w:r>
        <w:fldChar w:fldCharType="begin"/>
      </w:r>
      <w:r>
        <w:instrText xml:space="preserve"> PAGEREF _Toc21019 \h </w:instrText>
      </w:r>
      <w:r>
        <w:fldChar w:fldCharType="separate"/>
      </w:r>
      <w:r>
        <w:t>- 245 -</w:t>
      </w:r>
      <w:r>
        <w:fldChar w:fldCharType="end"/>
      </w:r>
      <w:r>
        <w:rPr>
          <w:rFonts w:hint="eastAsia" w:ascii="仿宋" w:hAnsi="仿宋" w:eastAsia="仿宋" w:cs="仿宋"/>
          <w:bCs/>
          <w:color w:val="auto"/>
          <w:szCs w:val="28"/>
          <w:highlight w:val="none"/>
        </w:rPr>
        <w:fldChar w:fldCharType="end"/>
      </w:r>
    </w:p>
    <w:p w14:paraId="60B24AA1">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_Toc37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1</w:t>
      </w:r>
      <w:r>
        <w:rPr>
          <w:rFonts w:hint="eastAsia" w:ascii="楷体_GB2312" w:hAnsi="楷体_GB2312" w:eastAsia="楷体_GB2312" w:cs="楷体_GB2312"/>
          <w:szCs w:val="30"/>
          <w:highlight w:val="none"/>
        </w:rPr>
        <w:t>.5 其他需要特别警示的事项</w:t>
      </w:r>
      <w:r>
        <w:tab/>
      </w:r>
      <w:r>
        <w:fldChar w:fldCharType="begin"/>
      </w:r>
      <w:r>
        <w:instrText xml:space="preserve"> PAGEREF _Toc37 \h </w:instrText>
      </w:r>
      <w:r>
        <w:fldChar w:fldCharType="separate"/>
      </w:r>
      <w:r>
        <w:t>- 247 -</w:t>
      </w:r>
      <w:r>
        <w:fldChar w:fldCharType="end"/>
      </w:r>
      <w:r>
        <w:rPr>
          <w:rFonts w:hint="eastAsia" w:ascii="仿宋" w:hAnsi="仿宋" w:eastAsia="仿宋" w:cs="仿宋"/>
          <w:bCs/>
          <w:color w:val="auto"/>
          <w:szCs w:val="28"/>
          <w:highlight w:val="none"/>
        </w:rPr>
        <w:fldChar w:fldCharType="end"/>
      </w:r>
    </w:p>
    <w:p w14:paraId="58CA0053">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_Toc8823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1</w:t>
      </w:r>
      <w:r>
        <w:rPr>
          <w:rFonts w:hint="eastAsia" w:ascii="黑体" w:hAnsi="黑体" w:eastAsia="黑体" w:cs="黑体"/>
          <w:szCs w:val="30"/>
          <w:highlight w:val="none"/>
          <w:lang w:val="en-US" w:eastAsia="zh-CN"/>
        </w:rPr>
        <w:t>2</w:t>
      </w:r>
      <w:r>
        <w:rPr>
          <w:rFonts w:hint="eastAsia" w:ascii="黑体" w:hAnsi="黑体" w:eastAsia="黑体" w:cs="黑体"/>
          <w:szCs w:val="30"/>
          <w:highlight w:val="none"/>
        </w:rPr>
        <w:t xml:space="preserve">  </w:t>
      </w:r>
      <w:r>
        <w:rPr>
          <w:rFonts w:hint="eastAsia" w:ascii="黑体" w:hAnsi="黑体" w:eastAsia="黑体" w:cs="黑体"/>
          <w:szCs w:val="30"/>
          <w:highlight w:val="none"/>
          <w:lang w:val="en-US" w:eastAsia="zh-CN"/>
        </w:rPr>
        <w:t>矿井煤仓</w:t>
      </w:r>
      <w:r>
        <w:rPr>
          <w:rFonts w:hint="eastAsia" w:ascii="黑体" w:hAnsi="黑体" w:eastAsia="黑体" w:cs="黑体"/>
          <w:szCs w:val="30"/>
          <w:highlight w:val="none"/>
        </w:rPr>
        <w:t>事故现场处置方案</w:t>
      </w:r>
      <w:r>
        <w:tab/>
      </w:r>
      <w:r>
        <w:fldChar w:fldCharType="begin"/>
      </w:r>
      <w:r>
        <w:instrText xml:space="preserve"> PAGEREF _Toc8823 \h </w:instrText>
      </w:r>
      <w:r>
        <w:fldChar w:fldCharType="separate"/>
      </w:r>
      <w:r>
        <w:t>- 248 -</w:t>
      </w:r>
      <w:r>
        <w:fldChar w:fldCharType="end"/>
      </w:r>
      <w:r>
        <w:rPr>
          <w:rFonts w:hint="eastAsia" w:ascii="仿宋" w:hAnsi="仿宋" w:eastAsia="仿宋" w:cs="仿宋"/>
          <w:bCs/>
          <w:color w:val="auto"/>
          <w:szCs w:val="28"/>
          <w:highlight w:val="none"/>
        </w:rPr>
        <w:fldChar w:fldCharType="end"/>
      </w:r>
    </w:p>
    <w:p w14:paraId="11D21BFA">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_Toc860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2</w:t>
      </w:r>
      <w:r>
        <w:rPr>
          <w:rFonts w:hint="eastAsia" w:ascii="楷体_GB2312" w:hAnsi="楷体_GB2312" w:eastAsia="楷体_GB2312" w:cs="楷体_GB2312"/>
          <w:szCs w:val="30"/>
          <w:highlight w:val="none"/>
        </w:rPr>
        <w:t>.1 事故风险描述</w:t>
      </w:r>
      <w:r>
        <w:tab/>
      </w:r>
      <w:r>
        <w:fldChar w:fldCharType="begin"/>
      </w:r>
      <w:r>
        <w:instrText xml:space="preserve"> PAGEREF _Toc860 \h </w:instrText>
      </w:r>
      <w:r>
        <w:fldChar w:fldCharType="separate"/>
      </w:r>
      <w:r>
        <w:t>- 248 -</w:t>
      </w:r>
      <w:r>
        <w:fldChar w:fldCharType="end"/>
      </w:r>
      <w:r>
        <w:rPr>
          <w:rFonts w:hint="eastAsia" w:ascii="仿宋" w:hAnsi="仿宋" w:eastAsia="仿宋" w:cs="仿宋"/>
          <w:bCs/>
          <w:color w:val="auto"/>
          <w:szCs w:val="28"/>
          <w:highlight w:val="none"/>
        </w:rPr>
        <w:fldChar w:fldCharType="end"/>
      </w:r>
    </w:p>
    <w:p w14:paraId="119563D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_Toc24971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2</w:t>
      </w:r>
      <w:r>
        <w:rPr>
          <w:rFonts w:hint="eastAsia" w:ascii="楷体_GB2312" w:hAnsi="楷体_GB2312" w:eastAsia="楷体_GB2312" w:cs="楷体_GB2312"/>
          <w:szCs w:val="30"/>
          <w:highlight w:val="none"/>
        </w:rPr>
        <w:t>.</w:t>
      </w:r>
      <w:r>
        <w:rPr>
          <w:rFonts w:ascii="楷体_GB2312" w:hAnsi="楷体_GB2312" w:eastAsia="楷体_GB2312" w:cs="楷体_GB2312"/>
          <w:szCs w:val="30"/>
          <w:highlight w:val="none"/>
        </w:rPr>
        <w:t>2 应急工作职责</w:t>
      </w:r>
      <w:r>
        <w:tab/>
      </w:r>
      <w:r>
        <w:fldChar w:fldCharType="begin"/>
      </w:r>
      <w:r>
        <w:instrText xml:space="preserve"> PAGEREF _Toc24971 \h </w:instrText>
      </w:r>
      <w:r>
        <w:fldChar w:fldCharType="separate"/>
      </w:r>
      <w:r>
        <w:t>- 248 -</w:t>
      </w:r>
      <w:r>
        <w:fldChar w:fldCharType="end"/>
      </w:r>
      <w:r>
        <w:rPr>
          <w:rFonts w:hint="eastAsia" w:ascii="仿宋" w:hAnsi="仿宋" w:eastAsia="仿宋" w:cs="仿宋"/>
          <w:bCs/>
          <w:color w:val="auto"/>
          <w:szCs w:val="28"/>
          <w:highlight w:val="none"/>
        </w:rPr>
        <w:fldChar w:fldCharType="end"/>
      </w:r>
    </w:p>
    <w:p w14:paraId="0C88AFDD">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_Toc31508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2</w:t>
      </w:r>
      <w:r>
        <w:rPr>
          <w:rFonts w:hint="eastAsia" w:ascii="楷体_GB2312" w:hAnsi="楷体_GB2312" w:eastAsia="楷体_GB2312" w:cs="楷体_GB2312"/>
          <w:szCs w:val="30"/>
          <w:highlight w:val="none"/>
        </w:rPr>
        <w:t>.</w:t>
      </w:r>
      <w:r>
        <w:rPr>
          <w:rFonts w:ascii="楷体_GB2312" w:hAnsi="楷体_GB2312" w:eastAsia="楷体_GB2312" w:cs="楷体_GB2312"/>
          <w:szCs w:val="30"/>
          <w:highlight w:val="none"/>
        </w:rPr>
        <w:t>3 应急处置</w:t>
      </w:r>
      <w:r>
        <w:tab/>
      </w:r>
      <w:r>
        <w:fldChar w:fldCharType="begin"/>
      </w:r>
      <w:r>
        <w:instrText xml:space="preserve"> PAGEREF _Toc31508 \h </w:instrText>
      </w:r>
      <w:r>
        <w:fldChar w:fldCharType="separate"/>
      </w:r>
      <w:r>
        <w:t>- 249 -</w:t>
      </w:r>
      <w:r>
        <w:fldChar w:fldCharType="end"/>
      </w:r>
      <w:r>
        <w:rPr>
          <w:rFonts w:hint="eastAsia" w:ascii="仿宋" w:hAnsi="仿宋" w:eastAsia="仿宋" w:cs="仿宋"/>
          <w:bCs/>
          <w:color w:val="auto"/>
          <w:szCs w:val="28"/>
          <w:highlight w:val="none"/>
        </w:rPr>
        <w:fldChar w:fldCharType="end"/>
      </w:r>
    </w:p>
    <w:p w14:paraId="4B7C7913">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_Toc11816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2</w:t>
      </w:r>
      <w:r>
        <w:rPr>
          <w:rFonts w:hint="eastAsia" w:ascii="楷体_GB2312" w:hAnsi="楷体_GB2312" w:eastAsia="楷体_GB2312" w:cs="楷体_GB2312"/>
          <w:szCs w:val="30"/>
          <w:highlight w:val="none"/>
        </w:rPr>
        <w:t>.4 注意事项</w:t>
      </w:r>
      <w:r>
        <w:tab/>
      </w:r>
      <w:r>
        <w:fldChar w:fldCharType="begin"/>
      </w:r>
      <w:r>
        <w:instrText xml:space="preserve"> PAGEREF _Toc11816 \h </w:instrText>
      </w:r>
      <w:r>
        <w:fldChar w:fldCharType="separate"/>
      </w:r>
      <w:r>
        <w:t>- 254 -</w:t>
      </w:r>
      <w:r>
        <w:fldChar w:fldCharType="end"/>
      </w:r>
      <w:r>
        <w:rPr>
          <w:rFonts w:hint="eastAsia" w:ascii="仿宋" w:hAnsi="仿宋" w:eastAsia="仿宋" w:cs="仿宋"/>
          <w:bCs/>
          <w:color w:val="auto"/>
          <w:szCs w:val="28"/>
          <w:highlight w:val="none"/>
        </w:rPr>
        <w:fldChar w:fldCharType="end"/>
      </w:r>
    </w:p>
    <w:p w14:paraId="6E93920C">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_Toc533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2</w:t>
      </w:r>
      <w:r>
        <w:rPr>
          <w:rFonts w:hint="eastAsia" w:ascii="楷体_GB2312" w:hAnsi="楷体_GB2312" w:eastAsia="楷体_GB2312" w:cs="楷体_GB2312"/>
          <w:szCs w:val="30"/>
          <w:highlight w:val="none"/>
        </w:rPr>
        <w:t>.5 其他需要特别警示的事项</w:t>
      </w:r>
      <w:r>
        <w:tab/>
      </w:r>
      <w:r>
        <w:fldChar w:fldCharType="begin"/>
      </w:r>
      <w:r>
        <w:instrText xml:space="preserve"> PAGEREF _Toc533 \h </w:instrText>
      </w:r>
      <w:r>
        <w:fldChar w:fldCharType="separate"/>
      </w:r>
      <w:r>
        <w:t>- 257 -</w:t>
      </w:r>
      <w:r>
        <w:fldChar w:fldCharType="end"/>
      </w:r>
      <w:r>
        <w:rPr>
          <w:rFonts w:hint="eastAsia" w:ascii="仿宋" w:hAnsi="仿宋" w:eastAsia="仿宋" w:cs="仿宋"/>
          <w:bCs/>
          <w:color w:val="auto"/>
          <w:szCs w:val="28"/>
          <w:highlight w:val="none"/>
        </w:rPr>
        <w:fldChar w:fldCharType="end"/>
      </w:r>
    </w:p>
    <w:p w14:paraId="324B4C7A">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_Toc14917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1</w:t>
      </w:r>
      <w:r>
        <w:rPr>
          <w:rFonts w:hint="eastAsia" w:ascii="黑体" w:hAnsi="黑体" w:eastAsia="黑体" w:cs="黑体"/>
          <w:szCs w:val="30"/>
          <w:highlight w:val="none"/>
          <w:lang w:val="en-US" w:eastAsia="zh-CN"/>
        </w:rPr>
        <w:t>3</w:t>
      </w:r>
      <w:r>
        <w:rPr>
          <w:rFonts w:hint="eastAsia" w:ascii="黑体" w:hAnsi="黑体" w:eastAsia="黑体" w:cs="黑体"/>
          <w:szCs w:val="30"/>
          <w:highlight w:val="none"/>
        </w:rPr>
        <w:t xml:space="preserve">  </w:t>
      </w:r>
      <w:r>
        <w:rPr>
          <w:rFonts w:hint="eastAsia" w:ascii="黑体" w:hAnsi="黑体" w:eastAsia="黑体" w:cs="黑体"/>
          <w:szCs w:val="30"/>
          <w:highlight w:val="none"/>
          <w:lang w:val="en-US" w:eastAsia="zh-CN"/>
        </w:rPr>
        <w:t>容器爆炸</w:t>
      </w:r>
      <w:r>
        <w:rPr>
          <w:rFonts w:hint="eastAsia" w:ascii="黑体" w:hAnsi="黑体" w:eastAsia="黑体" w:cs="黑体"/>
          <w:szCs w:val="30"/>
          <w:highlight w:val="none"/>
        </w:rPr>
        <w:t>事故现场处置方案</w:t>
      </w:r>
      <w:r>
        <w:tab/>
      </w:r>
      <w:r>
        <w:fldChar w:fldCharType="begin"/>
      </w:r>
      <w:r>
        <w:instrText xml:space="preserve"> PAGEREF _Toc14917 \h </w:instrText>
      </w:r>
      <w:r>
        <w:fldChar w:fldCharType="separate"/>
      </w:r>
      <w:r>
        <w:t>- 258 -</w:t>
      </w:r>
      <w:r>
        <w:fldChar w:fldCharType="end"/>
      </w:r>
      <w:r>
        <w:rPr>
          <w:rFonts w:hint="eastAsia" w:ascii="仿宋" w:hAnsi="仿宋" w:eastAsia="仿宋" w:cs="仿宋"/>
          <w:bCs/>
          <w:color w:val="auto"/>
          <w:szCs w:val="28"/>
          <w:highlight w:val="none"/>
        </w:rPr>
        <w:fldChar w:fldCharType="end"/>
      </w:r>
    </w:p>
    <w:p w14:paraId="02C9E6DF">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_Toc17279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3</w:t>
      </w:r>
      <w:r>
        <w:rPr>
          <w:rFonts w:hint="eastAsia" w:ascii="楷体_GB2312" w:hAnsi="楷体_GB2312" w:eastAsia="楷体_GB2312" w:cs="楷体_GB2312"/>
          <w:szCs w:val="30"/>
          <w:highlight w:val="none"/>
        </w:rPr>
        <w:t>.1 事故风险描述</w:t>
      </w:r>
      <w:r>
        <w:tab/>
      </w:r>
      <w:r>
        <w:fldChar w:fldCharType="begin"/>
      </w:r>
      <w:r>
        <w:instrText xml:space="preserve"> PAGEREF _Toc17279 \h </w:instrText>
      </w:r>
      <w:r>
        <w:fldChar w:fldCharType="separate"/>
      </w:r>
      <w:r>
        <w:t>- 258 -</w:t>
      </w:r>
      <w:r>
        <w:fldChar w:fldCharType="end"/>
      </w:r>
      <w:r>
        <w:rPr>
          <w:rFonts w:hint="eastAsia" w:ascii="仿宋" w:hAnsi="仿宋" w:eastAsia="仿宋" w:cs="仿宋"/>
          <w:bCs/>
          <w:color w:val="auto"/>
          <w:szCs w:val="28"/>
          <w:highlight w:val="none"/>
        </w:rPr>
        <w:fldChar w:fldCharType="end"/>
      </w:r>
    </w:p>
    <w:p w14:paraId="09091AFA">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_Toc26981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3</w:t>
      </w:r>
      <w:r>
        <w:rPr>
          <w:rFonts w:hint="eastAsia" w:ascii="楷体_GB2312" w:hAnsi="楷体_GB2312" w:eastAsia="楷体_GB2312" w:cs="楷体_GB2312"/>
          <w:szCs w:val="30"/>
          <w:highlight w:val="none"/>
        </w:rPr>
        <w:t>.</w:t>
      </w:r>
      <w:r>
        <w:rPr>
          <w:rFonts w:ascii="楷体_GB2312" w:hAnsi="楷体_GB2312" w:eastAsia="楷体_GB2312" w:cs="楷体_GB2312"/>
          <w:szCs w:val="30"/>
          <w:highlight w:val="none"/>
        </w:rPr>
        <w:t>2 应急工作职责</w:t>
      </w:r>
      <w:r>
        <w:tab/>
      </w:r>
      <w:r>
        <w:fldChar w:fldCharType="begin"/>
      </w:r>
      <w:r>
        <w:instrText xml:space="preserve"> PAGEREF _Toc26981 \h </w:instrText>
      </w:r>
      <w:r>
        <w:fldChar w:fldCharType="separate"/>
      </w:r>
      <w:r>
        <w:t>- 258 -</w:t>
      </w:r>
      <w:r>
        <w:fldChar w:fldCharType="end"/>
      </w:r>
      <w:r>
        <w:rPr>
          <w:rFonts w:hint="eastAsia" w:ascii="仿宋" w:hAnsi="仿宋" w:eastAsia="仿宋" w:cs="仿宋"/>
          <w:bCs/>
          <w:color w:val="auto"/>
          <w:szCs w:val="28"/>
          <w:highlight w:val="none"/>
        </w:rPr>
        <w:fldChar w:fldCharType="end"/>
      </w:r>
    </w:p>
    <w:p w14:paraId="27AD7717">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_Toc28196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3</w:t>
      </w:r>
      <w:r>
        <w:rPr>
          <w:rFonts w:hint="eastAsia" w:ascii="楷体_GB2312" w:hAnsi="楷体_GB2312" w:eastAsia="楷体_GB2312" w:cs="楷体_GB2312"/>
          <w:szCs w:val="30"/>
          <w:highlight w:val="none"/>
        </w:rPr>
        <w:t>.</w:t>
      </w:r>
      <w:r>
        <w:rPr>
          <w:rFonts w:ascii="楷体_GB2312" w:hAnsi="楷体_GB2312" w:eastAsia="楷体_GB2312" w:cs="楷体_GB2312"/>
          <w:szCs w:val="30"/>
          <w:highlight w:val="none"/>
        </w:rPr>
        <w:t>3 应急处置</w:t>
      </w:r>
      <w:r>
        <w:tab/>
      </w:r>
      <w:r>
        <w:fldChar w:fldCharType="begin"/>
      </w:r>
      <w:r>
        <w:instrText xml:space="preserve"> PAGEREF _Toc28196 \h </w:instrText>
      </w:r>
      <w:r>
        <w:fldChar w:fldCharType="separate"/>
      </w:r>
      <w:r>
        <w:t>- 259 -</w:t>
      </w:r>
      <w:r>
        <w:fldChar w:fldCharType="end"/>
      </w:r>
      <w:r>
        <w:rPr>
          <w:rFonts w:hint="eastAsia" w:ascii="仿宋" w:hAnsi="仿宋" w:eastAsia="仿宋" w:cs="仿宋"/>
          <w:bCs/>
          <w:color w:val="auto"/>
          <w:szCs w:val="28"/>
          <w:highlight w:val="none"/>
        </w:rPr>
        <w:fldChar w:fldCharType="end"/>
      </w:r>
    </w:p>
    <w:p w14:paraId="4649AA21">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_Toc2819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3</w:t>
      </w:r>
      <w:r>
        <w:rPr>
          <w:rFonts w:hint="eastAsia" w:ascii="楷体_GB2312" w:hAnsi="楷体_GB2312" w:eastAsia="楷体_GB2312" w:cs="楷体_GB2312"/>
          <w:szCs w:val="30"/>
          <w:highlight w:val="none"/>
        </w:rPr>
        <w:t>.4 注意事项</w:t>
      </w:r>
      <w:r>
        <w:tab/>
      </w:r>
      <w:r>
        <w:fldChar w:fldCharType="begin"/>
      </w:r>
      <w:r>
        <w:instrText xml:space="preserve"> PAGEREF _Toc2819 \h </w:instrText>
      </w:r>
      <w:r>
        <w:fldChar w:fldCharType="separate"/>
      </w:r>
      <w:r>
        <w:t>- 263 -</w:t>
      </w:r>
      <w:r>
        <w:fldChar w:fldCharType="end"/>
      </w:r>
      <w:r>
        <w:rPr>
          <w:rFonts w:hint="eastAsia" w:ascii="仿宋" w:hAnsi="仿宋" w:eastAsia="仿宋" w:cs="仿宋"/>
          <w:bCs/>
          <w:color w:val="auto"/>
          <w:szCs w:val="28"/>
          <w:highlight w:val="none"/>
        </w:rPr>
        <w:fldChar w:fldCharType="end"/>
      </w:r>
    </w:p>
    <w:p w14:paraId="06A1EFED">
      <w:pPr>
        <w:pStyle w:val="20"/>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_Toc18366 </w:instrText>
      </w:r>
      <w:r>
        <w:rPr>
          <w:rFonts w:hint="eastAsia" w:ascii="仿宋" w:hAnsi="仿宋" w:eastAsia="仿宋" w:cs="仿宋"/>
          <w:bCs/>
          <w:szCs w:val="28"/>
          <w:highlight w:val="none"/>
        </w:rPr>
        <w:fldChar w:fldCharType="separate"/>
      </w:r>
      <w:r>
        <w:rPr>
          <w:rFonts w:hint="eastAsia" w:ascii="楷体_GB2312" w:hAnsi="楷体_GB2312" w:eastAsia="楷体_GB2312" w:cs="楷体_GB2312"/>
          <w:szCs w:val="30"/>
          <w:highlight w:val="none"/>
        </w:rPr>
        <w:t>1</w:t>
      </w:r>
      <w:r>
        <w:rPr>
          <w:rFonts w:hint="eastAsia" w:ascii="楷体_GB2312" w:hAnsi="楷体_GB2312" w:eastAsia="楷体_GB2312" w:cs="楷体_GB2312"/>
          <w:szCs w:val="30"/>
          <w:highlight w:val="none"/>
          <w:lang w:val="en-US" w:eastAsia="zh-CN"/>
        </w:rPr>
        <w:t>3</w:t>
      </w:r>
      <w:r>
        <w:rPr>
          <w:rFonts w:hint="eastAsia" w:ascii="楷体_GB2312" w:hAnsi="楷体_GB2312" w:eastAsia="楷体_GB2312" w:cs="楷体_GB2312"/>
          <w:szCs w:val="30"/>
          <w:highlight w:val="none"/>
        </w:rPr>
        <w:t>.5 其他需要特别警示的事项</w:t>
      </w:r>
      <w:r>
        <w:tab/>
      </w:r>
      <w:r>
        <w:fldChar w:fldCharType="begin"/>
      </w:r>
      <w:r>
        <w:instrText xml:space="preserve"> PAGEREF _Toc18366 \h </w:instrText>
      </w:r>
      <w:r>
        <w:fldChar w:fldCharType="separate"/>
      </w:r>
      <w:r>
        <w:t>- 266 -</w:t>
      </w:r>
      <w:r>
        <w:fldChar w:fldCharType="end"/>
      </w:r>
      <w:r>
        <w:rPr>
          <w:rFonts w:hint="eastAsia" w:ascii="仿宋" w:hAnsi="仿宋" w:eastAsia="仿宋" w:cs="仿宋"/>
          <w:bCs/>
          <w:color w:val="auto"/>
          <w:szCs w:val="28"/>
          <w:highlight w:val="none"/>
        </w:rPr>
        <w:fldChar w:fldCharType="end"/>
      </w:r>
    </w:p>
    <w:p w14:paraId="1565B89F">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_Toc22903 </w:instrText>
      </w:r>
      <w:r>
        <w:rPr>
          <w:rFonts w:hint="eastAsia" w:ascii="仿宋" w:hAnsi="仿宋" w:eastAsia="仿宋" w:cs="仿宋"/>
          <w:bCs/>
          <w:szCs w:val="28"/>
          <w:highlight w:val="none"/>
        </w:rPr>
        <w:fldChar w:fldCharType="separate"/>
      </w:r>
      <w:r>
        <w:rPr>
          <w:rFonts w:hint="eastAsia" w:ascii="方正小标宋简体" w:hAnsi="方正小标宋简体" w:eastAsia="方正小标宋简体" w:cs="方正小标宋简体"/>
          <w:bCs/>
          <w:kern w:val="44"/>
          <w:szCs w:val="52"/>
          <w:highlight w:val="none"/>
        </w:rPr>
        <w:t>第四部分 附件</w:t>
      </w:r>
      <w:r>
        <w:tab/>
      </w:r>
      <w:r>
        <w:fldChar w:fldCharType="begin"/>
      </w:r>
      <w:r>
        <w:instrText xml:space="preserve"> PAGEREF _Toc22903 \h </w:instrText>
      </w:r>
      <w:r>
        <w:fldChar w:fldCharType="separate"/>
      </w:r>
      <w:r>
        <w:t>- 267 -</w:t>
      </w:r>
      <w:r>
        <w:fldChar w:fldCharType="end"/>
      </w:r>
      <w:r>
        <w:rPr>
          <w:rFonts w:hint="eastAsia" w:ascii="仿宋" w:hAnsi="仿宋" w:eastAsia="仿宋" w:cs="仿宋"/>
          <w:bCs/>
          <w:color w:val="auto"/>
          <w:szCs w:val="28"/>
          <w:highlight w:val="none"/>
        </w:rPr>
        <w:fldChar w:fldCharType="end"/>
      </w:r>
    </w:p>
    <w:p w14:paraId="69BACE15">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_Toc1728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lang w:bidi="zh-CN"/>
        </w:rPr>
        <w:t>1 生产经营单位概况</w:t>
      </w:r>
      <w:r>
        <w:tab/>
      </w:r>
      <w:r>
        <w:fldChar w:fldCharType="begin"/>
      </w:r>
      <w:r>
        <w:instrText xml:space="preserve"> PAGEREF _Toc1728 \h </w:instrText>
      </w:r>
      <w:r>
        <w:fldChar w:fldCharType="separate"/>
      </w:r>
      <w:r>
        <w:t>- 267 -</w:t>
      </w:r>
      <w:r>
        <w:fldChar w:fldCharType="end"/>
      </w:r>
      <w:r>
        <w:rPr>
          <w:rFonts w:hint="eastAsia" w:ascii="仿宋" w:hAnsi="仿宋" w:eastAsia="仿宋" w:cs="仿宋"/>
          <w:bCs/>
          <w:color w:val="auto"/>
          <w:szCs w:val="28"/>
          <w:highlight w:val="none"/>
        </w:rPr>
        <w:fldChar w:fldCharType="end"/>
      </w:r>
    </w:p>
    <w:p w14:paraId="7D402E10">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_Toc26868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lang w:bidi="zh-CN"/>
        </w:rPr>
        <w:t>2 风险评估的结果</w:t>
      </w:r>
      <w:r>
        <w:tab/>
      </w:r>
      <w:r>
        <w:fldChar w:fldCharType="begin"/>
      </w:r>
      <w:r>
        <w:instrText xml:space="preserve"> PAGEREF _Toc26868 \h </w:instrText>
      </w:r>
      <w:r>
        <w:fldChar w:fldCharType="separate"/>
      </w:r>
      <w:r>
        <w:t>- 276 -</w:t>
      </w:r>
      <w:r>
        <w:fldChar w:fldCharType="end"/>
      </w:r>
      <w:r>
        <w:rPr>
          <w:rFonts w:hint="eastAsia" w:ascii="仿宋" w:hAnsi="仿宋" w:eastAsia="仿宋" w:cs="仿宋"/>
          <w:bCs/>
          <w:color w:val="auto"/>
          <w:szCs w:val="28"/>
          <w:highlight w:val="none"/>
        </w:rPr>
        <w:fldChar w:fldCharType="end"/>
      </w:r>
    </w:p>
    <w:p w14:paraId="7785D98B">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_Toc4058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 xml:space="preserve">4 </w:t>
      </w:r>
      <w:r>
        <w:rPr>
          <w:rFonts w:hint="eastAsia" w:ascii="黑体" w:hAnsi="黑体" w:eastAsia="黑体" w:cs="黑体"/>
          <w:bCs/>
          <w:szCs w:val="30"/>
          <w:highlight w:val="none"/>
        </w:rPr>
        <w:t>应急物资装备的名录或清单</w:t>
      </w:r>
      <w:r>
        <w:tab/>
      </w:r>
      <w:r>
        <w:fldChar w:fldCharType="begin"/>
      </w:r>
      <w:r>
        <w:instrText xml:space="preserve"> PAGEREF _Toc4058 \h </w:instrText>
      </w:r>
      <w:r>
        <w:fldChar w:fldCharType="separate"/>
      </w:r>
      <w:r>
        <w:t>- 280 -</w:t>
      </w:r>
      <w:r>
        <w:fldChar w:fldCharType="end"/>
      </w:r>
      <w:r>
        <w:rPr>
          <w:rFonts w:hint="eastAsia" w:ascii="仿宋" w:hAnsi="仿宋" w:eastAsia="仿宋" w:cs="仿宋"/>
          <w:bCs/>
          <w:color w:val="auto"/>
          <w:szCs w:val="28"/>
          <w:highlight w:val="none"/>
        </w:rPr>
        <w:fldChar w:fldCharType="end"/>
      </w:r>
    </w:p>
    <w:p w14:paraId="4BEFDB69">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_Toc20369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5 有关应急部门、机构或人员的联系方式</w:t>
      </w:r>
      <w:r>
        <w:tab/>
      </w:r>
      <w:r>
        <w:fldChar w:fldCharType="begin"/>
      </w:r>
      <w:r>
        <w:instrText xml:space="preserve"> PAGEREF _Toc20369 \h </w:instrText>
      </w:r>
      <w:r>
        <w:fldChar w:fldCharType="separate"/>
      </w:r>
      <w:r>
        <w:t>- 290 -</w:t>
      </w:r>
      <w:r>
        <w:fldChar w:fldCharType="end"/>
      </w:r>
      <w:r>
        <w:rPr>
          <w:rFonts w:hint="eastAsia" w:ascii="仿宋" w:hAnsi="仿宋" w:eastAsia="仿宋" w:cs="仿宋"/>
          <w:bCs/>
          <w:color w:val="auto"/>
          <w:szCs w:val="28"/>
          <w:highlight w:val="none"/>
        </w:rPr>
        <w:fldChar w:fldCharType="end"/>
      </w:r>
    </w:p>
    <w:p w14:paraId="002EACC1">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_Toc23652 </w:instrText>
      </w:r>
      <w:r>
        <w:rPr>
          <w:rFonts w:hint="eastAsia" w:ascii="仿宋" w:hAnsi="仿宋" w:eastAsia="仿宋" w:cs="仿宋"/>
          <w:bCs/>
          <w:szCs w:val="28"/>
          <w:highlight w:val="none"/>
        </w:rPr>
        <w:fldChar w:fldCharType="separate"/>
      </w:r>
      <w:r>
        <w:rPr>
          <w:rFonts w:hint="eastAsia" w:ascii="黑体" w:hAnsi="黑体" w:eastAsia="黑体" w:cs="黑体"/>
          <w:szCs w:val="30"/>
          <w:highlight w:val="none"/>
        </w:rPr>
        <w:t>6 格式化文本</w:t>
      </w:r>
      <w:r>
        <w:tab/>
      </w:r>
      <w:r>
        <w:fldChar w:fldCharType="begin"/>
      </w:r>
      <w:r>
        <w:instrText xml:space="preserve"> PAGEREF _Toc23652 \h </w:instrText>
      </w:r>
      <w:r>
        <w:fldChar w:fldCharType="separate"/>
      </w:r>
      <w:r>
        <w:t>- 297 -</w:t>
      </w:r>
      <w:r>
        <w:fldChar w:fldCharType="end"/>
      </w:r>
      <w:r>
        <w:rPr>
          <w:rFonts w:hint="eastAsia" w:ascii="仿宋" w:hAnsi="仿宋" w:eastAsia="仿宋" w:cs="仿宋"/>
          <w:bCs/>
          <w:color w:val="auto"/>
          <w:szCs w:val="28"/>
          <w:highlight w:val="none"/>
        </w:rPr>
        <w:fldChar w:fldCharType="end"/>
      </w:r>
    </w:p>
    <w:p w14:paraId="4783AD30">
      <w:pPr>
        <w:pStyle w:val="18"/>
        <w:tabs>
          <w:tab w:val="right" w:leader="dot" w:pos="8845"/>
        </w:tabs>
      </w:pPr>
      <w:r>
        <w:rPr>
          <w:rFonts w:hint="eastAsia" w:ascii="仿宋" w:hAnsi="仿宋" w:eastAsia="仿宋" w:cs="仿宋"/>
          <w:bCs/>
          <w:color w:val="auto"/>
          <w:szCs w:val="28"/>
          <w:highlight w:val="none"/>
        </w:rPr>
        <w:fldChar w:fldCharType="begin"/>
      </w:r>
      <w:r>
        <w:rPr>
          <w:rFonts w:hint="eastAsia" w:ascii="仿宋" w:hAnsi="仿宋" w:eastAsia="仿宋" w:cs="仿宋"/>
          <w:bCs/>
          <w:szCs w:val="28"/>
          <w:highlight w:val="none"/>
        </w:rPr>
        <w:instrText xml:space="preserve"> HYPERLINK \l _Toc22136 </w:instrText>
      </w:r>
      <w:r>
        <w:rPr>
          <w:rFonts w:hint="eastAsia" w:ascii="仿宋" w:hAnsi="仿宋" w:eastAsia="仿宋" w:cs="仿宋"/>
          <w:bCs/>
          <w:szCs w:val="28"/>
          <w:highlight w:val="none"/>
        </w:rPr>
        <w:fldChar w:fldCharType="separate"/>
      </w:r>
      <w:r>
        <w:rPr>
          <w:rFonts w:hint="eastAsia" w:ascii="黑体" w:hAnsi="黑体" w:eastAsia="黑体" w:cs="黑体"/>
          <w:bCs/>
          <w:highlight w:val="none"/>
        </w:rPr>
        <w:t>8 有关协议或者备忘录</w:t>
      </w:r>
      <w:r>
        <w:tab/>
      </w:r>
      <w:r>
        <w:fldChar w:fldCharType="begin"/>
      </w:r>
      <w:r>
        <w:instrText xml:space="preserve"> PAGEREF _Toc22136 \h </w:instrText>
      </w:r>
      <w:r>
        <w:fldChar w:fldCharType="separate"/>
      </w:r>
      <w:r>
        <w:t>- 313 -</w:t>
      </w:r>
      <w:r>
        <w:fldChar w:fldCharType="end"/>
      </w:r>
      <w:r>
        <w:rPr>
          <w:rFonts w:hint="eastAsia" w:ascii="仿宋" w:hAnsi="仿宋" w:eastAsia="仿宋" w:cs="仿宋"/>
          <w:bCs/>
          <w:color w:val="auto"/>
          <w:szCs w:val="28"/>
          <w:highlight w:val="none"/>
        </w:rPr>
        <w:fldChar w:fldCharType="end"/>
      </w:r>
    </w:p>
    <w:p w14:paraId="615F2547">
      <w:pPr>
        <w:keepNext w:val="0"/>
        <w:keepLines w:val="0"/>
        <w:pageBreakBefore w:val="0"/>
        <w:widowControl w:val="0"/>
        <w:kinsoku/>
        <w:wordWrap/>
        <w:overflowPunct/>
        <w:topLinePunct w:val="0"/>
        <w:autoSpaceDE/>
        <w:autoSpaceDN/>
        <w:bidi w:val="0"/>
        <w:adjustRightInd w:val="0"/>
        <w:snapToGrid w:val="0"/>
        <w:spacing w:line="520" w:lineRule="exact"/>
        <w:jc w:val="distribute"/>
        <w:textAlignment w:val="auto"/>
        <w:rPr>
          <w:color w:val="auto"/>
          <w:highlight w:val="none"/>
        </w:rPr>
      </w:pPr>
      <w:r>
        <w:rPr>
          <w:rFonts w:hint="eastAsia" w:ascii="仿宋" w:hAnsi="仿宋" w:eastAsia="仿宋" w:cs="仿宋"/>
          <w:bCs/>
          <w:color w:val="auto"/>
          <w:szCs w:val="28"/>
          <w:highlight w:val="none"/>
        </w:rPr>
        <w:fldChar w:fldCharType="end"/>
      </w:r>
      <w:bookmarkStart w:id="3" w:name="_Toc14743"/>
      <w:bookmarkStart w:id="4" w:name="_Toc21907"/>
      <w:bookmarkStart w:id="5" w:name="_Toc23981"/>
      <w:bookmarkStart w:id="6" w:name="_Toc6446"/>
      <w:bookmarkStart w:id="7" w:name="_Toc25176"/>
      <w:bookmarkStart w:id="8" w:name="_Toc24539"/>
    </w:p>
    <w:p w14:paraId="510804FD">
      <w:pPr>
        <w:spacing w:before="140" w:after="140" w:line="560" w:lineRule="exact"/>
        <w:jc w:val="center"/>
        <w:rPr>
          <w:rFonts w:ascii="黑体" w:hAnsi="黑体" w:cs="黑体"/>
          <w:b/>
          <w:color w:val="auto"/>
          <w:kern w:val="0"/>
          <w:sz w:val="52"/>
          <w:szCs w:val="52"/>
          <w:highlight w:val="none"/>
        </w:rPr>
        <w:sectPr>
          <w:headerReference r:id="rId3" w:type="default"/>
          <w:footerReference r:id="rId4" w:type="default"/>
          <w:pgSz w:w="11906" w:h="16838"/>
          <w:pgMar w:top="2098" w:right="1474" w:bottom="1984" w:left="1587" w:header="1417" w:footer="1134" w:gutter="0"/>
          <w:pgNumType w:fmt="numberInDash" w:start="1"/>
          <w:cols w:space="720" w:num="1"/>
          <w:docGrid w:type="lines" w:linePitch="439" w:charSpace="0"/>
        </w:sectPr>
      </w:pPr>
    </w:p>
    <w:p w14:paraId="183DFA86">
      <w:pPr>
        <w:pStyle w:val="3"/>
        <w:spacing w:before="140" w:after="140" w:line="560" w:lineRule="exact"/>
        <w:jc w:val="center"/>
        <w:rPr>
          <w:rFonts w:ascii="方正小标宋简体" w:hAnsi="方正小标宋简体" w:eastAsia="方正小标宋简体" w:cs="方正小标宋简体"/>
          <w:b w:val="0"/>
          <w:bCs/>
          <w:color w:val="auto"/>
          <w:kern w:val="0"/>
          <w:sz w:val="52"/>
          <w:szCs w:val="52"/>
          <w:highlight w:val="none"/>
        </w:rPr>
      </w:pPr>
      <w:bookmarkStart w:id="9" w:name="_Toc22249"/>
      <w:r>
        <w:rPr>
          <w:rFonts w:hint="eastAsia" w:ascii="方正小标宋简体" w:hAnsi="方正小标宋简体" w:eastAsia="方正小标宋简体" w:cs="方正小标宋简体"/>
          <w:b w:val="0"/>
          <w:bCs/>
          <w:color w:val="auto"/>
          <w:kern w:val="0"/>
          <w:sz w:val="52"/>
          <w:szCs w:val="52"/>
          <w:highlight w:val="none"/>
        </w:rPr>
        <w:t>第一部分 综合应急预案</w:t>
      </w:r>
      <w:bookmarkEnd w:id="9"/>
    </w:p>
    <w:p w14:paraId="1A1B7C41">
      <w:pPr>
        <w:spacing w:line="520" w:lineRule="exact"/>
        <w:ind w:firstLine="600" w:firstLineChars="200"/>
        <w:jc w:val="left"/>
        <w:outlineLvl w:val="0"/>
        <w:rPr>
          <w:rFonts w:ascii="黑体" w:hAnsi="黑体" w:eastAsia="黑体" w:cs="黑体"/>
          <w:bCs/>
          <w:color w:val="auto"/>
          <w:kern w:val="0"/>
          <w:sz w:val="30"/>
          <w:szCs w:val="30"/>
          <w:highlight w:val="none"/>
        </w:rPr>
      </w:pPr>
      <w:bookmarkStart w:id="10" w:name="_Toc17144"/>
      <w:r>
        <w:rPr>
          <w:rFonts w:hint="eastAsia" w:ascii="黑体" w:hAnsi="黑体" w:eastAsia="黑体" w:cs="黑体"/>
          <w:bCs/>
          <w:color w:val="auto"/>
          <w:kern w:val="0"/>
          <w:sz w:val="30"/>
          <w:szCs w:val="30"/>
          <w:highlight w:val="none"/>
        </w:rPr>
        <w:t>1 总则</w:t>
      </w:r>
      <w:bookmarkEnd w:id="3"/>
      <w:bookmarkEnd w:id="10"/>
    </w:p>
    <w:p w14:paraId="5AEAA599">
      <w:pPr>
        <w:spacing w:line="520" w:lineRule="exact"/>
        <w:ind w:firstLine="600" w:firstLineChars="200"/>
        <w:jc w:val="left"/>
        <w:outlineLvl w:val="1"/>
        <w:rPr>
          <w:rFonts w:ascii="楷体_GB2312" w:hAnsi="楷体_GB2312" w:eastAsia="楷体_GB2312" w:cs="楷体_GB2312"/>
          <w:bCs/>
          <w:color w:val="auto"/>
          <w:kern w:val="0"/>
          <w:sz w:val="30"/>
          <w:szCs w:val="30"/>
          <w:highlight w:val="none"/>
        </w:rPr>
      </w:pPr>
      <w:bookmarkStart w:id="11" w:name="_Toc16076"/>
      <w:bookmarkStart w:id="12" w:name="_Toc16152"/>
      <w:bookmarkStart w:id="13" w:name="_Toc22189"/>
      <w:r>
        <w:rPr>
          <w:rFonts w:hint="eastAsia" w:ascii="楷体_GB2312" w:hAnsi="楷体_GB2312" w:eastAsia="楷体_GB2312" w:cs="楷体_GB2312"/>
          <w:bCs/>
          <w:color w:val="auto"/>
          <w:kern w:val="0"/>
          <w:sz w:val="30"/>
          <w:szCs w:val="30"/>
          <w:highlight w:val="none"/>
        </w:rPr>
        <w:t>1.1 编制目的</w:t>
      </w:r>
      <w:bookmarkEnd w:id="11"/>
    </w:p>
    <w:p w14:paraId="66717A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为认真贯彻落实“安全第一、预防为主、综合治理”安全生产方针，为进一步加强生产安全事故应急处置，健全应急救援工作机制，规范应急响应程序，明确应急处置职责，迅速、科学、有效地指导应急救援工作，最大限度的保障职工群众的生命安全和降低企业财产损失，制定本预案。</w:t>
      </w:r>
    </w:p>
    <w:p w14:paraId="38606E66">
      <w:pPr>
        <w:spacing w:line="520" w:lineRule="exact"/>
        <w:ind w:firstLine="600" w:firstLineChars="200"/>
        <w:jc w:val="left"/>
        <w:outlineLvl w:val="1"/>
        <w:rPr>
          <w:rFonts w:ascii="楷体_GB2312" w:hAnsi="楷体_GB2312" w:eastAsia="楷体_GB2312" w:cs="楷体_GB2312"/>
          <w:bCs/>
          <w:color w:val="auto"/>
          <w:kern w:val="0"/>
          <w:sz w:val="30"/>
          <w:szCs w:val="30"/>
          <w:highlight w:val="none"/>
        </w:rPr>
      </w:pPr>
      <w:bookmarkStart w:id="14" w:name="_Toc30333"/>
      <w:r>
        <w:rPr>
          <w:rFonts w:hint="eastAsia" w:ascii="楷体_GB2312" w:hAnsi="楷体_GB2312" w:eastAsia="楷体_GB2312" w:cs="楷体_GB2312"/>
          <w:bCs/>
          <w:color w:val="auto"/>
          <w:kern w:val="0"/>
          <w:sz w:val="30"/>
          <w:szCs w:val="30"/>
          <w:highlight w:val="none"/>
        </w:rPr>
        <w:t>1.2 适用范围</w:t>
      </w:r>
      <w:bookmarkEnd w:id="12"/>
      <w:bookmarkEnd w:id="13"/>
      <w:bookmarkEnd w:id="14"/>
    </w:p>
    <w:p w14:paraId="5112AA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本预案适用于鄂托克前旗</w:t>
      </w:r>
      <w:r>
        <w:rPr>
          <w:rFonts w:hint="eastAsia" w:ascii="仿宋_GB2312" w:hAnsi="仿宋_GB2312" w:eastAsia="仿宋_GB2312" w:cs="仿宋_GB2312"/>
          <w:color w:val="auto"/>
          <w:kern w:val="0"/>
          <w:sz w:val="28"/>
          <w:szCs w:val="28"/>
          <w:highlight w:val="none"/>
          <w:lang w:eastAsia="zh-CN"/>
        </w:rPr>
        <w:t>长城煤矿有限责任公司</w:t>
      </w:r>
      <w:r>
        <w:rPr>
          <w:rFonts w:hint="eastAsia" w:ascii="仿宋_GB2312" w:hAnsi="仿宋_GB2312" w:eastAsia="仿宋_GB2312" w:cs="仿宋_GB2312"/>
          <w:color w:val="auto"/>
          <w:kern w:val="0"/>
          <w:sz w:val="28"/>
          <w:szCs w:val="28"/>
          <w:highlight w:val="none"/>
        </w:rPr>
        <w:t>（以下简称“长城</w:t>
      </w:r>
      <w:r>
        <w:rPr>
          <w:rFonts w:hint="eastAsia" w:ascii="仿宋_GB2312" w:hAnsi="仿宋_GB2312" w:eastAsia="仿宋_GB2312" w:cs="仿宋_GB2312"/>
          <w:color w:val="auto"/>
          <w:kern w:val="0"/>
          <w:sz w:val="28"/>
          <w:szCs w:val="28"/>
          <w:highlight w:val="none"/>
          <w:lang w:val="en-US" w:eastAsia="zh-CN"/>
        </w:rPr>
        <w:t>一</w:t>
      </w:r>
      <w:r>
        <w:rPr>
          <w:rFonts w:hint="eastAsia" w:ascii="仿宋_GB2312" w:hAnsi="仿宋_GB2312" w:eastAsia="仿宋_GB2312" w:cs="仿宋_GB2312"/>
          <w:color w:val="auto"/>
          <w:kern w:val="0"/>
          <w:sz w:val="28"/>
          <w:szCs w:val="28"/>
          <w:highlight w:val="none"/>
        </w:rPr>
        <w:t>矿”）井上、下范围内在生产过程中可能发生或已发生的生产安全事故（包括涉险事故）的应急处置和应急救援工作。</w:t>
      </w:r>
    </w:p>
    <w:p w14:paraId="347EEA6F">
      <w:pPr>
        <w:spacing w:line="520" w:lineRule="exact"/>
        <w:ind w:firstLine="600" w:firstLineChars="200"/>
        <w:jc w:val="left"/>
        <w:outlineLvl w:val="1"/>
        <w:rPr>
          <w:rFonts w:ascii="楷体_GB2312" w:hAnsi="楷体_GB2312" w:eastAsia="楷体_GB2312" w:cs="楷体_GB2312"/>
          <w:bCs/>
          <w:color w:val="auto"/>
          <w:kern w:val="0"/>
          <w:sz w:val="30"/>
          <w:szCs w:val="30"/>
          <w:highlight w:val="none"/>
        </w:rPr>
      </w:pPr>
      <w:bookmarkStart w:id="15" w:name="_Toc24254"/>
      <w:bookmarkStart w:id="16" w:name="_Toc19538"/>
      <w:bookmarkStart w:id="17" w:name="_Toc13050"/>
      <w:r>
        <w:rPr>
          <w:rFonts w:hint="eastAsia" w:ascii="楷体_GB2312" w:hAnsi="楷体_GB2312" w:eastAsia="楷体_GB2312" w:cs="楷体_GB2312"/>
          <w:bCs/>
          <w:color w:val="auto"/>
          <w:kern w:val="0"/>
          <w:sz w:val="30"/>
          <w:szCs w:val="30"/>
          <w:highlight w:val="none"/>
        </w:rPr>
        <w:t>1.3 响应分级</w:t>
      </w:r>
      <w:bookmarkEnd w:id="15"/>
      <w:bookmarkEnd w:id="16"/>
      <w:bookmarkEnd w:id="17"/>
    </w:p>
    <w:p w14:paraId="1FCB87FC">
      <w:pPr>
        <w:spacing w:line="520" w:lineRule="exact"/>
        <w:ind w:firstLine="602" w:firstLineChars="200"/>
        <w:rPr>
          <w:rFonts w:ascii="仿宋_GB2312" w:hAnsi="仿宋_GB2312" w:eastAsia="仿宋_GB2312" w:cs="仿宋_GB2312"/>
          <w:b/>
          <w:bCs/>
          <w:color w:val="auto"/>
          <w:sz w:val="30"/>
          <w:szCs w:val="30"/>
          <w:highlight w:val="none"/>
        </w:rPr>
      </w:pPr>
      <w:bookmarkStart w:id="18" w:name="_Toc18593"/>
      <w:bookmarkStart w:id="19" w:name="_Toc682"/>
      <w:r>
        <w:rPr>
          <w:rFonts w:hint="eastAsia" w:ascii="仿宋_GB2312" w:hAnsi="仿宋_GB2312" w:eastAsia="仿宋_GB2312" w:cs="仿宋_GB2312"/>
          <w:b/>
          <w:bCs/>
          <w:color w:val="auto"/>
          <w:sz w:val="30"/>
          <w:szCs w:val="30"/>
          <w:highlight w:val="none"/>
        </w:rPr>
        <w:t>1.3.1应急响应分级</w:t>
      </w:r>
    </w:p>
    <w:p w14:paraId="662220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按照生产安全事故的严重程度和影响范围，应急响应级别原则上由低到高分为Ⅲ级响应、Ⅱ级响应、Ⅰ级响应。</w:t>
      </w:r>
    </w:p>
    <w:p w14:paraId="76823C5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Ⅲ级响应：发生可能造成或已造成1人及以上轻伤的事故，或发生可能造成或已造成100万元以下直接经济损失的事故。</w:t>
      </w:r>
    </w:p>
    <w:p w14:paraId="7BBA18A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Ⅱ级响应：发生可能造成或已造成1-2人重伤（包括急性工业中毒）的事故，或发生矿井认为需要启动Ⅱ级应急响应的可能造成或已造成100万元以下直接经济损失的事故及其他事故。</w:t>
      </w:r>
    </w:p>
    <w:p w14:paraId="3E3A70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Ⅰ级响应：发生可能造成或已造成1人及以上死亡的事故，或1人及以上被困、下落不明的涉险事故，或可能造成或已造成3人以上重伤（包括急性工业中毒）的事故，或可能造成或已造成100万元以上直接经济损失的事故，或发生矿井认为需要启动I级应急响应的事故。</w:t>
      </w:r>
    </w:p>
    <w:p w14:paraId="6A0845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超出Ⅰ级应急响应范围，在事故应急处置过程中出现事态无法控制或不能及时控制，事故有扩大趋势时经应急救援指挥部研究确定认为有必要，可扩大应急响应范围，请求新矿内蒙古能源有限责任公司（以下简称“新矿内蒙古能源”）、新汶矿业集团有限责任公司（以下简称“</w:t>
      </w:r>
      <w:r>
        <w:rPr>
          <w:rFonts w:hint="eastAsia" w:ascii="仿宋_GB2312" w:hAnsi="仿宋_GB2312" w:eastAsia="仿宋_GB2312" w:cs="仿宋_GB2312"/>
          <w:color w:val="auto"/>
          <w:kern w:val="0"/>
          <w:sz w:val="28"/>
          <w:szCs w:val="28"/>
          <w:highlight w:val="none"/>
          <w:lang w:val="en-US" w:eastAsia="zh-CN"/>
        </w:rPr>
        <w:t>新矿集团公司</w:t>
      </w:r>
      <w:r>
        <w:rPr>
          <w:rFonts w:hint="eastAsia" w:ascii="仿宋_GB2312" w:hAnsi="仿宋_GB2312" w:eastAsia="仿宋_GB2312" w:cs="仿宋_GB2312"/>
          <w:color w:val="auto"/>
          <w:kern w:val="0"/>
          <w:sz w:val="28"/>
          <w:szCs w:val="28"/>
          <w:highlight w:val="none"/>
        </w:rPr>
        <w:t>”）、山东能源集团有限公司（以下简称“</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能源集团”）和地方政府进行事故应急救援工作。</w:t>
      </w:r>
    </w:p>
    <w:p w14:paraId="4387C4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（注：应急响应分级中所称的“以上”包括本数，所称的“以下”不包括本数）</w:t>
      </w:r>
    </w:p>
    <w:p w14:paraId="366604CD">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1.3.2 应急响应分级原则</w:t>
      </w:r>
    </w:p>
    <w:p w14:paraId="65EC048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Ⅲ级响应：达到启动Ⅲ级响应条件时，由事故现场负责人立即启动现场处置方案，开展现场应急处置和自救互救，同时报告调度室。调度室报告矿长、值班矿领导、带班矿领导、调度室主任及相关矿领导，并通知相关部门和人员，做好应急准备。</w:t>
      </w:r>
    </w:p>
    <w:p w14:paraId="18F466F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Ⅱ级响应：达到启动Ⅱ级响应条件时，应急救援指挥部总指挥（</w:t>
      </w:r>
      <w:r>
        <w:rPr>
          <w:rFonts w:hint="eastAsia" w:ascii="仿宋_GB2312" w:hAnsi="仿宋_GB2312" w:eastAsia="仿宋_GB2312" w:cs="仿宋_GB2312"/>
          <w:color w:val="auto"/>
          <w:kern w:val="0"/>
          <w:sz w:val="28"/>
          <w:szCs w:val="28"/>
          <w:highlight w:val="none"/>
          <w:lang w:val="en-US" w:eastAsia="zh-CN"/>
        </w:rPr>
        <w:t>总经理</w:t>
      </w:r>
      <w:r>
        <w:rPr>
          <w:rFonts w:hint="eastAsia" w:ascii="仿宋_GB2312" w:hAnsi="仿宋_GB2312" w:eastAsia="仿宋_GB2312" w:cs="仿宋_GB2312"/>
          <w:color w:val="auto"/>
          <w:kern w:val="0"/>
          <w:sz w:val="28"/>
          <w:szCs w:val="28"/>
          <w:highlight w:val="none"/>
        </w:rPr>
        <w:t>或被授权人）启动Ⅱ级应急响应，由第一副总指挥（分管副</w:t>
      </w:r>
      <w:r>
        <w:rPr>
          <w:rFonts w:hint="eastAsia" w:ascii="仿宋_GB2312" w:hAnsi="仿宋_GB2312" w:eastAsia="仿宋_GB2312" w:cs="仿宋_GB2312"/>
          <w:color w:val="auto"/>
          <w:kern w:val="0"/>
          <w:sz w:val="28"/>
          <w:szCs w:val="28"/>
          <w:highlight w:val="none"/>
          <w:lang w:val="en-US" w:eastAsia="zh-CN"/>
        </w:rPr>
        <w:t>总经理</w:t>
      </w:r>
      <w:r>
        <w:rPr>
          <w:rFonts w:hint="eastAsia" w:ascii="仿宋_GB2312" w:hAnsi="仿宋_GB2312" w:eastAsia="仿宋_GB2312" w:cs="仿宋_GB2312"/>
          <w:color w:val="auto"/>
          <w:kern w:val="0"/>
          <w:sz w:val="28"/>
          <w:szCs w:val="28"/>
          <w:highlight w:val="none"/>
        </w:rPr>
        <w:t>）按照生产安全事故专项应急预案组织开展应急救援工作。</w:t>
      </w:r>
    </w:p>
    <w:p w14:paraId="3C50D35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Ⅰ级响应：达到启动Ⅰ级响应条件时，应急救援指挥部总指挥（</w:t>
      </w:r>
      <w:r>
        <w:rPr>
          <w:rFonts w:hint="eastAsia" w:ascii="仿宋_GB2312" w:hAnsi="仿宋_GB2312" w:eastAsia="仿宋_GB2312" w:cs="仿宋_GB2312"/>
          <w:color w:val="auto"/>
          <w:kern w:val="0"/>
          <w:sz w:val="28"/>
          <w:szCs w:val="28"/>
          <w:highlight w:val="none"/>
          <w:lang w:val="en-US" w:eastAsia="zh-CN"/>
        </w:rPr>
        <w:t>总经理</w:t>
      </w:r>
      <w:r>
        <w:rPr>
          <w:rFonts w:hint="eastAsia" w:ascii="仿宋_GB2312" w:hAnsi="仿宋_GB2312" w:eastAsia="仿宋_GB2312" w:cs="仿宋_GB2312"/>
          <w:color w:val="auto"/>
          <w:kern w:val="0"/>
          <w:sz w:val="28"/>
          <w:szCs w:val="28"/>
          <w:highlight w:val="none"/>
        </w:rPr>
        <w:t>或被授权人）启动Ⅰ级应急响应，按照本预案和生产安全事故专项应急预案组织应急救援指挥部成员及各应急救援工作组开展应急救援工作。</w:t>
      </w:r>
    </w:p>
    <w:p w14:paraId="1F576CA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矿井不能有效处置的事故，或者矿井在启动Ⅰ级应急响应时，在应急处置和救援过程中事态无法控制需扩大应急响应，立即报请新矿集团、地方政府进行应急支援，衔接上级应急救援预案。上级应急救援预案启动后，矿井应急救援指挥部指挥权移交上级应急救援指挥部。</w:t>
      </w:r>
    </w:p>
    <w:p w14:paraId="40BC4C5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上级公司或政府部门认为需要启动上级应急救援预案时，矿井应急指挥权应及时移交上级应急救援指挥部。</w:t>
      </w:r>
    </w:p>
    <w:p w14:paraId="10F2D8F1">
      <w:pPr>
        <w:spacing w:line="520" w:lineRule="exact"/>
        <w:ind w:firstLine="600" w:firstLineChars="200"/>
        <w:jc w:val="left"/>
        <w:outlineLvl w:val="0"/>
        <w:rPr>
          <w:rFonts w:hint="eastAsia" w:ascii="黑体" w:hAnsi="黑体" w:eastAsia="黑体" w:cs="黑体"/>
          <w:bCs/>
          <w:color w:val="auto"/>
          <w:kern w:val="0"/>
          <w:sz w:val="30"/>
          <w:szCs w:val="30"/>
          <w:highlight w:val="none"/>
        </w:rPr>
      </w:pPr>
      <w:bookmarkStart w:id="20" w:name="_Toc6343"/>
      <w:r>
        <w:rPr>
          <w:rFonts w:hint="eastAsia" w:ascii="黑体" w:hAnsi="黑体" w:eastAsia="黑体" w:cs="黑体"/>
          <w:bCs/>
          <w:color w:val="auto"/>
          <w:kern w:val="0"/>
          <w:sz w:val="30"/>
          <w:szCs w:val="30"/>
          <w:highlight w:val="none"/>
        </w:rPr>
        <w:t>2 应急组织机构及职责</w:t>
      </w:r>
      <w:bookmarkEnd w:id="18"/>
      <w:bookmarkEnd w:id="19"/>
      <w:bookmarkEnd w:id="20"/>
    </w:p>
    <w:p w14:paraId="2CCF62E8">
      <w:pPr>
        <w:spacing w:line="520" w:lineRule="exact"/>
        <w:ind w:firstLine="600" w:firstLineChars="200"/>
        <w:jc w:val="left"/>
        <w:outlineLvl w:val="1"/>
        <w:rPr>
          <w:rFonts w:ascii="楷体_GB2312" w:hAnsi="楷体_GB2312" w:eastAsia="楷体_GB2312" w:cs="楷体_GB2312"/>
          <w:bCs/>
          <w:color w:val="auto"/>
          <w:kern w:val="0"/>
          <w:sz w:val="30"/>
          <w:szCs w:val="30"/>
          <w:highlight w:val="none"/>
        </w:rPr>
      </w:pPr>
      <w:bookmarkStart w:id="21" w:name="_Toc15230"/>
      <w:bookmarkStart w:id="22" w:name="_Toc16367"/>
      <w:bookmarkStart w:id="23" w:name="_Toc1479"/>
      <w:bookmarkStart w:id="24" w:name="_Toc21796"/>
      <w:bookmarkStart w:id="25" w:name="_Toc15451"/>
      <w:bookmarkStart w:id="26" w:name="_Toc12261"/>
      <w:r>
        <w:rPr>
          <w:rFonts w:hint="eastAsia" w:ascii="楷体_GB2312" w:hAnsi="楷体_GB2312" w:eastAsia="楷体_GB2312" w:cs="楷体_GB2312"/>
          <w:bCs/>
          <w:color w:val="auto"/>
          <w:kern w:val="0"/>
          <w:sz w:val="30"/>
          <w:szCs w:val="30"/>
          <w:highlight w:val="none"/>
        </w:rPr>
        <w:t>2.1 应急组织形式</w:t>
      </w:r>
      <w:bookmarkEnd w:id="21"/>
      <w:r>
        <w:rPr>
          <w:rFonts w:hint="eastAsia" w:ascii="楷体_GB2312" w:hAnsi="楷体_GB2312" w:eastAsia="楷体_GB2312" w:cs="楷体_GB2312"/>
          <w:bCs/>
          <w:color w:val="auto"/>
          <w:kern w:val="0"/>
          <w:sz w:val="30"/>
          <w:szCs w:val="30"/>
          <w:highlight w:val="none"/>
        </w:rPr>
        <w:t xml:space="preserve"> </w:t>
      </w:r>
    </w:p>
    <w:p w14:paraId="40B39DAB">
      <w:pPr>
        <w:widowControl/>
        <w:ind w:firstLine="602" w:firstLineChars="200"/>
        <w:jc w:val="left"/>
        <w:rPr>
          <w:color w:val="auto"/>
          <w:sz w:val="30"/>
          <w:szCs w:val="30"/>
          <w:highlight w:val="none"/>
        </w:rPr>
      </w:pPr>
      <w:r>
        <w:rPr>
          <w:rFonts w:ascii="仿宋_GB2312" w:hAnsi="仿宋_GB2312" w:eastAsia="仿宋_GB2312" w:cs="仿宋_GB2312"/>
          <w:b/>
          <w:bCs/>
          <w:color w:val="auto"/>
          <w:kern w:val="0"/>
          <w:sz w:val="30"/>
          <w:szCs w:val="30"/>
          <w:highlight w:val="none"/>
          <w:lang w:bidi="ar"/>
        </w:rPr>
        <w:t xml:space="preserve">2.1.1 应急管理领导小组 </w:t>
      </w:r>
    </w:p>
    <w:p w14:paraId="17C54A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长：党委书记、总经理</w:t>
      </w:r>
    </w:p>
    <w:p w14:paraId="2246AD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w:t>
      </w:r>
      <w:bookmarkStart w:id="27" w:name="OLE_LINK1"/>
      <w:r>
        <w:rPr>
          <w:rFonts w:hint="eastAsia" w:ascii="仿宋_GB2312" w:hAnsi="仿宋_GB2312" w:eastAsia="仿宋_GB2312" w:cs="仿宋_GB2312"/>
          <w:color w:val="auto"/>
          <w:kern w:val="0"/>
          <w:sz w:val="28"/>
          <w:szCs w:val="28"/>
          <w:highlight w:val="none"/>
        </w:rPr>
        <w:t>总工程师、安全总监、副总经理及其他班子成员</w:t>
      </w:r>
      <w:bookmarkEnd w:id="27"/>
      <w:r>
        <w:rPr>
          <w:rFonts w:hint="eastAsia" w:ascii="仿宋_GB2312" w:hAnsi="仿宋_GB2312" w:eastAsia="仿宋_GB2312" w:cs="仿宋_GB2312"/>
          <w:color w:val="auto"/>
          <w:kern w:val="0"/>
          <w:sz w:val="28"/>
          <w:szCs w:val="28"/>
          <w:highlight w:val="none"/>
        </w:rPr>
        <w:t xml:space="preserve"> </w:t>
      </w:r>
    </w:p>
    <w:p w14:paraId="3DB3B11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员：各专业副总工程师、有关部室（中心）负责人、区队负责人，山东能源集团鲁西矿业有限公司应急管理分公司（山东能源集团有限公司矿山救护二大队）</w:t>
      </w:r>
      <w:r>
        <w:rPr>
          <w:rFonts w:hint="eastAsia" w:ascii="仿宋_GB2312" w:hAnsi="仿宋_GB2312" w:eastAsia="仿宋_GB2312" w:cs="仿宋_GB2312"/>
          <w:color w:val="auto"/>
          <w:kern w:val="0"/>
          <w:sz w:val="28"/>
          <w:szCs w:val="28"/>
          <w:highlight w:val="none"/>
          <w:lang w:val="en-US" w:eastAsia="zh-CN"/>
        </w:rPr>
        <w:t>以下简称</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山能救护二大队</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hint="eastAsia" w:ascii="仿宋_GB2312" w:hAnsi="仿宋_GB2312" w:eastAsia="仿宋_GB2312" w:cs="仿宋_GB2312"/>
          <w:color w:val="auto"/>
          <w:kern w:val="0"/>
          <w:sz w:val="28"/>
          <w:szCs w:val="28"/>
          <w:highlight w:val="none"/>
        </w:rPr>
        <w:t xml:space="preserve">、兼职救护队等相关单位主要负责人组成。 </w:t>
      </w:r>
    </w:p>
    <w:p w14:paraId="3ADED6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1.领导小组主要职责：</w:t>
      </w:r>
    </w:p>
    <w:p w14:paraId="33D781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（1）全面负责</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 xml:space="preserve">应急管理及应急救援工作； </w:t>
      </w:r>
    </w:p>
    <w:p w14:paraId="00CD00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（2）组织编制、修订、实施</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生产安全事故应急预案；</w:t>
      </w:r>
    </w:p>
    <w:p w14:paraId="64C702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（3）兼职矿山救护队建设管理，配备救援器材和装备； </w:t>
      </w:r>
    </w:p>
    <w:p w14:paraId="20BDB20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（4）组织应急预案的培训、事故案例教育； </w:t>
      </w:r>
    </w:p>
    <w:p w14:paraId="2A8D7F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（5）制定应急预案演练规划、年度演练计划，按计划开展应急预案演练活动； </w:t>
      </w:r>
    </w:p>
    <w:p w14:paraId="76317F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（6）灾变时负责指挥协调应急救援工作； </w:t>
      </w:r>
    </w:p>
    <w:p w14:paraId="72CEA46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（7）接受上级部门的指令和调动，指挥调度</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 xml:space="preserve">相关应急救援力量参加救援； </w:t>
      </w:r>
    </w:p>
    <w:p w14:paraId="79E95959">
      <w:pPr>
        <w:widowControl/>
        <w:ind w:firstLine="560" w:firstLineChars="200"/>
        <w:jc w:val="left"/>
        <w:rPr>
          <w:rFonts w:ascii="仿宋_GB2312" w:hAnsi="仿宋_GB2312" w:eastAsia="仿宋_GB2312" w:cs="仿宋_GB2312"/>
          <w:b/>
          <w:bCs/>
          <w:color w:val="auto"/>
          <w:kern w:val="0"/>
          <w:sz w:val="31"/>
          <w:szCs w:val="31"/>
          <w:highlight w:val="none"/>
          <w:lang w:bidi="ar"/>
        </w:rPr>
      </w:pPr>
      <w:r>
        <w:rPr>
          <w:rFonts w:hint="eastAsia" w:ascii="仿宋_GB2312" w:hAnsi="仿宋_GB2312" w:eastAsia="仿宋_GB2312" w:cs="仿宋_GB2312"/>
          <w:color w:val="auto"/>
          <w:kern w:val="0"/>
          <w:sz w:val="28"/>
          <w:szCs w:val="28"/>
          <w:highlight w:val="none"/>
        </w:rPr>
        <w:t>（8）负责生产安全事故、突发事件信息上报及新闻发布。</w:t>
      </w:r>
    </w:p>
    <w:p w14:paraId="568642B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2.应急管理领导小组成员单位职责 </w:t>
      </w:r>
    </w:p>
    <w:p w14:paraId="3A00B22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（1）调度室：主要负责24小时应急值守，日常应急管理工作；负责应急预案的</w:t>
      </w:r>
      <w:r>
        <w:rPr>
          <w:rFonts w:hint="eastAsia" w:ascii="仿宋_GB2312" w:hAnsi="仿宋_GB2312" w:eastAsia="仿宋_GB2312" w:cs="仿宋_GB2312"/>
          <w:color w:val="auto"/>
          <w:kern w:val="0"/>
          <w:sz w:val="28"/>
          <w:szCs w:val="28"/>
          <w:highlight w:val="none"/>
          <w:lang w:val="en-US" w:eastAsia="zh-CN"/>
        </w:rPr>
        <w:t>汇编</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参与</w:t>
      </w:r>
      <w:r>
        <w:rPr>
          <w:rFonts w:hint="eastAsia" w:ascii="仿宋_GB2312" w:hAnsi="仿宋_GB2312" w:eastAsia="仿宋_GB2312" w:cs="仿宋_GB2312"/>
          <w:color w:val="auto"/>
          <w:kern w:val="0"/>
          <w:sz w:val="28"/>
          <w:szCs w:val="28"/>
          <w:highlight w:val="none"/>
        </w:rPr>
        <w:t>修订、评估、培训；制定年度演练计划，按计划开展应急预案演练活动；负责</w:t>
      </w:r>
      <w:r>
        <w:rPr>
          <w:rFonts w:hint="eastAsia" w:ascii="仿宋_GB2312" w:hAnsi="仿宋_GB2312" w:eastAsia="仿宋_GB2312" w:cs="仿宋_GB2312"/>
          <w:color w:val="auto"/>
          <w:kern w:val="0"/>
          <w:sz w:val="28"/>
          <w:szCs w:val="28"/>
          <w:highlight w:val="none"/>
          <w:lang w:val="en-US" w:eastAsia="zh-CN"/>
        </w:rPr>
        <w:t>监督</w:t>
      </w:r>
      <w:r>
        <w:rPr>
          <w:rFonts w:hint="eastAsia" w:ascii="仿宋_GB2312" w:hAnsi="仿宋_GB2312" w:eastAsia="仿宋_GB2312" w:cs="仿宋_GB2312"/>
          <w:color w:val="auto"/>
          <w:kern w:val="0"/>
          <w:sz w:val="28"/>
          <w:szCs w:val="28"/>
          <w:highlight w:val="none"/>
        </w:rPr>
        <w:t>安全监控系统、人员位置监测系统的运行值班工作；负责事故信息接收、上报及传递，有关应急救援指令上传下达；参与事故应急救援、事故应急处置方案的制定及调整等相关工作。</w:t>
      </w:r>
    </w:p>
    <w:p w14:paraId="7D0F67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（2）安全监察部：主要负责提供事故有关安全监察的情况和信息以及安全评估；参与事故应急救援及事故应急处置方案的制定；参与事故调查处理工作；负责应急预</w:t>
      </w:r>
      <w:r>
        <w:rPr>
          <w:rFonts w:hint="eastAsia" w:ascii="仿宋_GB2312" w:hAnsi="仿宋_GB2312" w:eastAsia="仿宋_GB2312" w:cs="仿宋_GB2312"/>
          <w:color w:val="auto"/>
          <w:kern w:val="0"/>
          <w:sz w:val="28"/>
          <w:szCs w:val="28"/>
          <w:highlight w:val="none"/>
          <w:lang w:eastAsia="zh-CN"/>
        </w:rPr>
        <w:t>案和</w:t>
      </w:r>
      <w:r>
        <w:rPr>
          <w:rFonts w:hint="eastAsia" w:ascii="仿宋_GB2312" w:hAnsi="仿宋_GB2312" w:eastAsia="仿宋_GB2312" w:cs="仿宋_GB2312"/>
          <w:color w:val="auto"/>
          <w:kern w:val="0"/>
          <w:sz w:val="28"/>
          <w:szCs w:val="28"/>
          <w:highlight w:val="none"/>
        </w:rPr>
        <w:t>安全措施的编制或审查，对公司应急预案体系运行情况进行监督检查和指导</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参与应急预案的编制、修订、培训；开展矿井事故救援期间安全监督等相关工作。</w:t>
      </w:r>
    </w:p>
    <w:p w14:paraId="54F7DF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生产技术部（冲击地压防控中心）：主要负责采掘工作面技术工作及采掘工作面各类技术图纸修订；按规定及时交换。确保采掘工作面图纸与实际生产进度相符；负责矿井顶板事故、冲击地压事故等事故类型的风险评估报告、资源调查报告、专项应急预案、现场处置方案的编制与修订；对所属专业基层区队应急预案体系运行情况进行监督检查和指导；落实应急预案中专业的应急演练工作；参与应急预案的编制、修订、培训；参与事故应急救援及事故应急处置方案的制定及调整等相关工作。</w:t>
      </w:r>
    </w:p>
    <w:p w14:paraId="7D59C59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（4）地质测量部：主要负责全面掌握所属矿井地质、水文地质、水情等状况，负责所属矿井地质灾害、防治水方面的隐患排查治理，探放水措施的执行落实，防治水工程、设施的设计、施工及验收的检查监管；</w:t>
      </w:r>
      <w:r>
        <w:rPr>
          <w:rFonts w:hint="eastAsia" w:ascii="仿宋_GB2312" w:hAnsi="仿宋_GB2312" w:eastAsia="仿宋_GB2312" w:cs="仿宋_GB2312"/>
          <w:color w:val="auto"/>
          <w:kern w:val="0"/>
          <w:sz w:val="28"/>
          <w:szCs w:val="28"/>
          <w:highlight w:val="none"/>
          <w:lang w:val="en-US" w:eastAsia="zh-CN"/>
        </w:rPr>
        <w:t>负责</w:t>
      </w:r>
      <w:r>
        <w:rPr>
          <w:rFonts w:hint="eastAsia" w:ascii="仿宋_GB2312" w:hAnsi="仿宋_GB2312" w:eastAsia="仿宋_GB2312" w:cs="仿宋_GB2312"/>
          <w:color w:val="auto"/>
          <w:kern w:val="0"/>
          <w:sz w:val="28"/>
          <w:szCs w:val="28"/>
          <w:highlight w:val="none"/>
        </w:rPr>
        <w:t>矿井水害事故、地震等自然灾害事故类型的风险评估报告、资源调查报告、专项应急预案、现场处置方案的编制；对所属专业基层区队应急预案体系运行情况进行监督检查和指导</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参与应急预案的编制、修订、培训；落实应急预案中相关专业的应急演练工作开展；参与事故应急救援及事故应急处置方案的制定及调整等相关工作。</w:t>
      </w:r>
    </w:p>
    <w:p w14:paraId="51C1140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5）通防管理部：主要负责分管专业应急救援仪器的管理工作及一通三防和避灾路线图纸维护；参与应急预案的编制、修订、培训；落实应急预案中相关专业的应急演练工作开展，加强对避难硐室、自救器补给站的日常监管；参与“一通三防”抢险救援所需各种物资装备、器材的调集和筹备；参与事故应急救援，负责井下有毒有害气体和环境监测，通风系统调整，参与事故应急处置方案的制定及调整等相关工作。 </w:t>
      </w:r>
    </w:p>
    <w:p w14:paraId="4253FBC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机电管理部：主要负责对各矿井供电系统、主要提升设备、主要排水设备、主要通风机、应急电源等大型应急救援设备的维护管理，落实压风自救系统和供水施救系统的正常运行；负责组织抢险救援所需各种物资装备、器材的调集和筹备；负责矿井提升运输、停电事故、压力容器事故、主通风机事故等事故类型的风险评估报告、资源调查报告、专项应急预案、现场处置方案的编制；对所属专业基层区队应急预案体系运行情况进行监督检查和指导</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 xml:space="preserve">参与应急预案的编制、修订、培训；参与事故应急处置方案的制定及调整；根据事故性质，制定环境保护方面的应急处置措施，并确保落实。事故救援过程中做好扬尘、污水、危险废物等污染物排放的控制，发现造成环境污染时立即采取相关措施，同时指导事故单位委托有资质的环境检测部门对环境污染进行检测和评估等相关工作。 </w:t>
      </w:r>
    </w:p>
    <w:p w14:paraId="64B98B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（7）综合办公室：主要负责抢险救灾人员、有关家属的食宿、接待、车辆调度等工作，保障有关抢险救援人员的日常生活物资需要；参与应急预案的编制、修订、培训等相关工作。 </w:t>
      </w:r>
    </w:p>
    <w:p w14:paraId="5693E5D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党群工作部：主要负责做好应急管理知识宣传报道工作及紧急情况下预防、避险、自救、互救、减灾等常识教育；参与应急预案的编制、修订、培训；负责新闻媒体的组织与接待工作，编发事故救援简报，发布事故应急救援进展情况；应急救援纪律监督监察等相关工作。 </w:t>
      </w:r>
    </w:p>
    <w:p w14:paraId="64E18F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综合服务中心：主要负责协助有关单位警戒保卫组维持矿区秩序；做好事故发生后的人员疏散，封闭相关场所，维护交通秩序；负责地面火灾事故的风险评估报告、资源调查报告、专项应急预案、现场处置方案的编制；对所属专业基层区队应急预案体系运行情况进行监督检查和指导</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 xml:space="preserve">参与应急预案的编制、修订、培训；杜绝无关人员进入事故救援现场，确保事故救援的顺利进行等相关工作。 </w:t>
      </w:r>
    </w:p>
    <w:p w14:paraId="3B1B4A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（10）财务管理部：主要负责应急救援各项费用的计划和及时拨付，确保救援及善后处理资金及时到位；参与应急预案的编制、修订、培训等相关工作。 </w:t>
      </w:r>
    </w:p>
    <w:p w14:paraId="62F5C1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（11）财务管理部、党群工作部、纪委、党委组织部（人力资源部）：主要负责受伤员工的医疗救治；参与赔偿、工伤保险等善后处理工作；参与应急预案的编制、修订、培训等相关工作。 </w:t>
      </w:r>
    </w:p>
    <w:p w14:paraId="5E5334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12）其他部室和单位：主要负责根据工作职责分工，配合相关部室做好应急管理的日常工作，参与应急预案的编制、修订、培训；参与生产安全事故应急处置；协助参与食宿、接待、赔偿、善后等处理工作等相关工作。 </w:t>
      </w:r>
    </w:p>
    <w:p w14:paraId="1041A3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 xml:space="preserve">：主要负责参与应急预案的编制、修订、培训；指导兼职矿山救护队训练、培训；落实应急预案中相关专业的应急演练工作开展；参与事故应急处置方案的制定及调整；根据事故应急救援方案，参加应急救援工作等相关工作。 </w:t>
      </w:r>
    </w:p>
    <w:p w14:paraId="0D13F6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14）兼职救护队：主要负责参与应急预案的编制、修订、培训；强化日常训练、培训，加强装备维护保养；落实应急预案中相关专业的应急演练工作开展；参与事故应急处置方案的制定及调整；根据事故应急救援方案，参加应急救援工作等相关工作。 </w:t>
      </w:r>
    </w:p>
    <w:p w14:paraId="71285759">
      <w:pPr>
        <w:widowControl/>
        <w:ind w:firstLine="560" w:firstLineChars="200"/>
        <w:jc w:val="left"/>
        <w:rPr>
          <w:rFonts w:ascii="仿宋_GB2312" w:hAnsi="仿宋_GB2312" w:eastAsia="仿宋_GB2312" w:cs="仿宋_GB2312"/>
          <w:b/>
          <w:bCs/>
          <w:color w:val="auto"/>
          <w:kern w:val="0"/>
          <w:sz w:val="31"/>
          <w:szCs w:val="31"/>
          <w:highlight w:val="none"/>
          <w:lang w:bidi="ar"/>
        </w:rPr>
      </w:pPr>
      <w:r>
        <w:rPr>
          <w:rFonts w:hint="eastAsia" w:ascii="仿宋_GB2312" w:hAnsi="仿宋_GB2312" w:eastAsia="仿宋_GB2312" w:cs="仿宋_GB2312"/>
          <w:color w:val="auto"/>
          <w:kern w:val="0"/>
          <w:sz w:val="28"/>
          <w:szCs w:val="28"/>
          <w:highlight w:val="none"/>
        </w:rPr>
        <w:t>（15）</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hint="eastAsia" w:ascii="仿宋_GB2312" w:hAnsi="仿宋_GB2312" w:eastAsia="仿宋_GB2312" w:cs="仿宋_GB2312"/>
          <w:color w:val="auto"/>
          <w:kern w:val="0"/>
          <w:sz w:val="28"/>
          <w:szCs w:val="28"/>
          <w:highlight w:val="none"/>
        </w:rPr>
        <w:t>：主要负责应急医疗救护培训；落实应急预案中相关专业的应急演练工作开展；参与应急预案的编制、修订、培训；负责受伤员工的医疗救治、转院等相关工作。</w:t>
      </w:r>
    </w:p>
    <w:p w14:paraId="0B29D524">
      <w:pPr>
        <w:widowControl/>
        <w:ind w:firstLine="622" w:firstLineChars="200"/>
        <w:jc w:val="left"/>
        <w:rPr>
          <w:rFonts w:ascii="仿宋_GB2312" w:hAnsi="仿宋_GB2312" w:eastAsia="仿宋_GB2312" w:cs="仿宋_GB2312"/>
          <w:b/>
          <w:bCs/>
          <w:color w:val="auto"/>
          <w:kern w:val="0"/>
          <w:sz w:val="31"/>
          <w:szCs w:val="31"/>
          <w:highlight w:val="none"/>
          <w:lang w:bidi="ar"/>
        </w:rPr>
      </w:pPr>
      <w:r>
        <w:rPr>
          <w:rFonts w:hint="eastAsia" w:ascii="仿宋_GB2312" w:hAnsi="仿宋_GB2312" w:eastAsia="仿宋_GB2312" w:cs="仿宋_GB2312"/>
          <w:b/>
          <w:bCs/>
          <w:color w:val="auto"/>
          <w:kern w:val="0"/>
          <w:sz w:val="31"/>
          <w:szCs w:val="31"/>
          <w:highlight w:val="none"/>
          <w:lang w:bidi="ar"/>
        </w:rPr>
        <w:t xml:space="preserve">2.1.2 应急管理办公室 </w:t>
      </w:r>
    </w:p>
    <w:p w14:paraId="4F8261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领导小组下设应急管理办公室，办公室设在调度室，调度室主任兼任办公室主任，办公室成员由应急领导小组构成单位相关人员组成，办公室在应急领导小组领导下开展工作。 </w:t>
      </w:r>
    </w:p>
    <w:p w14:paraId="68C017B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应急管理办公室主要职责：</w:t>
      </w:r>
    </w:p>
    <w:p w14:paraId="2BB9965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（1）应急管理办公室在应急领导小组的领导下，全面负责应急管理日常业务和组织协调工作，完成应急领导小组交办的各项任务；</w:t>
      </w:r>
    </w:p>
    <w:p w14:paraId="3574ED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负责组织应急预案的编制、修订、评估工作；组织制定应急救援演练规划、年度演练计划，按计划开展应急预案演练活动；总结应急演练和处置突发公共事件中的经验教训，科学评估应急救援效果，完善应急联动机制；</w:t>
      </w:r>
    </w:p>
    <w:p w14:paraId="71FB25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（3）负责应急物资储备，兼职矿山救护队日常管理；</w:t>
      </w:r>
    </w:p>
    <w:p w14:paraId="698A50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（4）建立应急值班制度，加强信息接收、报送等方面的工作；做好突发事件信息填报工作，确保信息的时效性和真实性；</w:t>
      </w:r>
    </w:p>
    <w:p w14:paraId="1E58A9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（5）建立应急管理系统，横向与各专业部门相联，纵向与上下级互联互通，及时接收、发布预警信息，同时向有关地方政府、部门、企业、群众发布预警信息，有针对性地做好预防工作；</w:t>
      </w:r>
    </w:p>
    <w:p w14:paraId="43C789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（6）做好应急保障，整合应急救援队伍资源；开展包括人力、财力、物力等方面情况的各类应急资源的普查，建立物资储备和调用制度；</w:t>
      </w:r>
    </w:p>
    <w:p w14:paraId="6C536DB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（7）加强应急管理工作培训；积极组织对各级领导干部、应急管理人员、应急救援队伍进行培训，提高各级领导处置突发事件的能力和应急管理人员的业务素质；</w:t>
      </w:r>
    </w:p>
    <w:p w14:paraId="3ABB5C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（8）通过各种渠道，利用各类方式面向从业人员广泛开展相关法律、法规、应急管理知识和紧急情况下预防、避险、自救、互救、减灾等常识教育，增强公众自救互救能力；</w:t>
      </w:r>
    </w:p>
    <w:p w14:paraId="3161283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（9）发生生产安全事故时按照应急救援指挥部的指令，做好应急救援协调工作。</w:t>
      </w:r>
    </w:p>
    <w:p w14:paraId="494B4209">
      <w:pPr>
        <w:spacing w:line="520" w:lineRule="exact"/>
        <w:ind w:firstLine="600" w:firstLineChars="200"/>
        <w:jc w:val="left"/>
        <w:outlineLvl w:val="1"/>
        <w:rPr>
          <w:rFonts w:ascii="楷体_GB2312" w:hAnsi="楷体_GB2312" w:eastAsia="楷体_GB2312" w:cs="楷体_GB2312"/>
          <w:bCs/>
          <w:color w:val="auto"/>
          <w:kern w:val="0"/>
          <w:sz w:val="30"/>
          <w:szCs w:val="30"/>
          <w:highlight w:val="none"/>
        </w:rPr>
      </w:pPr>
      <w:bookmarkStart w:id="28" w:name="_Toc9546"/>
      <w:r>
        <w:rPr>
          <w:rFonts w:hint="eastAsia" w:ascii="楷体_GB2312" w:hAnsi="楷体_GB2312" w:eastAsia="楷体_GB2312" w:cs="楷体_GB2312"/>
          <w:bCs/>
          <w:color w:val="auto"/>
          <w:kern w:val="0"/>
          <w:sz w:val="30"/>
          <w:szCs w:val="30"/>
          <w:highlight w:val="none"/>
        </w:rPr>
        <w:t>2.</w:t>
      </w:r>
      <w:bookmarkEnd w:id="22"/>
      <w:bookmarkEnd w:id="23"/>
      <w:bookmarkEnd w:id="24"/>
      <w:bookmarkEnd w:id="25"/>
      <w:bookmarkEnd w:id="26"/>
      <w:r>
        <w:rPr>
          <w:rFonts w:hint="eastAsia" w:ascii="楷体_GB2312" w:hAnsi="楷体_GB2312" w:eastAsia="楷体_GB2312" w:cs="楷体_GB2312"/>
          <w:bCs/>
          <w:color w:val="auto"/>
          <w:kern w:val="0"/>
          <w:sz w:val="30"/>
          <w:szCs w:val="30"/>
          <w:highlight w:val="none"/>
        </w:rPr>
        <w:t>2应急救援机构及职责</w:t>
      </w:r>
      <w:bookmarkEnd w:id="28"/>
    </w:p>
    <w:p w14:paraId="2C552261">
      <w:pPr>
        <w:spacing w:line="560" w:lineRule="exact"/>
        <w:ind w:firstLine="602" w:firstLineChars="200"/>
        <w:outlineLvl w:val="9"/>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2.2.1应急救援指挥部</w:t>
      </w:r>
    </w:p>
    <w:p w14:paraId="4668E25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成立生产安全事故应急救援指挥部（以下简称“指挥部”），负责全面领导、指挥协调事故应急救援工作，应急救援指挥场所设在调度室调度台。</w:t>
      </w:r>
    </w:p>
    <w:p w14:paraId="47A4D3D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总指挥：党委书记、总经理（或</w:t>
      </w:r>
      <w:r>
        <w:rPr>
          <w:rFonts w:hint="eastAsia" w:ascii="仿宋_GB2312" w:hAnsi="仿宋_GB2312" w:eastAsia="仿宋_GB2312" w:cs="仿宋_GB2312"/>
          <w:color w:val="auto"/>
          <w:kern w:val="0"/>
          <w:sz w:val="28"/>
          <w:szCs w:val="28"/>
          <w:highlight w:val="none"/>
          <w:lang w:val="en-US" w:eastAsia="zh-CN"/>
        </w:rPr>
        <w:t>被</w:t>
      </w:r>
      <w:r>
        <w:rPr>
          <w:rFonts w:hint="eastAsia" w:ascii="仿宋_GB2312" w:hAnsi="仿宋_GB2312" w:eastAsia="仿宋_GB2312" w:cs="仿宋_GB2312"/>
          <w:color w:val="auto"/>
          <w:kern w:val="0"/>
          <w:sz w:val="28"/>
          <w:szCs w:val="28"/>
          <w:highlight w:val="none"/>
        </w:rPr>
        <w:t>授权人）</w:t>
      </w:r>
    </w:p>
    <w:p w14:paraId="79523E1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副总指挥：总工程师、安全总监、副总经理及其他班子成员。</w:t>
      </w:r>
    </w:p>
    <w:p w14:paraId="625024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成员：各专业副总工程师、有关技术专家、各专业科室和区队主要负责人，</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lang w:val="en-US" w:eastAsia="zh-CN"/>
        </w:rPr>
        <w:t>负责人</w:t>
      </w:r>
      <w:r>
        <w:rPr>
          <w:rFonts w:hint="eastAsia" w:ascii="仿宋_GB2312" w:hAnsi="仿宋_GB2312" w:eastAsia="仿宋_GB2312" w:cs="仿宋_GB2312"/>
          <w:color w:val="auto"/>
          <w:kern w:val="0"/>
          <w:sz w:val="28"/>
          <w:szCs w:val="28"/>
          <w:highlight w:val="none"/>
        </w:rPr>
        <w:t>、内蒙能源医院</w:t>
      </w:r>
      <w:r>
        <w:rPr>
          <w:rFonts w:hint="eastAsia" w:ascii="仿宋_GB2312" w:hAnsi="仿宋_GB2312" w:eastAsia="仿宋_GB2312" w:cs="仿宋_GB2312"/>
          <w:color w:val="auto"/>
          <w:kern w:val="0"/>
          <w:sz w:val="28"/>
          <w:szCs w:val="28"/>
          <w:highlight w:val="none"/>
          <w:lang w:val="en-US" w:eastAsia="zh-CN"/>
        </w:rPr>
        <w:t>负责人</w:t>
      </w:r>
      <w:r>
        <w:rPr>
          <w:rFonts w:hint="eastAsia" w:ascii="仿宋_GB2312" w:hAnsi="仿宋_GB2312" w:eastAsia="仿宋_GB2312" w:cs="仿宋_GB2312"/>
          <w:color w:val="auto"/>
          <w:kern w:val="0"/>
          <w:sz w:val="28"/>
          <w:szCs w:val="28"/>
          <w:highlight w:val="none"/>
        </w:rPr>
        <w:t>组成。</w:t>
      </w:r>
      <w:bookmarkStart w:id="29" w:name="_Toc26165"/>
      <w:bookmarkStart w:id="30" w:name="_Toc3866"/>
      <w:r>
        <w:rPr>
          <w:rFonts w:hint="eastAsia" w:ascii="仿宋_GB2312" w:hAnsi="仿宋_GB2312" w:eastAsia="仿宋_GB2312" w:cs="仿宋_GB2312"/>
          <w:color w:val="auto"/>
          <w:kern w:val="0"/>
          <w:sz w:val="28"/>
          <w:szCs w:val="28"/>
          <w:highlight w:val="none"/>
        </w:rPr>
        <w:t>（成员及联系方式见附件5：附表11）。</w:t>
      </w:r>
    </w:p>
    <w:p w14:paraId="58C9E65F">
      <w:pPr>
        <w:spacing w:line="520" w:lineRule="exact"/>
        <w:ind w:firstLine="602" w:firstLineChars="200"/>
        <w:outlineLvl w:val="9"/>
        <w:rPr>
          <w:rFonts w:ascii="仿宋_GB2312" w:hAnsi="仿宋_GB2312" w:eastAsia="仿宋_GB2312" w:cs="仿宋_GB2312"/>
          <w:b/>
          <w:color w:val="auto"/>
          <w:sz w:val="30"/>
          <w:szCs w:val="30"/>
          <w:highlight w:val="none"/>
        </w:rPr>
      </w:pPr>
      <w:bookmarkStart w:id="31" w:name="_Toc526869056"/>
      <w:r>
        <w:rPr>
          <w:rFonts w:hint="eastAsia" w:ascii="仿宋_GB2312" w:hAnsi="仿宋_GB2312" w:eastAsia="仿宋_GB2312" w:cs="仿宋_GB2312"/>
          <w:b/>
          <w:color w:val="auto"/>
          <w:sz w:val="30"/>
          <w:szCs w:val="30"/>
          <w:highlight w:val="none"/>
        </w:rPr>
        <w:t>2.2.2 应急救援指挥部主要职责</w:t>
      </w:r>
    </w:p>
    <w:p w14:paraId="05F22B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（1）全面了解事故灾害各类信息资料，分析把握事态发展变化趋势，及时做出应急救援重大事项决策；</w:t>
      </w:r>
    </w:p>
    <w:p w14:paraId="017584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（2）下达应急响应启动命令；</w:t>
      </w:r>
    </w:p>
    <w:p w14:paraId="1BB27B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（3）向新矿内蒙古能源、新矿集团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能源集团和政府有关部门报告事故灾害及应急救援进展情况；</w:t>
      </w:r>
    </w:p>
    <w:p w14:paraId="5209A66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（4）确定派往现场的应急救援队伍、人员和专家内容；</w:t>
      </w:r>
    </w:p>
    <w:p w14:paraId="74AE0F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（5）针对事态发展，制定和调整救援方案，整合、调配现场应急资源，组织、协调、指挥现场各救援专业组和事故单位开展救援工作；</w:t>
      </w:r>
    </w:p>
    <w:p w14:paraId="64F0A9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（6）根据现场事态发展，超出</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应急处置能力时，及时向新矿内蒙古能源、新矿集团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能源集团或地方政府有关部门提出支援申请；</w:t>
      </w:r>
    </w:p>
    <w:p w14:paraId="0ACD3DE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（7）强化维稳与舆情管控，指定新闻发言人，审定新闻发布材料；</w:t>
      </w:r>
    </w:p>
    <w:p w14:paraId="49BCA9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（8）向新矿内蒙古能源、新矿集团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能源集团或地方政府到达现场成立应急指挥部后，</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应急救援指挥部立即移交指挥权，并继续做好应急处置工作；</w:t>
      </w:r>
    </w:p>
    <w:p w14:paraId="3F08D38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（9）组织应急专家论证并核实符合应急终止条件后，提出终止应急救援意见或建议，应急指挥部做出终止应急响应的决定；</w:t>
      </w:r>
    </w:p>
    <w:p w14:paraId="70B7E0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（10）法律、法规及有关文件规定的其他应急救援职责。</w:t>
      </w:r>
    </w:p>
    <w:p w14:paraId="1C051EEA">
      <w:pPr>
        <w:spacing w:line="520" w:lineRule="exact"/>
        <w:ind w:firstLine="602" w:firstLineChars="200"/>
        <w:outlineLvl w:val="9"/>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2.2.3 总指挥主要职责</w:t>
      </w:r>
    </w:p>
    <w:p w14:paraId="20F08D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）作</w:t>
      </w:r>
      <w:r>
        <w:rPr>
          <w:rFonts w:hint="eastAsia" w:ascii="仿宋_GB2312" w:hAnsi="仿宋_GB2312" w:eastAsia="仿宋_GB2312" w:cs="仿宋_GB2312"/>
          <w:color w:val="auto"/>
          <w:kern w:val="0"/>
          <w:sz w:val="28"/>
          <w:szCs w:val="28"/>
          <w:highlight w:val="none"/>
        </w:rPr>
        <w:t>为生产安全事故应急救援工作的第一责任人，全面负责应急救援工作；</w:t>
      </w:r>
    </w:p>
    <w:p w14:paraId="23E7A5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（2）根据现场的危险等级、潜在后果等，决定应急响应的启动、终止；</w:t>
      </w:r>
    </w:p>
    <w:p w14:paraId="7FFA802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（3）指挥、协调各应急救援专业组工作，科学决策，保障救援工作过程安全有序进行；</w:t>
      </w:r>
    </w:p>
    <w:p w14:paraId="6EDA79E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（4）协调内外部应急资源的调配，做好应急救援保障工作；</w:t>
      </w:r>
    </w:p>
    <w:p w14:paraId="4B446E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（5）负责向新矿内蒙古能源、新矿集团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能源集团和政府有关部门报告和对外信息发布，做好舆情管控；</w:t>
      </w:r>
    </w:p>
    <w:p w14:paraId="6EA615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（6）扩大响应时，向新矿内蒙古能源、新矿集团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能源集团或事故发生地政府应急救援机构提出救援申请；</w:t>
      </w:r>
    </w:p>
    <w:p w14:paraId="0B8E1CE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（7）组织实施24小时应急值班；预警解除、响应终止的责任人；</w:t>
      </w:r>
    </w:p>
    <w:p w14:paraId="381C2B4E">
      <w:pPr>
        <w:spacing w:line="440" w:lineRule="exact"/>
        <w:ind w:firstLine="560" w:firstLineChars="200"/>
        <w:rPr>
          <w:rFonts w:ascii="仿宋_GB2312" w:hAnsi="仿宋_GB2312" w:eastAsia="仿宋_GB2312" w:cs="仿宋_GB2312"/>
          <w:color w:val="auto"/>
          <w:kern w:val="0"/>
          <w:sz w:val="28"/>
          <w:szCs w:val="28"/>
          <w:highlight w:val="none"/>
        </w:rPr>
      </w:pPr>
      <w:bookmarkStart w:id="32" w:name="_Hlk135314284"/>
      <w:r>
        <w:rPr>
          <w:rFonts w:hint="eastAsia" w:ascii="仿宋_GB2312" w:hAnsi="仿宋_GB2312" w:eastAsia="仿宋_GB2312" w:cs="仿宋_GB2312"/>
          <w:color w:val="auto"/>
          <w:kern w:val="0"/>
          <w:sz w:val="28"/>
          <w:szCs w:val="28"/>
          <w:highlight w:val="none"/>
        </w:rPr>
        <w:t>（8）组织安抚遇险人员和遇险、遇难人员亲属；</w:t>
      </w:r>
    </w:p>
    <w:p w14:paraId="2D7EB4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（9）法律、法规及有关文件规定的其他应急救援职责。</w:t>
      </w:r>
      <w:bookmarkEnd w:id="32"/>
    </w:p>
    <w:p w14:paraId="696C67C0">
      <w:pPr>
        <w:spacing w:line="560" w:lineRule="exact"/>
        <w:ind w:firstLine="602" w:firstLineChars="200"/>
        <w:outlineLvl w:val="9"/>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2.2.4 副总指挥职责</w:t>
      </w:r>
    </w:p>
    <w:p w14:paraId="7A6843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（1）协助总指挥或根据总指挥授权，指挥、指导、协调应急救援工作；</w:t>
      </w:r>
    </w:p>
    <w:p w14:paraId="4E93EDC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（2）按照职责分工，组织实施救援方案和措施，向总指挥提出有关应急救援建议；</w:t>
      </w:r>
    </w:p>
    <w:p w14:paraId="140C13C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（3）协调、组织应急救援所需应急资源；</w:t>
      </w:r>
    </w:p>
    <w:p w14:paraId="0C8E304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（4）按职责分工组织做好伤亡事故的善后处理工作；</w:t>
      </w:r>
    </w:p>
    <w:p w14:paraId="6118543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（5）按职责做好其他应急救援工作。</w:t>
      </w:r>
    </w:p>
    <w:p w14:paraId="6579F727">
      <w:pPr>
        <w:spacing w:line="560" w:lineRule="exact"/>
        <w:ind w:firstLine="602" w:firstLineChars="200"/>
        <w:outlineLvl w:val="9"/>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2.2.5 现场应急救援指挥部</w:t>
      </w:r>
    </w:p>
    <w:p w14:paraId="7041FD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发生生产安全事故时，在井下或事故现场安全位置设立现场应急救援指挥部，由生产副总经理、带班领导、有关生产部室、兼职矿山救护队、</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等部门人员组成，负责落实</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应急救援指挥部救援部署；负责指挥、指导、协调现场应急救援工作；负责事故及救援信息汇报；负责现场安全监督和监护；负责现场救援资源的调配等。当新矿内蒙古能源、新矿集团、能源集团或地方政府成立应急指挥部时，</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现场应急指挥部要相应移交指挥权，并继续配合做好应急处置工作。</w:t>
      </w:r>
    </w:p>
    <w:bookmarkEnd w:id="31"/>
    <w:p w14:paraId="77E753B5">
      <w:pPr>
        <w:spacing w:line="560" w:lineRule="exact"/>
        <w:ind w:firstLine="602" w:firstLineChars="200"/>
        <w:outlineLvl w:val="9"/>
        <w:rPr>
          <w:rFonts w:ascii="仿宋_GB2312" w:hAnsi="仿宋_GB2312" w:eastAsia="仿宋_GB2312" w:cs="仿宋_GB2312"/>
          <w:b/>
          <w:color w:val="auto"/>
          <w:sz w:val="30"/>
          <w:szCs w:val="30"/>
          <w:highlight w:val="none"/>
        </w:rPr>
      </w:pPr>
      <w:bookmarkStart w:id="33" w:name="_Toc10995"/>
      <w:bookmarkStart w:id="34" w:name="_Toc18499"/>
      <w:bookmarkStart w:id="35" w:name="_Toc27087"/>
      <w:r>
        <w:rPr>
          <w:rFonts w:hint="eastAsia" w:ascii="仿宋_GB2312" w:hAnsi="仿宋_GB2312" w:eastAsia="仿宋_GB2312" w:cs="仿宋_GB2312"/>
          <w:b/>
          <w:color w:val="auto"/>
          <w:sz w:val="30"/>
          <w:szCs w:val="30"/>
          <w:highlight w:val="none"/>
        </w:rPr>
        <w:t>2.2.6应急救援专业组</w:t>
      </w:r>
      <w:bookmarkEnd w:id="33"/>
      <w:bookmarkEnd w:id="34"/>
      <w:bookmarkEnd w:id="35"/>
      <w:r>
        <w:rPr>
          <w:rFonts w:hint="eastAsia" w:ascii="仿宋_GB2312" w:hAnsi="仿宋_GB2312" w:eastAsia="仿宋_GB2312" w:cs="仿宋_GB2312"/>
          <w:b/>
          <w:color w:val="auto"/>
          <w:sz w:val="30"/>
          <w:szCs w:val="30"/>
          <w:highlight w:val="none"/>
        </w:rPr>
        <w:t>、构成单位职责及行动任务</w:t>
      </w:r>
    </w:p>
    <w:p w14:paraId="4B8AD1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指挥部下设抢险救灾组、技术专家组、安全监督组、医疗救护组、物资供应组、综合协调组、警戒保卫组、后勤保障组、信息发布组和善后处理组10个应急救援专业组。由</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和各单位相关人员组成，各工作组按照以下职责分工及行动任务开展应急救援工作。各工作组、组成人员和职责分工可根据救援实际需要和政府指挥部架构进行调整。</w:t>
      </w:r>
    </w:p>
    <w:p w14:paraId="7A179A5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（1）综合协调组</w:t>
      </w:r>
    </w:p>
    <w:p w14:paraId="6C0D27C2">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组  长：</w:t>
      </w:r>
      <w:r>
        <w:rPr>
          <w:rFonts w:hint="eastAsia" w:ascii="仿宋_GB2312" w:hAnsi="仿宋_GB2312" w:eastAsia="仿宋_GB2312" w:cs="仿宋_GB2312"/>
          <w:color w:val="auto"/>
          <w:kern w:val="0"/>
          <w:sz w:val="28"/>
          <w:szCs w:val="28"/>
          <w:highlight w:val="none"/>
          <w:lang w:val="en-US" w:eastAsia="zh-CN"/>
        </w:rPr>
        <w:t>生产副总经理</w:t>
      </w:r>
      <w:r>
        <w:rPr>
          <w:rFonts w:hint="eastAsia" w:ascii="仿宋_GB2312" w:hAnsi="仿宋_GB2312" w:eastAsia="仿宋_GB2312" w:cs="仿宋_GB2312"/>
          <w:color w:val="auto"/>
          <w:kern w:val="0"/>
          <w:sz w:val="28"/>
          <w:szCs w:val="28"/>
          <w:highlight w:val="none"/>
        </w:rPr>
        <w:t>（或被授权人）</w:t>
      </w:r>
    </w:p>
    <w:p w14:paraId="6C2E2E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副组长：调度室主任</w:t>
      </w:r>
    </w:p>
    <w:p w14:paraId="5CA954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员：综合办公室、调度室等部门分管负责人。</w:t>
      </w:r>
    </w:p>
    <w:p w14:paraId="4A5C495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救援过程的综合协调工作，与新矿内蒙古能源、新矿集团、山能集团、政府及政府相关部门的沟通协调，与行业安全监管、监察部门进行沟通协调，召请协调外部应急救援队伍抢险救灾工作；定期向各救援工作组通报救援进展情况；完成指挥部交办的其他任务。</w:t>
      </w:r>
    </w:p>
    <w:p w14:paraId="767DD0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（2）抢险救灾组</w:t>
      </w:r>
    </w:p>
    <w:p w14:paraId="1EF1F35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组  长：副总经理  （或被授权人） </w:t>
      </w:r>
    </w:p>
    <w:p w14:paraId="2FA796F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w:t>
      </w:r>
      <w:r>
        <w:rPr>
          <w:rFonts w:hint="eastAsia" w:ascii="仿宋_GB2312" w:hAnsi="仿宋_GB2312" w:eastAsia="仿宋_GB2312" w:cs="仿宋_GB2312"/>
          <w:color w:val="auto"/>
          <w:kern w:val="0"/>
          <w:sz w:val="28"/>
          <w:szCs w:val="28"/>
          <w:highlight w:val="none"/>
          <w:lang w:val="en-US" w:eastAsia="zh-CN"/>
        </w:rPr>
        <w:t>山能救护二大队</w:t>
      </w:r>
      <w:r>
        <w:rPr>
          <w:rFonts w:hint="eastAsia" w:ascii="仿宋_GB2312" w:hAnsi="仿宋_GB2312" w:eastAsia="仿宋_GB2312" w:cs="仿宋_GB2312"/>
          <w:color w:val="auto"/>
          <w:kern w:val="0"/>
          <w:sz w:val="28"/>
          <w:szCs w:val="28"/>
          <w:highlight w:val="none"/>
        </w:rPr>
        <w:t>负责人</w:t>
      </w:r>
    </w:p>
    <w:p w14:paraId="048CBF1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或地方救护队、兼职矿山救护队、事故区队负责人。</w:t>
      </w:r>
    </w:p>
    <w:p w14:paraId="5AB524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实施指挥部制定的应急救援方案及安全技术措施；负责现场救援，照明线路、设施的抢修，保证事故抢救用电；负责组织通讯线路、网络设备及设施的抢修，保证通讯畅通等工作；结合救援现场变化，及时对事故救援方案提出修订建议；及时向指挥部汇报灾情及救援情况；完成指挥部交办的其他任务。</w:t>
      </w:r>
    </w:p>
    <w:p w14:paraId="516D6B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（3）技术专家组</w:t>
      </w:r>
    </w:p>
    <w:p w14:paraId="2263FA1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长：总工程师   （或被授权人）</w:t>
      </w:r>
    </w:p>
    <w:p w14:paraId="0EBD96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副组长：分管副总工程师</w:t>
      </w:r>
    </w:p>
    <w:p w14:paraId="46805D1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员：专业部室、</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或事发当地矿山救护队等部门相关人员，内（外）部专家组成员。</w:t>
      </w:r>
    </w:p>
    <w:p w14:paraId="495F74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对事故灾害危害程度、范围和发展趋势做出评估、预测；协助指挥部制定救援技术方案及安全措施；对抢救过程中遇到的技术难题及时给予技术指导，并协助指挥部及时修改、补充和调整救援方案；协助分析事故原因和责任；完成指挥部交办的其他任务。</w:t>
      </w:r>
    </w:p>
    <w:p w14:paraId="14D944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（4）安全监督组</w:t>
      </w:r>
    </w:p>
    <w:p w14:paraId="38AF03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长：安全总监  （或被授权人）</w:t>
      </w:r>
    </w:p>
    <w:p w14:paraId="1A2AE68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副组长：安全监察部党支部副书记</w:t>
      </w:r>
    </w:p>
    <w:p w14:paraId="36790C1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员：安全监察部有关人员</w:t>
      </w:r>
    </w:p>
    <w:p w14:paraId="02A7CBD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职责分工及行动任务：负责事故救援过程中的现场安全监督工作；监督检查救援方案及措施的实施情况；按照事故类别分别制定人员防护要求等；配合上级单位开展事故调查；完成指挥部交办的其他任务。</w:t>
      </w:r>
    </w:p>
    <w:p w14:paraId="3A6B09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（5）医疗救护组</w:t>
      </w:r>
    </w:p>
    <w:p w14:paraId="785A043C">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组  长：</w:t>
      </w:r>
      <w:r>
        <w:rPr>
          <w:rFonts w:hint="eastAsia" w:ascii="仿宋_GB2312" w:hAnsi="仿宋_GB2312" w:eastAsia="仿宋_GB2312" w:cs="仿宋_GB2312"/>
          <w:color w:val="auto"/>
          <w:kern w:val="0"/>
          <w:sz w:val="28"/>
          <w:szCs w:val="28"/>
          <w:highlight w:val="none"/>
          <w:lang w:val="en-US" w:eastAsia="zh-CN"/>
        </w:rPr>
        <w:t>综合办公室主任</w:t>
      </w:r>
      <w:r>
        <w:rPr>
          <w:rFonts w:hint="eastAsia" w:ascii="仿宋_GB2312" w:hAnsi="仿宋_GB2312" w:eastAsia="仿宋_GB2312" w:cs="仿宋_GB2312"/>
          <w:color w:val="auto"/>
          <w:kern w:val="0"/>
          <w:sz w:val="28"/>
          <w:szCs w:val="28"/>
          <w:highlight w:val="none"/>
        </w:rPr>
        <w:t>（或被授权人）</w:t>
      </w:r>
    </w:p>
    <w:p w14:paraId="43AED476">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副组长：内蒙能源医院</w:t>
      </w:r>
      <w:r>
        <w:rPr>
          <w:rFonts w:hint="eastAsia" w:ascii="仿宋_GB2312" w:hAnsi="仿宋_GB2312" w:eastAsia="仿宋_GB2312" w:cs="仿宋_GB2312"/>
          <w:color w:val="auto"/>
          <w:kern w:val="0"/>
          <w:sz w:val="28"/>
          <w:szCs w:val="28"/>
          <w:highlight w:val="none"/>
          <w:lang w:val="en-US" w:eastAsia="zh-CN"/>
        </w:rPr>
        <w:t>负责人</w:t>
      </w:r>
    </w:p>
    <w:p w14:paraId="7A32A61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员：井口保健站人员、内蒙能源医院各科医护人员</w:t>
      </w:r>
    </w:p>
    <w:p w14:paraId="7696E6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伤员的医疗救治、转送和卫生防疫工作、消杀等；指导事故现场抢救人员采取正确有效的方法对伤员进行急救；组织调动和协调内外部医疗救护资源和医疗专家；提供应急救援期间所需药品、医疗器械、装备；负责现场救援人员的医疗防护；完成指挥部交办的其他任务。</w:t>
      </w:r>
    </w:p>
    <w:p w14:paraId="2046603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（6）物资供应组</w:t>
      </w:r>
    </w:p>
    <w:p w14:paraId="29DCD13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长：经营副总经理（或被授权人）</w:t>
      </w:r>
    </w:p>
    <w:p w14:paraId="3B62BB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副组长：运营管理部副主任</w:t>
      </w:r>
    </w:p>
    <w:p w14:paraId="7E7242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员：机电管理部、运营管理部有关人员</w:t>
      </w:r>
    </w:p>
    <w:p w14:paraId="3A3DFF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职责分工及行动任务：负责组织抢险救援所需各种物资装备、器材的调度、运送和供应；保障抢险救援人员办公需要；完成指挥部交办的其他任务。</w:t>
      </w:r>
    </w:p>
    <w:p w14:paraId="7B73C5E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（7）警戒保卫组</w:t>
      </w:r>
    </w:p>
    <w:p w14:paraId="6FEEC0E3">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组  长：综合服务中心主任（或被授权人）</w:t>
      </w:r>
    </w:p>
    <w:p w14:paraId="7514096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副组长：综合服务中心</w:t>
      </w:r>
      <w:r>
        <w:rPr>
          <w:rFonts w:hint="eastAsia" w:ascii="仿宋_GB2312" w:hAnsi="仿宋_GB2312" w:eastAsia="仿宋_GB2312" w:cs="仿宋_GB2312"/>
          <w:color w:val="auto"/>
          <w:kern w:val="0"/>
          <w:sz w:val="28"/>
          <w:szCs w:val="28"/>
          <w:highlight w:val="none"/>
          <w:lang w:val="en-US" w:eastAsia="zh-CN"/>
        </w:rPr>
        <w:t>副</w:t>
      </w:r>
      <w:r>
        <w:rPr>
          <w:rFonts w:hint="eastAsia" w:ascii="仿宋_GB2312" w:hAnsi="仿宋_GB2312" w:eastAsia="仿宋_GB2312" w:cs="仿宋_GB2312"/>
          <w:color w:val="auto"/>
          <w:kern w:val="0"/>
          <w:sz w:val="28"/>
          <w:szCs w:val="28"/>
          <w:highlight w:val="none"/>
        </w:rPr>
        <w:t>主任</w:t>
      </w:r>
    </w:p>
    <w:p w14:paraId="15A6BD4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员：综合服务中心有关人员</w:t>
      </w:r>
    </w:p>
    <w:p w14:paraId="24BB4C1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事故单位地面现场人员疏散、治安警戒、交通管制和维持秩序等工作；封闭相关场所，杜绝无关人员进入事故救援现场；需要时与当地政府公安部门进行沟通协调；完成指挥部交办的其他任务。</w:t>
      </w:r>
    </w:p>
    <w:p w14:paraId="3DC68F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（8）后勤保障组</w:t>
      </w:r>
    </w:p>
    <w:p w14:paraId="4E689C0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w:t>
      </w:r>
      <w:r>
        <w:rPr>
          <w:rFonts w:hint="eastAsia" w:ascii="仿宋_GB2312" w:hAnsi="仿宋_GB2312" w:eastAsia="仿宋_GB2312" w:cs="仿宋_GB2312"/>
          <w:color w:val="auto"/>
          <w:kern w:val="0"/>
          <w:sz w:val="28"/>
          <w:szCs w:val="28"/>
          <w:highlight w:val="none"/>
          <w:lang w:val="en-US" w:eastAsia="zh-CN"/>
        </w:rPr>
        <w:t>机电</w:t>
      </w:r>
      <w:r>
        <w:rPr>
          <w:rFonts w:hint="eastAsia" w:ascii="仿宋_GB2312" w:hAnsi="仿宋_GB2312" w:eastAsia="仿宋_GB2312" w:cs="仿宋_GB2312"/>
          <w:color w:val="auto"/>
          <w:kern w:val="0"/>
          <w:sz w:val="28"/>
          <w:szCs w:val="28"/>
          <w:highlight w:val="none"/>
        </w:rPr>
        <w:t xml:space="preserve">副总经理 （或被授权人） </w:t>
      </w:r>
    </w:p>
    <w:p w14:paraId="3626679C">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副组长：</w:t>
      </w:r>
      <w:r>
        <w:rPr>
          <w:rFonts w:hint="eastAsia" w:ascii="仿宋_GB2312" w:hAnsi="仿宋_GB2312" w:eastAsia="仿宋_GB2312" w:cs="仿宋_GB2312"/>
          <w:color w:val="auto"/>
          <w:kern w:val="0"/>
          <w:sz w:val="28"/>
          <w:szCs w:val="28"/>
          <w:highlight w:val="none"/>
          <w:lang w:val="en-US" w:eastAsia="zh-CN"/>
        </w:rPr>
        <w:t>机电副总工程师</w:t>
      </w:r>
    </w:p>
    <w:p w14:paraId="776ADD3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员：山能发展服务、财务管理部、机电管理部人员</w:t>
      </w:r>
    </w:p>
    <w:p w14:paraId="42B424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职责分工及行动任务：负责抢险救灾人员和工伤人员家属的接待、食宿、车辆、后勤物资的保障；应急通讯、信息网络畅通；抢险资金及时划拔；协调地企关系等；完成指挥部交办的其他任务。</w:t>
      </w:r>
    </w:p>
    <w:p w14:paraId="5E1EBD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（9）信息发布组</w:t>
      </w:r>
    </w:p>
    <w:p w14:paraId="498018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长：党委副书记、</w:t>
      </w:r>
      <w:r>
        <w:rPr>
          <w:rFonts w:hint="eastAsia" w:ascii="仿宋_GB2312" w:hAnsi="仿宋_GB2312" w:eastAsia="仿宋_GB2312" w:cs="仿宋_GB2312"/>
          <w:color w:val="auto"/>
          <w:kern w:val="0"/>
          <w:sz w:val="28"/>
          <w:szCs w:val="28"/>
          <w:highlight w:val="none"/>
          <w:lang w:val="en-US" w:eastAsia="zh-CN"/>
        </w:rPr>
        <w:t>工会主席、</w:t>
      </w:r>
      <w:r>
        <w:rPr>
          <w:rFonts w:hint="eastAsia" w:ascii="仿宋_GB2312" w:hAnsi="仿宋_GB2312" w:eastAsia="仿宋_GB2312" w:cs="仿宋_GB2312"/>
          <w:color w:val="auto"/>
          <w:kern w:val="0"/>
          <w:sz w:val="28"/>
          <w:szCs w:val="28"/>
          <w:highlight w:val="none"/>
        </w:rPr>
        <w:t xml:space="preserve">纪委书记 （或被授权人） </w:t>
      </w:r>
    </w:p>
    <w:p w14:paraId="6E470FF3">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副组长：</w:t>
      </w:r>
      <w:r>
        <w:rPr>
          <w:rFonts w:hint="eastAsia" w:ascii="仿宋_GB2312" w:hAnsi="仿宋_GB2312" w:eastAsia="仿宋_GB2312" w:cs="仿宋_GB2312"/>
          <w:color w:val="auto"/>
          <w:kern w:val="0"/>
          <w:sz w:val="28"/>
          <w:szCs w:val="28"/>
          <w:highlight w:val="none"/>
          <w:lang w:val="en-US" w:eastAsia="zh-CN"/>
        </w:rPr>
        <w:t>副总工程师</w:t>
      </w:r>
    </w:p>
    <w:p w14:paraId="004154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员：事故专业部室副总工程师、专业部室人员、调度室有关人员</w:t>
      </w:r>
    </w:p>
    <w:p w14:paraId="7BAB1F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统一掌握事故态势，收集救援行动等有关信息资料；由救援总指挥授权向有关人员、单位、媒体等通报事故及救援开展情况；及时收集、跟踪新闻媒体、网络、社会公众等舆情信息；完成指挥部交办的其他任务。</w:t>
      </w:r>
    </w:p>
    <w:p w14:paraId="0DA58B17">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（10）善后处理组</w:t>
      </w:r>
    </w:p>
    <w:p w14:paraId="77D478CB">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yellow"/>
        </w:rPr>
        <w:t>组  长：</w:t>
      </w:r>
      <w:r>
        <w:rPr>
          <w:rFonts w:hint="eastAsia" w:ascii="仿宋_GB2312" w:hAnsi="仿宋_GB2312" w:eastAsia="仿宋_GB2312" w:cs="仿宋_GB2312"/>
          <w:color w:val="auto"/>
          <w:kern w:val="0"/>
          <w:sz w:val="28"/>
          <w:szCs w:val="28"/>
          <w:highlight w:val="yellow"/>
          <w:lang w:val="en-US" w:eastAsia="zh-CN"/>
        </w:rPr>
        <w:t>副总工程师</w:t>
      </w:r>
      <w:r>
        <w:rPr>
          <w:rFonts w:hint="eastAsia" w:ascii="仿宋_GB2312" w:hAnsi="仿宋_GB2312" w:eastAsia="仿宋_GB2312" w:cs="仿宋_GB2312"/>
          <w:color w:val="auto"/>
          <w:kern w:val="0"/>
          <w:sz w:val="28"/>
          <w:szCs w:val="28"/>
          <w:highlight w:val="yellow"/>
        </w:rPr>
        <w:t>（或被授权人）</w:t>
      </w:r>
      <w:r>
        <w:rPr>
          <w:rFonts w:hint="eastAsia" w:ascii="仿宋_GB2312" w:hAnsi="仿宋_GB2312" w:eastAsia="仿宋_GB2312" w:cs="仿宋_GB2312"/>
          <w:color w:val="auto"/>
          <w:kern w:val="0"/>
          <w:sz w:val="28"/>
          <w:szCs w:val="28"/>
          <w:highlight w:val="none"/>
        </w:rPr>
        <w:t xml:space="preserve"> </w:t>
      </w:r>
    </w:p>
    <w:p w14:paraId="30ABD9E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副组长：财务管理部主任</w:t>
      </w:r>
    </w:p>
    <w:p w14:paraId="683D64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员：党群工作部、党委组织部、</w:t>
      </w:r>
      <w:r>
        <w:rPr>
          <w:rFonts w:hint="eastAsia" w:ascii="仿宋_GB2312" w:hAnsi="仿宋_GB2312" w:eastAsia="仿宋_GB2312" w:cs="仿宋_GB2312"/>
          <w:color w:val="auto"/>
          <w:kern w:val="0"/>
          <w:sz w:val="28"/>
          <w:szCs w:val="28"/>
          <w:highlight w:val="none"/>
          <w:lang w:val="en-US" w:eastAsia="zh-CN"/>
        </w:rPr>
        <w:t>综合办公室</w:t>
      </w:r>
      <w:r>
        <w:rPr>
          <w:rFonts w:hint="eastAsia" w:ascii="仿宋_GB2312" w:hAnsi="仿宋_GB2312" w:eastAsia="仿宋_GB2312" w:cs="仿宋_GB2312"/>
          <w:color w:val="auto"/>
          <w:kern w:val="0"/>
          <w:sz w:val="28"/>
          <w:szCs w:val="28"/>
          <w:highlight w:val="none"/>
        </w:rPr>
        <w:t>（人力资源部）</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运营管理部有关人员。</w:t>
      </w:r>
    </w:p>
    <w:p w14:paraId="395A49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职责分工及行动任务：负责核实遇难者身份、了解掌握其家庭情况、通知遇难者亲属；负责伤亡人员家属安抚、抚恤、理赔等善后工作；负责污染物处理；完成指挥部交办的其他任务。</w:t>
      </w:r>
    </w:p>
    <w:p w14:paraId="15BFFDF2">
      <w:pPr>
        <w:spacing w:line="520" w:lineRule="exact"/>
        <w:ind w:firstLine="600" w:firstLineChars="200"/>
        <w:jc w:val="left"/>
        <w:outlineLvl w:val="1"/>
        <w:rPr>
          <w:rFonts w:ascii="楷体_GB2312" w:hAnsi="楷体_GB2312" w:eastAsia="楷体_GB2312" w:cs="楷体_GB2312"/>
          <w:bCs/>
          <w:color w:val="auto"/>
          <w:kern w:val="0"/>
          <w:sz w:val="30"/>
          <w:szCs w:val="30"/>
          <w:highlight w:val="none"/>
        </w:rPr>
      </w:pPr>
      <w:bookmarkStart w:id="36" w:name="_Toc29569"/>
      <w:r>
        <w:rPr>
          <w:rFonts w:hint="eastAsia" w:ascii="楷体_GB2312" w:hAnsi="楷体_GB2312" w:eastAsia="楷体_GB2312" w:cs="楷体_GB2312"/>
          <w:bCs/>
          <w:color w:val="auto"/>
          <w:kern w:val="0"/>
          <w:sz w:val="30"/>
          <w:szCs w:val="30"/>
          <w:highlight w:val="none"/>
        </w:rPr>
        <w:t>2.3 应急机构通讯录</w:t>
      </w:r>
      <w:bookmarkEnd w:id="36"/>
    </w:p>
    <w:p w14:paraId="406219B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为保证本单位应急管理通讯及专家能够及时联系，由应急管理办公室负责每月核实一次，确保通讯录电话能准确联系（见附件5：附表8</w:t>
      </w:r>
      <w:r>
        <w:rPr>
          <w:color w:val="auto"/>
          <w:kern w:val="0"/>
          <w:sz w:val="28"/>
          <w:szCs w:val="28"/>
          <w:highlight w:val="none"/>
        </w:rPr>
        <w:t>~</w:t>
      </w:r>
      <w:r>
        <w:rPr>
          <w:rFonts w:hint="eastAsia" w:ascii="仿宋_GB2312" w:hAnsi="仿宋_GB2312" w:eastAsia="仿宋_GB2312" w:cs="仿宋_GB2312"/>
          <w:color w:val="auto"/>
          <w:kern w:val="0"/>
          <w:sz w:val="28"/>
          <w:szCs w:val="28"/>
          <w:highlight w:val="none"/>
        </w:rPr>
        <w:t>附表1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w:t>
      </w:r>
    </w:p>
    <w:bookmarkEnd w:id="4"/>
    <w:bookmarkEnd w:id="5"/>
    <w:bookmarkEnd w:id="6"/>
    <w:bookmarkEnd w:id="7"/>
    <w:bookmarkEnd w:id="8"/>
    <w:bookmarkEnd w:id="29"/>
    <w:bookmarkEnd w:id="30"/>
    <w:p w14:paraId="10C685A2">
      <w:pPr>
        <w:spacing w:line="520" w:lineRule="exact"/>
        <w:ind w:firstLine="600" w:firstLineChars="200"/>
        <w:jc w:val="left"/>
        <w:outlineLvl w:val="0"/>
        <w:rPr>
          <w:rFonts w:ascii="黑体" w:hAnsi="黑体" w:eastAsia="黑体" w:cs="黑体"/>
          <w:bCs/>
          <w:color w:val="auto"/>
          <w:kern w:val="0"/>
          <w:sz w:val="30"/>
          <w:szCs w:val="30"/>
          <w:highlight w:val="none"/>
        </w:rPr>
      </w:pPr>
      <w:bookmarkStart w:id="37" w:name="_Toc30243"/>
      <w:bookmarkStart w:id="38" w:name="_Toc13620"/>
      <w:bookmarkStart w:id="39" w:name="_Toc8634"/>
      <w:bookmarkStart w:id="40" w:name="_Toc7538"/>
      <w:bookmarkStart w:id="41" w:name="_Toc19268"/>
      <w:bookmarkStart w:id="42" w:name="_Toc26490"/>
      <w:bookmarkStart w:id="43" w:name="_Toc24563"/>
      <w:bookmarkStart w:id="44" w:name="_Toc31066"/>
      <w:bookmarkStart w:id="45" w:name="_Toc25164"/>
      <w:bookmarkStart w:id="46" w:name="_Toc29097"/>
      <w:r>
        <w:rPr>
          <w:rFonts w:hint="eastAsia" w:ascii="黑体" w:hAnsi="黑体" w:eastAsia="黑体" w:cs="黑体"/>
          <w:bCs/>
          <w:color w:val="auto"/>
          <w:kern w:val="0"/>
          <w:sz w:val="30"/>
          <w:szCs w:val="30"/>
          <w:highlight w:val="none"/>
        </w:rPr>
        <w:t>3 应急响应</w:t>
      </w:r>
      <w:bookmarkEnd w:id="37"/>
      <w:bookmarkEnd w:id="38"/>
      <w:bookmarkEnd w:id="39"/>
      <w:bookmarkEnd w:id="40"/>
      <w:bookmarkEnd w:id="41"/>
      <w:bookmarkEnd w:id="42"/>
      <w:bookmarkEnd w:id="43"/>
      <w:bookmarkEnd w:id="44"/>
      <w:bookmarkEnd w:id="45"/>
      <w:bookmarkEnd w:id="46"/>
    </w:p>
    <w:p w14:paraId="20B8467F">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47" w:name="_Toc24457"/>
      <w:bookmarkStart w:id="48" w:name="_Toc26709"/>
      <w:bookmarkStart w:id="49" w:name="_Toc23577"/>
      <w:bookmarkStart w:id="50" w:name="_Toc22884"/>
      <w:bookmarkStart w:id="51" w:name="_Toc30115"/>
      <w:bookmarkStart w:id="52" w:name="_Toc31378"/>
      <w:bookmarkStart w:id="53" w:name="_Toc27859"/>
      <w:r>
        <w:rPr>
          <w:rFonts w:hint="eastAsia" w:ascii="楷体_GB2312" w:hAnsi="楷体_GB2312" w:eastAsia="楷体_GB2312" w:cs="楷体_GB2312"/>
          <w:bCs/>
          <w:color w:val="auto"/>
          <w:sz w:val="30"/>
          <w:szCs w:val="30"/>
          <w:highlight w:val="none"/>
        </w:rPr>
        <w:t>3.1 信息报告</w:t>
      </w:r>
      <w:bookmarkEnd w:id="47"/>
      <w:bookmarkEnd w:id="48"/>
      <w:bookmarkEnd w:id="49"/>
      <w:bookmarkEnd w:id="50"/>
      <w:bookmarkEnd w:id="51"/>
      <w:bookmarkEnd w:id="52"/>
      <w:bookmarkEnd w:id="53"/>
    </w:p>
    <w:p w14:paraId="060C429E">
      <w:pPr>
        <w:spacing w:line="520" w:lineRule="exact"/>
        <w:ind w:firstLine="602" w:firstLineChars="200"/>
        <w:outlineLvl w:val="3"/>
        <w:rPr>
          <w:rFonts w:ascii="仿宋_GB2312" w:hAnsi="仿宋_GB2312" w:eastAsia="仿宋_GB2312" w:cs="仿宋_GB2312"/>
          <w:b/>
          <w:bCs/>
          <w:color w:val="auto"/>
          <w:sz w:val="30"/>
          <w:szCs w:val="30"/>
          <w:highlight w:val="none"/>
        </w:rPr>
      </w:pPr>
      <w:bookmarkStart w:id="54" w:name="_Toc31112"/>
      <w:bookmarkStart w:id="55" w:name="_Toc28653"/>
      <w:bookmarkStart w:id="56" w:name="_Toc21931"/>
      <w:bookmarkStart w:id="57" w:name="_Toc79501338"/>
      <w:r>
        <w:rPr>
          <w:rFonts w:hint="eastAsia" w:ascii="仿宋_GB2312" w:hAnsi="仿宋_GB2312" w:eastAsia="仿宋_GB2312" w:cs="仿宋_GB2312"/>
          <w:b/>
          <w:bCs/>
          <w:color w:val="auto"/>
          <w:sz w:val="30"/>
          <w:szCs w:val="30"/>
          <w:highlight w:val="none"/>
        </w:rPr>
        <w:t>3.1.1 信息</w:t>
      </w:r>
      <w:bookmarkEnd w:id="54"/>
      <w:r>
        <w:rPr>
          <w:rFonts w:hint="eastAsia" w:ascii="仿宋_GB2312" w:hAnsi="仿宋_GB2312" w:eastAsia="仿宋_GB2312" w:cs="仿宋_GB2312"/>
          <w:b/>
          <w:bCs/>
          <w:color w:val="auto"/>
          <w:sz w:val="30"/>
          <w:szCs w:val="30"/>
          <w:highlight w:val="none"/>
        </w:rPr>
        <w:t>接报</w:t>
      </w:r>
      <w:bookmarkEnd w:id="55"/>
      <w:bookmarkEnd w:id="56"/>
      <w:bookmarkEnd w:id="57"/>
    </w:p>
    <w:p w14:paraId="43154647">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3.1.1.1 应急值守</w:t>
      </w:r>
    </w:p>
    <w:p w14:paraId="44B4F3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调度室实行24小时值班制度，调度室值班调度员通过24小时值班调度电话接收事故信息，负责接收、通报、上报事故信息。</w:t>
      </w:r>
    </w:p>
    <w:p w14:paraId="789657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应急值守电话：99</w:t>
      </w:r>
      <w:r>
        <w:rPr>
          <w:rFonts w:hint="eastAsia" w:ascii="仿宋_GB2312" w:hAnsi="仿宋_GB2312" w:eastAsia="仿宋_GB2312" w:cs="仿宋_GB2312"/>
          <w:color w:val="auto"/>
          <w:kern w:val="0"/>
          <w:sz w:val="28"/>
          <w:szCs w:val="28"/>
          <w:highlight w:val="none"/>
          <w:lang w:val="en-US" w:eastAsia="zh-CN"/>
        </w:rPr>
        <w:t>9351</w:t>
      </w:r>
      <w:r>
        <w:rPr>
          <w:rFonts w:hint="eastAsia" w:ascii="仿宋_GB2312" w:hAnsi="仿宋_GB2312" w:eastAsia="仿宋_GB2312" w:cs="仿宋_GB2312"/>
          <w:color w:val="auto"/>
          <w:kern w:val="0"/>
          <w:sz w:val="28"/>
          <w:szCs w:val="28"/>
          <w:highlight w:val="none"/>
        </w:rPr>
        <w:t>（0477-786</w:t>
      </w:r>
      <w:r>
        <w:rPr>
          <w:rFonts w:hint="eastAsia" w:ascii="仿宋_GB2312" w:hAnsi="仿宋_GB2312" w:eastAsia="仿宋_GB2312" w:cs="仿宋_GB2312"/>
          <w:color w:val="auto"/>
          <w:kern w:val="0"/>
          <w:sz w:val="28"/>
          <w:szCs w:val="28"/>
          <w:highlight w:val="none"/>
          <w:lang w:val="en-US" w:eastAsia="zh-CN"/>
        </w:rPr>
        <w:t>9351</w:t>
      </w:r>
      <w:r>
        <w:rPr>
          <w:rFonts w:hint="eastAsia" w:ascii="仿宋_GB2312" w:hAnsi="仿宋_GB2312" w:eastAsia="仿宋_GB2312" w:cs="仿宋_GB2312"/>
          <w:color w:val="auto"/>
          <w:kern w:val="0"/>
          <w:sz w:val="28"/>
          <w:szCs w:val="28"/>
          <w:highlight w:val="none"/>
        </w:rPr>
        <w:t>）、99</w:t>
      </w:r>
      <w:r>
        <w:rPr>
          <w:rFonts w:hint="eastAsia" w:ascii="仿宋_GB2312" w:hAnsi="仿宋_GB2312" w:eastAsia="仿宋_GB2312" w:cs="仿宋_GB2312"/>
          <w:color w:val="auto"/>
          <w:kern w:val="0"/>
          <w:sz w:val="28"/>
          <w:szCs w:val="28"/>
          <w:highlight w:val="none"/>
          <w:lang w:val="en-US" w:eastAsia="zh-CN"/>
        </w:rPr>
        <w:t>9251</w:t>
      </w:r>
      <w:r>
        <w:rPr>
          <w:rFonts w:hint="eastAsia" w:ascii="仿宋_GB2312" w:hAnsi="仿宋_GB2312" w:eastAsia="仿宋_GB2312" w:cs="仿宋_GB2312"/>
          <w:color w:val="auto"/>
          <w:kern w:val="0"/>
          <w:sz w:val="28"/>
          <w:szCs w:val="28"/>
          <w:highlight w:val="none"/>
        </w:rPr>
        <w:t>（0477-786</w:t>
      </w:r>
      <w:r>
        <w:rPr>
          <w:rFonts w:hint="eastAsia" w:ascii="仿宋_GB2312" w:hAnsi="仿宋_GB2312" w:eastAsia="仿宋_GB2312" w:cs="仿宋_GB2312"/>
          <w:color w:val="auto"/>
          <w:kern w:val="0"/>
          <w:sz w:val="28"/>
          <w:szCs w:val="28"/>
          <w:highlight w:val="none"/>
          <w:lang w:val="en-US" w:eastAsia="zh-CN"/>
        </w:rPr>
        <w:t>9251</w:t>
      </w:r>
      <w:r>
        <w:rPr>
          <w:rFonts w:hint="eastAsia" w:ascii="仿宋_GB2312" w:hAnsi="仿宋_GB2312" w:eastAsia="仿宋_GB2312" w:cs="仿宋_GB2312"/>
          <w:color w:val="auto"/>
          <w:kern w:val="0"/>
          <w:sz w:val="28"/>
          <w:szCs w:val="28"/>
          <w:highlight w:val="none"/>
        </w:rPr>
        <w:t>）</w:t>
      </w:r>
    </w:p>
    <w:p w14:paraId="15EBDD7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邮箱：ccykdds@163.com</w:t>
      </w:r>
    </w:p>
    <w:p w14:paraId="1A268D63">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3.1.1.2 事故信息接收</w:t>
      </w:r>
    </w:p>
    <w:p w14:paraId="31EA8BA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（1）调度室值班调度员通过工业视频、安全监测监控、人员位置监控、水文观测、降雨量观测、冲击地压等系统获取事故信息。</w:t>
      </w:r>
    </w:p>
    <w:p w14:paraId="52E558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（2）调度室值班调度员通过语音广播、手机、调度通讯等设备获取事故信息或有关灾害事故预警信息。</w:t>
      </w:r>
    </w:p>
    <w:p w14:paraId="152D0552">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3.1.1.3 内部通报</w:t>
      </w:r>
    </w:p>
    <w:p w14:paraId="080E30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任何单位和个人发现生产安全事故后，在确保自身安全的前提下向调度室报告后，调度室值班调度员应及时了解事故概况并记录，使用调度通讯电话（或应急管理平台）分别汇报调度室主任、值班领导、带班领导。根据不同事故类型，分别汇报分管副总师、分管副总经理、安全总监、总工程师、总经理，同时通知安全监察部、分管专业部门和相关部门的负责人。</w:t>
      </w:r>
      <w:r>
        <w:rPr>
          <w:rFonts w:hint="eastAsia" w:ascii="仿宋_GB2312" w:hAnsi="仿宋_GB2312" w:eastAsia="仿宋_GB2312" w:cs="仿宋_GB2312"/>
          <w:color w:val="auto"/>
          <w:kern w:val="0"/>
          <w:sz w:val="28"/>
          <w:szCs w:val="28"/>
          <w:highlight w:val="none"/>
          <w:lang w:val="en-US" w:eastAsia="zh-CN"/>
        </w:rPr>
        <w:t>紧急情况</w:t>
      </w:r>
      <w:r>
        <w:rPr>
          <w:rFonts w:hint="eastAsia" w:ascii="仿宋_GB2312" w:hAnsi="仿宋_GB2312" w:eastAsia="仿宋_GB2312" w:cs="仿宋_GB2312"/>
          <w:color w:val="auto"/>
          <w:kern w:val="0"/>
          <w:sz w:val="28"/>
          <w:szCs w:val="28"/>
          <w:highlight w:val="none"/>
        </w:rPr>
        <w:t>直接汇报总经理。</w:t>
      </w:r>
    </w:p>
    <w:p w14:paraId="34EBA5C3">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3.1.1.4 信息上报</w:t>
      </w:r>
    </w:p>
    <w:p w14:paraId="2F4E86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总指挥是生产安全事故信息报告的第一责任人，对信息报送工作全面负责。事故报告应当及时、准确、完整，任何单位和个人对事故不得迟报、漏报、谎报或者瞒报。</w:t>
      </w:r>
    </w:p>
    <w:p w14:paraId="6FA3D1F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3.1.1.4.1 企业内部上报程序</w:t>
      </w:r>
    </w:p>
    <w:p w14:paraId="467350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（1）发生一般生产安全事故，接到事故信息报告后，总指挥（授权人）必须在事故发生后20分钟内向新矿内蒙古能源、新矿集团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电话报告初步情况，30分钟内书面报告基本情况。</w:t>
      </w:r>
    </w:p>
    <w:p w14:paraId="464C4A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（2）发生较大及以上事故（含较大涉险事故），总指挥（</w:t>
      </w:r>
      <w:r>
        <w:rPr>
          <w:rFonts w:hint="eastAsia" w:ascii="仿宋_GB2312" w:hAnsi="仿宋_GB2312" w:eastAsia="仿宋_GB2312" w:cs="仿宋_GB2312"/>
          <w:color w:val="auto"/>
          <w:kern w:val="0"/>
          <w:sz w:val="28"/>
          <w:szCs w:val="28"/>
          <w:highlight w:val="none"/>
          <w:lang w:val="en-US" w:eastAsia="zh-CN"/>
        </w:rPr>
        <w:t>或被授权</w:t>
      </w:r>
      <w:r>
        <w:rPr>
          <w:rFonts w:hint="eastAsia" w:ascii="仿宋_GB2312" w:hAnsi="仿宋_GB2312" w:eastAsia="仿宋_GB2312" w:cs="仿宋_GB2312"/>
          <w:color w:val="auto"/>
          <w:kern w:val="0"/>
          <w:sz w:val="28"/>
          <w:szCs w:val="28"/>
          <w:highlight w:val="none"/>
        </w:rPr>
        <w:t>人）必须立即向新矿内蒙古能源公司、新矿集团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报告，同时向</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能源集团总调度室汇报，30分钟内书面报告基本情况。</w:t>
      </w:r>
    </w:p>
    <w:p w14:paraId="1400E7B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事故信息上报先期可用电话口头初报，后期通过传真、邮箱等方式书面汇报，事故信息报送以书面报告为主。对现场情况复杂、难以掌握全部情况的，可以先报事件、再核实情况，不能因核实情况而延误上报时间（生产安全事故快报单及续报单见附件6：附表14、</w:t>
      </w:r>
      <w:r>
        <w:rPr>
          <w:rFonts w:hint="eastAsia" w:ascii="仿宋_GB2312" w:hAnsi="仿宋_GB2312" w:eastAsia="仿宋_GB2312" w:cs="仿宋_GB2312"/>
          <w:color w:val="auto"/>
          <w:kern w:val="0"/>
          <w:sz w:val="28"/>
          <w:szCs w:val="28"/>
          <w:highlight w:val="none"/>
          <w:lang w:val="en-US" w:eastAsia="zh-CN"/>
        </w:rPr>
        <w:t>20</w:t>
      </w:r>
      <w:r>
        <w:rPr>
          <w:rFonts w:hint="eastAsia" w:ascii="仿宋_GB2312" w:hAnsi="仿宋_GB2312" w:eastAsia="仿宋_GB2312" w:cs="仿宋_GB2312"/>
          <w:color w:val="auto"/>
          <w:kern w:val="0"/>
          <w:sz w:val="28"/>
          <w:szCs w:val="28"/>
          <w:highlight w:val="none"/>
        </w:rPr>
        <w:t>）。</w:t>
      </w:r>
    </w:p>
    <w:p w14:paraId="70012E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事故信息电话报告内容：</w:t>
      </w:r>
    </w:p>
    <w:p w14:paraId="31B31F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fldChar w:fldCharType="begin"/>
      </w:r>
      <w:r>
        <w:rPr>
          <w:rFonts w:hint="eastAsia" w:ascii="仿宋_GB2312" w:hAnsi="仿宋_GB2312" w:eastAsia="仿宋_GB2312" w:cs="仿宋_GB2312"/>
          <w:color w:val="auto"/>
          <w:kern w:val="0"/>
          <w:sz w:val="28"/>
          <w:szCs w:val="28"/>
          <w:highlight w:val="none"/>
        </w:rPr>
        <w:instrText xml:space="preserve"> = 1 \* GB3 </w:instrText>
      </w:r>
      <w:r>
        <w:rPr>
          <w:rFonts w:hint="eastAsia" w:ascii="仿宋_GB2312" w:hAnsi="仿宋_GB2312" w:eastAsia="仿宋_GB2312" w:cs="仿宋_GB2312"/>
          <w:color w:val="auto"/>
          <w:kern w:val="0"/>
          <w:sz w:val="28"/>
          <w:szCs w:val="28"/>
          <w:highlight w:val="none"/>
        </w:rPr>
        <w:fldChar w:fldCharType="separate"/>
      </w:r>
      <w:r>
        <w:rPr>
          <w:rFonts w:hint="eastAsia" w:ascii="仿宋_GB2312" w:hAnsi="仿宋_GB2312" w:eastAsia="仿宋_GB2312" w:cs="仿宋_GB2312"/>
          <w:color w:val="auto"/>
          <w:kern w:val="0"/>
          <w:sz w:val="28"/>
          <w:szCs w:val="28"/>
          <w:highlight w:val="none"/>
        </w:rPr>
        <w:t>①</w:t>
      </w:r>
      <w:r>
        <w:rPr>
          <w:rFonts w:hint="eastAsia" w:ascii="仿宋_GB2312" w:hAnsi="仿宋_GB2312" w:eastAsia="仿宋_GB2312" w:cs="仿宋_GB2312"/>
          <w:color w:val="auto"/>
          <w:kern w:val="0"/>
          <w:sz w:val="28"/>
          <w:szCs w:val="28"/>
          <w:highlight w:val="none"/>
        </w:rPr>
        <w:fldChar w:fldCharType="end"/>
      </w:r>
      <w:r>
        <w:rPr>
          <w:rFonts w:hint="eastAsia" w:ascii="仿宋_GB2312" w:hAnsi="仿宋_GB2312" w:eastAsia="仿宋_GB2312" w:cs="仿宋_GB2312"/>
          <w:color w:val="auto"/>
          <w:kern w:val="0"/>
          <w:sz w:val="28"/>
          <w:szCs w:val="28"/>
          <w:highlight w:val="none"/>
        </w:rPr>
        <w:t>事故发生单位的名称、地址；</w:t>
      </w:r>
    </w:p>
    <w:p w14:paraId="54689E2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fldChar w:fldCharType="begin"/>
      </w:r>
      <w:r>
        <w:rPr>
          <w:rFonts w:hint="eastAsia" w:ascii="仿宋_GB2312" w:hAnsi="仿宋_GB2312" w:eastAsia="仿宋_GB2312" w:cs="仿宋_GB2312"/>
          <w:color w:val="auto"/>
          <w:kern w:val="0"/>
          <w:sz w:val="28"/>
          <w:szCs w:val="28"/>
          <w:highlight w:val="none"/>
        </w:rPr>
        <w:instrText xml:space="preserve"> = 2 \* GB3 </w:instrText>
      </w:r>
      <w:r>
        <w:rPr>
          <w:rFonts w:hint="eastAsia" w:ascii="仿宋_GB2312" w:hAnsi="仿宋_GB2312" w:eastAsia="仿宋_GB2312" w:cs="仿宋_GB2312"/>
          <w:color w:val="auto"/>
          <w:kern w:val="0"/>
          <w:sz w:val="28"/>
          <w:szCs w:val="28"/>
          <w:highlight w:val="none"/>
        </w:rPr>
        <w:fldChar w:fldCharType="separate"/>
      </w:r>
      <w:r>
        <w:rPr>
          <w:rFonts w:hint="eastAsia" w:ascii="仿宋_GB2312" w:hAnsi="仿宋_GB2312" w:eastAsia="仿宋_GB2312" w:cs="仿宋_GB2312"/>
          <w:color w:val="auto"/>
          <w:kern w:val="0"/>
          <w:sz w:val="28"/>
          <w:szCs w:val="28"/>
          <w:highlight w:val="none"/>
        </w:rPr>
        <w:t>②</w:t>
      </w:r>
      <w:r>
        <w:rPr>
          <w:rFonts w:hint="eastAsia" w:ascii="仿宋_GB2312" w:hAnsi="仿宋_GB2312" w:eastAsia="仿宋_GB2312" w:cs="仿宋_GB2312"/>
          <w:color w:val="auto"/>
          <w:kern w:val="0"/>
          <w:sz w:val="28"/>
          <w:szCs w:val="28"/>
          <w:highlight w:val="none"/>
        </w:rPr>
        <w:fldChar w:fldCharType="end"/>
      </w:r>
      <w:r>
        <w:rPr>
          <w:rFonts w:hint="eastAsia" w:ascii="仿宋_GB2312" w:hAnsi="仿宋_GB2312" w:eastAsia="仿宋_GB2312" w:cs="仿宋_GB2312"/>
          <w:color w:val="auto"/>
          <w:kern w:val="0"/>
          <w:sz w:val="28"/>
          <w:szCs w:val="28"/>
          <w:highlight w:val="none"/>
        </w:rPr>
        <w:t>事故发生的时间、地点；</w:t>
      </w:r>
    </w:p>
    <w:p w14:paraId="3EEB1C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fldChar w:fldCharType="begin"/>
      </w:r>
      <w:r>
        <w:rPr>
          <w:rFonts w:hint="eastAsia" w:ascii="仿宋_GB2312" w:hAnsi="仿宋_GB2312" w:eastAsia="仿宋_GB2312" w:cs="仿宋_GB2312"/>
          <w:color w:val="auto"/>
          <w:kern w:val="0"/>
          <w:sz w:val="28"/>
          <w:szCs w:val="28"/>
          <w:highlight w:val="none"/>
        </w:rPr>
        <w:instrText xml:space="preserve"> = 3 \* GB3 </w:instrText>
      </w:r>
      <w:r>
        <w:rPr>
          <w:rFonts w:hint="eastAsia" w:ascii="仿宋_GB2312" w:hAnsi="仿宋_GB2312" w:eastAsia="仿宋_GB2312" w:cs="仿宋_GB2312"/>
          <w:color w:val="auto"/>
          <w:kern w:val="0"/>
          <w:sz w:val="28"/>
          <w:szCs w:val="28"/>
          <w:highlight w:val="none"/>
        </w:rPr>
        <w:fldChar w:fldCharType="separate"/>
      </w:r>
      <w:r>
        <w:rPr>
          <w:rFonts w:hint="eastAsia" w:ascii="仿宋_GB2312" w:hAnsi="仿宋_GB2312" w:eastAsia="仿宋_GB2312" w:cs="仿宋_GB2312"/>
          <w:color w:val="auto"/>
          <w:kern w:val="0"/>
          <w:sz w:val="28"/>
          <w:szCs w:val="28"/>
          <w:highlight w:val="none"/>
        </w:rPr>
        <w:t>③</w:t>
      </w:r>
      <w:r>
        <w:rPr>
          <w:rFonts w:hint="eastAsia" w:ascii="仿宋_GB2312" w:hAnsi="仿宋_GB2312" w:eastAsia="仿宋_GB2312" w:cs="仿宋_GB2312"/>
          <w:color w:val="auto"/>
          <w:kern w:val="0"/>
          <w:sz w:val="28"/>
          <w:szCs w:val="28"/>
          <w:highlight w:val="none"/>
        </w:rPr>
        <w:fldChar w:fldCharType="end"/>
      </w:r>
      <w:r>
        <w:rPr>
          <w:rFonts w:hint="eastAsia" w:ascii="仿宋_GB2312" w:hAnsi="仿宋_GB2312" w:eastAsia="仿宋_GB2312" w:cs="仿宋_GB2312"/>
          <w:color w:val="auto"/>
          <w:kern w:val="0"/>
          <w:sz w:val="28"/>
          <w:szCs w:val="28"/>
          <w:highlight w:val="none"/>
        </w:rPr>
        <w:t>事故类别；</w:t>
      </w:r>
    </w:p>
    <w:p w14:paraId="44FDB1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fldChar w:fldCharType="begin"/>
      </w:r>
      <w:r>
        <w:rPr>
          <w:rFonts w:hint="eastAsia" w:ascii="仿宋_GB2312" w:hAnsi="仿宋_GB2312" w:eastAsia="仿宋_GB2312" w:cs="仿宋_GB2312"/>
          <w:color w:val="auto"/>
          <w:kern w:val="0"/>
          <w:sz w:val="28"/>
          <w:szCs w:val="28"/>
          <w:highlight w:val="none"/>
        </w:rPr>
        <w:instrText xml:space="preserve"> = 4 \* GB3 </w:instrText>
      </w:r>
      <w:r>
        <w:rPr>
          <w:rFonts w:hint="eastAsia" w:ascii="仿宋_GB2312" w:hAnsi="仿宋_GB2312" w:eastAsia="仿宋_GB2312" w:cs="仿宋_GB2312"/>
          <w:color w:val="auto"/>
          <w:kern w:val="0"/>
          <w:sz w:val="28"/>
          <w:szCs w:val="28"/>
          <w:highlight w:val="none"/>
        </w:rPr>
        <w:fldChar w:fldCharType="separate"/>
      </w:r>
      <w:r>
        <w:rPr>
          <w:rFonts w:hint="eastAsia" w:ascii="仿宋_GB2312" w:hAnsi="仿宋_GB2312" w:eastAsia="仿宋_GB2312" w:cs="仿宋_GB2312"/>
          <w:color w:val="auto"/>
          <w:kern w:val="0"/>
          <w:sz w:val="28"/>
          <w:szCs w:val="28"/>
          <w:highlight w:val="none"/>
        </w:rPr>
        <w:t>④</w:t>
      </w:r>
      <w:r>
        <w:rPr>
          <w:rFonts w:hint="eastAsia" w:ascii="仿宋_GB2312" w:hAnsi="仿宋_GB2312" w:eastAsia="仿宋_GB2312" w:cs="仿宋_GB2312"/>
          <w:color w:val="auto"/>
          <w:kern w:val="0"/>
          <w:sz w:val="28"/>
          <w:szCs w:val="28"/>
          <w:highlight w:val="none"/>
        </w:rPr>
        <w:fldChar w:fldCharType="end"/>
      </w:r>
      <w:r>
        <w:rPr>
          <w:rFonts w:hint="eastAsia" w:ascii="仿宋_GB2312" w:hAnsi="仿宋_GB2312" w:eastAsia="仿宋_GB2312" w:cs="仿宋_GB2312"/>
          <w:color w:val="auto"/>
          <w:kern w:val="0"/>
          <w:sz w:val="28"/>
          <w:szCs w:val="28"/>
          <w:highlight w:val="none"/>
        </w:rPr>
        <w:t xml:space="preserve">事故已经造成或者可能造成的伤亡人数(包括下落不明、涉险的人数)。 </w:t>
      </w:r>
    </w:p>
    <w:p w14:paraId="095452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事故信息书面报告内容：</w:t>
      </w:r>
    </w:p>
    <w:p w14:paraId="6C2C17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①事故发生单位的名称、地址、行业、产能等基本情况；</w:t>
      </w:r>
    </w:p>
    <w:p w14:paraId="638CB7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②事故发生时间、地点及事故现场情况；</w:t>
      </w:r>
    </w:p>
    <w:p w14:paraId="3570BAF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③事故类型及简要经过（包括抢险救灾进展情况）；</w:t>
      </w:r>
    </w:p>
    <w:p w14:paraId="23ECA1C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④事故已经造成或者可能造成的伤亡人数（包括下落不明、被困或涉险的人数）和初步估计的直接经济损失；</w:t>
      </w:r>
    </w:p>
    <w:p w14:paraId="123AE93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⑤已经采取的措施；</w:t>
      </w:r>
    </w:p>
    <w:p w14:paraId="2EEEDD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⑥向政府相关部门报告情况；</w:t>
      </w:r>
    </w:p>
    <w:p w14:paraId="205B8B6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⑦其他应当报告的情况；</w:t>
      </w:r>
    </w:p>
    <w:p w14:paraId="3723653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（4）事故发生后，应急响应结束前，每天上午、下午向新矿内蒙古能源、新矿集团、能源集团总调度室汇报。在事故现场发生重大变化，或事故救援方案发生重大变更，或应急救援发生重大变化时，随时汇报。</w:t>
      </w:r>
    </w:p>
    <w:p w14:paraId="4ED32AF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3.1.1.4.2 政府部门上报程序</w:t>
      </w:r>
    </w:p>
    <w:p w14:paraId="51D2076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（1）发生一般事故的，总指挥（</w:t>
      </w:r>
      <w:r>
        <w:rPr>
          <w:rFonts w:hint="eastAsia" w:ascii="仿宋_GB2312" w:hAnsi="仿宋_GB2312" w:eastAsia="仿宋_GB2312" w:cs="仿宋_GB2312"/>
          <w:color w:val="auto"/>
          <w:kern w:val="0"/>
          <w:sz w:val="28"/>
          <w:szCs w:val="28"/>
          <w:highlight w:val="none"/>
          <w:lang w:val="en-US" w:eastAsia="zh-CN"/>
        </w:rPr>
        <w:t>或被授权</w:t>
      </w:r>
      <w:r>
        <w:rPr>
          <w:rFonts w:hint="eastAsia" w:ascii="仿宋_GB2312" w:hAnsi="仿宋_GB2312" w:eastAsia="仿宋_GB2312" w:cs="仿宋_GB2312"/>
          <w:color w:val="auto"/>
          <w:kern w:val="0"/>
          <w:sz w:val="28"/>
          <w:szCs w:val="28"/>
          <w:highlight w:val="none"/>
        </w:rPr>
        <w:t>人）必须在事故发生后</w:t>
      </w:r>
      <w:r>
        <w:rPr>
          <w:rFonts w:hint="eastAsia" w:ascii="仿宋_GB2312" w:hAnsi="仿宋_GB2312" w:eastAsia="仿宋_GB2312" w:cs="仿宋_GB2312"/>
          <w:color w:val="auto"/>
          <w:kern w:val="0"/>
          <w:sz w:val="28"/>
          <w:szCs w:val="28"/>
          <w:highlight w:val="none"/>
          <w:lang w:val="en-US" w:eastAsia="zh-CN"/>
        </w:rPr>
        <w:t>15</w:t>
      </w:r>
      <w:r>
        <w:rPr>
          <w:rFonts w:hint="eastAsia" w:ascii="仿宋_GB2312" w:hAnsi="仿宋_GB2312" w:eastAsia="仿宋_GB2312" w:cs="仿宋_GB2312"/>
          <w:color w:val="auto"/>
          <w:kern w:val="0"/>
          <w:sz w:val="28"/>
          <w:szCs w:val="28"/>
          <w:highlight w:val="none"/>
        </w:rPr>
        <w:t>分钟内向鄂托克前旗应急管理局，鄂尔多斯市应急管理局、国家矿山安全监察局内蒙古局监察执法一处</w:t>
      </w:r>
      <w:r>
        <w:rPr>
          <w:rFonts w:hint="eastAsia" w:ascii="仿宋_GB2312" w:hAnsi="仿宋_GB2312" w:eastAsia="仿宋_GB2312" w:cs="仿宋_GB2312"/>
          <w:color w:val="auto"/>
          <w:kern w:val="0"/>
          <w:sz w:val="28"/>
          <w:szCs w:val="28"/>
          <w:highlight w:val="none"/>
          <w:lang w:val="en-US" w:eastAsia="zh-CN"/>
        </w:rPr>
        <w:t>电话初步</w:t>
      </w:r>
      <w:r>
        <w:rPr>
          <w:rFonts w:hint="eastAsia" w:ascii="仿宋_GB2312" w:hAnsi="仿宋_GB2312" w:eastAsia="仿宋_GB2312" w:cs="仿宋_GB2312"/>
          <w:color w:val="auto"/>
          <w:kern w:val="0"/>
          <w:sz w:val="28"/>
          <w:szCs w:val="28"/>
          <w:highlight w:val="none"/>
        </w:rPr>
        <w:t>报告基本情况。事故现场有关人员可以直接向鄂托克前旗应急管理局，鄂尔多斯市应急管理局、国家矿山安全监察局内蒙古局监察执法一处报告，</w:t>
      </w:r>
      <w:r>
        <w:rPr>
          <w:rFonts w:hint="eastAsia" w:ascii="仿宋_GB2312" w:hAnsi="仿宋_GB2312" w:eastAsia="仿宋_GB2312" w:cs="仿宋_GB2312"/>
          <w:color w:val="auto"/>
          <w:kern w:val="0"/>
          <w:sz w:val="28"/>
          <w:szCs w:val="28"/>
          <w:highlight w:val="none"/>
          <w:lang w:eastAsia="zh-CN"/>
        </w:rPr>
        <w:t>30分钟</w:t>
      </w:r>
      <w:r>
        <w:rPr>
          <w:rFonts w:hint="eastAsia" w:ascii="仿宋_GB2312" w:hAnsi="仿宋_GB2312" w:eastAsia="仿宋_GB2312" w:cs="仿宋_GB2312"/>
          <w:color w:val="auto"/>
          <w:kern w:val="0"/>
          <w:sz w:val="28"/>
          <w:szCs w:val="28"/>
          <w:highlight w:val="none"/>
        </w:rPr>
        <w:t>内书面报告基本情况。</w:t>
      </w:r>
    </w:p>
    <w:p w14:paraId="3CA8E1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（2）发生较大及以上事故（含较大涉险事故）的，立即向第一款规定的政府有关机构报告的同时，应当在</w:t>
      </w:r>
      <w:r>
        <w:rPr>
          <w:rFonts w:hint="eastAsia" w:ascii="仿宋_GB2312" w:hAnsi="仿宋_GB2312" w:eastAsia="仿宋_GB2312" w:cs="仿宋_GB2312"/>
          <w:color w:val="auto"/>
          <w:kern w:val="0"/>
          <w:sz w:val="28"/>
          <w:szCs w:val="28"/>
          <w:highlight w:val="none"/>
          <w:lang w:eastAsia="zh-CN"/>
        </w:rPr>
        <w:t>30分钟</w:t>
      </w:r>
      <w:r>
        <w:rPr>
          <w:rFonts w:hint="eastAsia" w:ascii="仿宋_GB2312" w:hAnsi="仿宋_GB2312" w:eastAsia="仿宋_GB2312" w:cs="仿宋_GB2312"/>
          <w:color w:val="auto"/>
          <w:kern w:val="0"/>
          <w:sz w:val="28"/>
          <w:szCs w:val="28"/>
          <w:highlight w:val="none"/>
        </w:rPr>
        <w:t>内报告内蒙古自治区应急管理厅、国家矿山安全监察局内蒙古局，</w:t>
      </w:r>
      <w:r>
        <w:rPr>
          <w:rFonts w:hint="eastAsia" w:ascii="仿宋_GB2312" w:hAnsi="仿宋_GB2312" w:eastAsia="仿宋_GB2312" w:cs="仿宋_GB2312"/>
          <w:color w:val="auto"/>
          <w:kern w:val="0"/>
          <w:sz w:val="28"/>
          <w:szCs w:val="28"/>
          <w:highlight w:val="none"/>
          <w:lang w:eastAsia="zh-CN"/>
        </w:rPr>
        <w:t>30分钟</w:t>
      </w:r>
      <w:r>
        <w:rPr>
          <w:rFonts w:hint="eastAsia" w:ascii="仿宋_GB2312" w:hAnsi="仿宋_GB2312" w:eastAsia="仿宋_GB2312" w:cs="仿宋_GB2312"/>
          <w:color w:val="auto"/>
          <w:kern w:val="0"/>
          <w:sz w:val="28"/>
          <w:szCs w:val="28"/>
          <w:highlight w:val="none"/>
        </w:rPr>
        <w:t>内书面报告基本情况。</w:t>
      </w:r>
    </w:p>
    <w:p w14:paraId="1CAE640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（3）发生重大、特别重大生产安全事故的，立即向第一款、第二款规定的政府有关机构报告的同时，可以立即报告国家应急管理部、国家矿山安全监察局，</w:t>
      </w:r>
      <w:r>
        <w:rPr>
          <w:rFonts w:hint="eastAsia" w:ascii="仿宋_GB2312" w:hAnsi="仿宋_GB2312" w:eastAsia="仿宋_GB2312" w:cs="仿宋_GB2312"/>
          <w:color w:val="auto"/>
          <w:kern w:val="0"/>
          <w:sz w:val="28"/>
          <w:szCs w:val="28"/>
          <w:highlight w:val="none"/>
          <w:lang w:eastAsia="zh-CN"/>
        </w:rPr>
        <w:t>30分钟</w:t>
      </w:r>
      <w:r>
        <w:rPr>
          <w:rFonts w:hint="eastAsia" w:ascii="仿宋_GB2312" w:hAnsi="仿宋_GB2312" w:eastAsia="仿宋_GB2312" w:cs="仿宋_GB2312"/>
          <w:color w:val="auto"/>
          <w:kern w:val="0"/>
          <w:sz w:val="28"/>
          <w:szCs w:val="28"/>
          <w:highlight w:val="none"/>
        </w:rPr>
        <w:t>内书面报告基本情况。</w:t>
      </w:r>
    </w:p>
    <w:p w14:paraId="5B5BB61D">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4）事故信息报告的方式先期以电话报告，后期通过传真、邮件等方式书面报告。事故信息报送以书面报告为主。对现场情况复杂、难以掌握全部情况的，可以先报事件、再核实情况，不能因核实情况而延误上报时间</w:t>
      </w:r>
      <w:r>
        <w:rPr>
          <w:rFonts w:hint="eastAsia" w:ascii="仿宋_GB2312" w:hAnsi="仿宋_GB2312" w:eastAsia="仿宋_GB2312" w:cs="仿宋_GB2312"/>
          <w:color w:val="auto"/>
          <w:kern w:val="0"/>
          <w:sz w:val="28"/>
          <w:szCs w:val="28"/>
          <w:highlight w:val="none"/>
          <w:lang w:eastAsia="zh-CN"/>
        </w:rPr>
        <w:t>。</w:t>
      </w:r>
    </w:p>
    <w:p w14:paraId="0B2ED19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事故信息电话快报的内容包括：</w:t>
      </w:r>
    </w:p>
    <w:p w14:paraId="4621C9A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①</w:t>
      </w:r>
      <w:r>
        <w:rPr>
          <w:rFonts w:hint="eastAsia" w:ascii="仿宋_GB2312" w:hAnsi="仿宋_GB2312" w:eastAsia="仿宋_GB2312" w:cs="仿宋_GB2312"/>
          <w:color w:val="auto"/>
          <w:kern w:val="0"/>
          <w:sz w:val="28"/>
          <w:szCs w:val="28"/>
          <w:highlight w:val="none"/>
        </w:rPr>
        <w:t>事故发生单位的名称、地址、性质；</w:t>
      </w:r>
    </w:p>
    <w:p w14:paraId="1281849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②</w:t>
      </w:r>
      <w:r>
        <w:rPr>
          <w:rFonts w:hint="eastAsia" w:ascii="仿宋_GB2312" w:hAnsi="仿宋_GB2312" w:eastAsia="仿宋_GB2312" w:cs="仿宋_GB2312"/>
          <w:color w:val="auto"/>
          <w:kern w:val="0"/>
          <w:sz w:val="28"/>
          <w:szCs w:val="28"/>
          <w:highlight w:val="none"/>
        </w:rPr>
        <w:t>事故发生的时间、地点；</w:t>
      </w:r>
    </w:p>
    <w:p w14:paraId="49DAAC0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③</w:t>
      </w:r>
      <w:r>
        <w:rPr>
          <w:rFonts w:hint="eastAsia" w:ascii="仿宋_GB2312" w:hAnsi="仿宋_GB2312" w:eastAsia="仿宋_GB2312" w:cs="仿宋_GB2312"/>
          <w:color w:val="auto"/>
          <w:kern w:val="0"/>
          <w:sz w:val="28"/>
          <w:szCs w:val="28"/>
          <w:highlight w:val="none"/>
        </w:rPr>
        <w:t>事故已经造成或者可能造成的伤亡人数（包括下落不明、涉险的人数）。</w:t>
      </w:r>
    </w:p>
    <w:p w14:paraId="071FC8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事故信息书面报告的内容包括：</w:t>
      </w:r>
    </w:p>
    <w:p w14:paraId="2E4729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①事故发生单位的名称、地址、行业、产能等基本情况；</w:t>
      </w:r>
    </w:p>
    <w:p w14:paraId="4D8199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②事故发生时间、地点及事故现场情况；</w:t>
      </w:r>
    </w:p>
    <w:p w14:paraId="0ADB392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③事故类型及简要经过（包括抢险救灾进展情况）；</w:t>
      </w:r>
    </w:p>
    <w:p w14:paraId="68CE8D2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④事故已经造成或者可能造成的伤亡人数（包括下落不明、被困或涉险的人数）和初步估计的直接经济损失；</w:t>
      </w:r>
    </w:p>
    <w:p w14:paraId="11CE507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⑤已经采取的措施；</w:t>
      </w:r>
    </w:p>
    <w:p w14:paraId="4501C6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⑥向政府相关部门报告情况；</w:t>
      </w:r>
    </w:p>
    <w:p w14:paraId="060225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⑦其他应当报告的情况；</w:t>
      </w:r>
    </w:p>
    <w:p w14:paraId="0F6DC9C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（5）初次报告由于情况不明暂未报告的内容，应当在情况清楚后及时续报。</w:t>
      </w:r>
    </w:p>
    <w:p w14:paraId="3BA693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事故报告后，出现新情况的（包括事故抢险救援进展情况），及时补报或者续报，其中，事故伤亡人数发生变化的，在变化后24小时内补报或者续报。自事故发生之日起30日内，事故造成的伤亡人数发生变化的，应当及时补报。道路交通事故、火灾事故自发生之日起7日内，事故造成的伤亡人数发生变化的，应当及时补报。</w:t>
      </w:r>
    </w:p>
    <w:p w14:paraId="49B096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（7）事故报告应当及时、准确、完整，任何单位和个人不得瞒报、谎报或者迟报。</w:t>
      </w:r>
    </w:p>
    <w:p w14:paraId="476157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（8）因自然灾害或者在生产过程中疑似因病造成从业人员死亡的，应当按照生产安全事故报告程序上报。</w:t>
      </w:r>
    </w:p>
    <w:p w14:paraId="127314B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（9）上级应急救援有关部门及救援单位联系方式见（附件5：附表</w:t>
      </w:r>
      <w:r>
        <w:rPr>
          <w:rFonts w:hint="eastAsia" w:ascii="仿宋_GB2312" w:hAnsi="仿宋_GB2312" w:eastAsia="仿宋_GB2312" w:cs="仿宋_GB2312"/>
          <w:color w:val="auto"/>
          <w:kern w:val="0"/>
          <w:sz w:val="28"/>
          <w:szCs w:val="28"/>
          <w:highlight w:val="none"/>
          <w:lang w:val="en-US" w:eastAsia="zh-CN"/>
        </w:rPr>
        <w:t>10-11</w:t>
      </w:r>
      <w:r>
        <w:rPr>
          <w:rFonts w:hint="eastAsia" w:ascii="仿宋_GB2312" w:hAnsi="仿宋_GB2312" w:eastAsia="仿宋_GB2312" w:cs="仿宋_GB2312"/>
          <w:color w:val="auto"/>
          <w:kern w:val="0"/>
          <w:sz w:val="28"/>
          <w:szCs w:val="28"/>
          <w:highlight w:val="none"/>
        </w:rPr>
        <w:t>）</w:t>
      </w:r>
    </w:p>
    <w:p w14:paraId="130C9709">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3.1.1.5 外部有关部门或单位事故信息通报</w:t>
      </w:r>
    </w:p>
    <w:p w14:paraId="7F6AB8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（1）事故接报后，调度室值班调度员根据总指挥（</w:t>
      </w:r>
      <w:r>
        <w:rPr>
          <w:rFonts w:hint="eastAsia" w:ascii="仿宋_GB2312" w:hAnsi="仿宋_GB2312" w:eastAsia="仿宋_GB2312" w:cs="仿宋_GB2312"/>
          <w:color w:val="auto"/>
          <w:kern w:val="0"/>
          <w:sz w:val="28"/>
          <w:szCs w:val="28"/>
          <w:highlight w:val="none"/>
          <w:lang w:val="en-US" w:eastAsia="zh-CN"/>
        </w:rPr>
        <w:t>或被授权</w:t>
      </w:r>
      <w:r>
        <w:rPr>
          <w:rFonts w:hint="eastAsia" w:ascii="仿宋_GB2312" w:hAnsi="仿宋_GB2312" w:eastAsia="仿宋_GB2312" w:cs="仿宋_GB2312"/>
          <w:color w:val="auto"/>
          <w:kern w:val="0"/>
          <w:sz w:val="28"/>
          <w:szCs w:val="28"/>
          <w:highlight w:val="none"/>
        </w:rPr>
        <w:t>人）授权，以电话或传真方式通知内外部专家、内外部单位和部门（内部专家联系方式见附件5：附表</w:t>
      </w:r>
      <w:r>
        <w:rPr>
          <w:rFonts w:hint="eastAsia" w:ascii="仿宋_GB2312" w:hAnsi="仿宋_GB2312" w:eastAsia="仿宋_GB2312" w:cs="仿宋_GB2312"/>
          <w:color w:val="auto"/>
          <w:kern w:val="0"/>
          <w:sz w:val="28"/>
          <w:szCs w:val="28"/>
          <w:highlight w:val="none"/>
          <w:lang w:val="en-US" w:eastAsia="zh-CN"/>
        </w:rPr>
        <w:t>10-11</w:t>
      </w:r>
      <w:r>
        <w:rPr>
          <w:rFonts w:hint="eastAsia" w:ascii="仿宋_GB2312" w:hAnsi="仿宋_GB2312" w:eastAsia="仿宋_GB2312" w:cs="仿宋_GB2312"/>
          <w:color w:val="auto"/>
          <w:kern w:val="0"/>
          <w:sz w:val="28"/>
          <w:szCs w:val="28"/>
          <w:highlight w:val="none"/>
        </w:rPr>
        <w:t>）。</w:t>
      </w:r>
    </w:p>
    <w:p w14:paraId="6BC97C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事故可能危及</w:t>
      </w: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外部相邻单位的，按照指挥部</w:t>
      </w:r>
      <w:r>
        <w:rPr>
          <w:rFonts w:hint="eastAsia" w:ascii="仿宋_GB2312" w:hAnsi="仿宋_GB2312" w:eastAsia="仿宋_GB2312" w:cs="仿宋_GB2312"/>
          <w:color w:val="auto"/>
          <w:kern w:val="0"/>
          <w:sz w:val="28"/>
          <w:szCs w:val="28"/>
          <w:highlight w:val="none"/>
        </w:rPr>
        <w:t>总指挥（授权人）</w:t>
      </w:r>
      <w:r>
        <w:rPr>
          <w:rFonts w:ascii="仿宋_GB2312" w:hAnsi="仿宋_GB2312" w:eastAsia="仿宋_GB2312" w:cs="仿宋_GB2312"/>
          <w:color w:val="auto"/>
          <w:kern w:val="0"/>
          <w:sz w:val="28"/>
          <w:szCs w:val="28"/>
          <w:highlight w:val="none"/>
        </w:rPr>
        <w:t>指令，由</w:t>
      </w:r>
      <w:r>
        <w:rPr>
          <w:rFonts w:hint="eastAsia" w:ascii="仿宋_GB2312" w:hAnsi="仿宋_GB2312" w:eastAsia="仿宋_GB2312" w:cs="仿宋_GB2312"/>
          <w:color w:val="auto"/>
          <w:kern w:val="0"/>
          <w:sz w:val="28"/>
          <w:szCs w:val="28"/>
          <w:highlight w:val="none"/>
        </w:rPr>
        <w:t>调度室值班调度员负责将事故快报单和续报单抄送受威胁单位</w:t>
      </w:r>
      <w:r>
        <w:rPr>
          <w:rFonts w:ascii="仿宋_GB2312" w:hAnsi="仿宋_GB2312" w:eastAsia="仿宋_GB2312" w:cs="仿宋_GB2312"/>
          <w:color w:val="auto"/>
          <w:kern w:val="0"/>
          <w:sz w:val="28"/>
          <w:szCs w:val="28"/>
          <w:highlight w:val="none"/>
        </w:rPr>
        <w:t>，提示其做好应急准备。必要时，由信息发布组起草新闻信息发布材料，报指挥部同意，由总指挥（</w:t>
      </w:r>
      <w:r>
        <w:rPr>
          <w:rFonts w:hint="eastAsia" w:ascii="仿宋_GB2312" w:hAnsi="仿宋_GB2312" w:eastAsia="仿宋_GB2312" w:cs="仿宋_GB2312"/>
          <w:color w:val="auto"/>
          <w:kern w:val="0"/>
          <w:sz w:val="28"/>
          <w:szCs w:val="28"/>
          <w:highlight w:val="none"/>
          <w:lang w:val="en-US" w:eastAsia="zh-CN"/>
        </w:rPr>
        <w:t>或被授权</w:t>
      </w:r>
      <w:r>
        <w:rPr>
          <w:rFonts w:hint="eastAsia" w:ascii="仿宋_GB2312" w:hAnsi="仿宋_GB2312" w:eastAsia="仿宋_GB2312" w:cs="仿宋_GB2312"/>
          <w:color w:val="auto"/>
          <w:kern w:val="0"/>
          <w:sz w:val="28"/>
          <w:szCs w:val="28"/>
          <w:highlight w:val="none"/>
        </w:rPr>
        <w:t>人</w:t>
      </w:r>
      <w:r>
        <w:rPr>
          <w:rFonts w:ascii="仿宋_GB2312" w:hAnsi="仿宋_GB2312" w:eastAsia="仿宋_GB2312" w:cs="仿宋_GB2312"/>
          <w:color w:val="auto"/>
          <w:kern w:val="0"/>
          <w:sz w:val="28"/>
          <w:szCs w:val="28"/>
          <w:highlight w:val="none"/>
        </w:rPr>
        <w:t>）采用新闻发布会的形式向本单位以外的有关部门或单位通报事故信息，提示其做好应急准备。</w:t>
      </w:r>
    </w:p>
    <w:p w14:paraId="0E89AFD5">
      <w:pPr>
        <w:spacing w:line="520" w:lineRule="exact"/>
        <w:ind w:firstLine="602" w:firstLineChars="200"/>
        <w:outlineLvl w:val="3"/>
        <w:rPr>
          <w:rFonts w:ascii="仿宋_GB2312" w:hAnsi="仿宋_GB2312" w:eastAsia="仿宋_GB2312" w:cs="仿宋_GB2312"/>
          <w:b/>
          <w:bCs/>
          <w:color w:val="auto"/>
          <w:sz w:val="30"/>
          <w:szCs w:val="30"/>
          <w:highlight w:val="none"/>
        </w:rPr>
      </w:pPr>
      <w:bookmarkStart w:id="58" w:name="_Toc438365980"/>
      <w:r>
        <w:rPr>
          <w:rFonts w:hint="eastAsia" w:ascii="仿宋_GB2312" w:hAnsi="仿宋_GB2312" w:eastAsia="仿宋_GB2312" w:cs="仿宋_GB2312"/>
          <w:b/>
          <w:bCs/>
          <w:color w:val="auto"/>
          <w:sz w:val="30"/>
          <w:szCs w:val="30"/>
          <w:highlight w:val="none"/>
        </w:rPr>
        <w:t>3.1.2 信息处置与研判</w:t>
      </w:r>
    </w:p>
    <w:bookmarkEnd w:id="58"/>
    <w:p w14:paraId="493796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（1）接到事故报告后，接到事故报告后，</w:t>
      </w:r>
      <w:r>
        <w:rPr>
          <w:rFonts w:hint="eastAsia" w:ascii="仿宋_GB2312" w:hAnsi="仿宋_GB2312" w:eastAsia="仿宋_GB2312" w:cs="仿宋_GB2312"/>
          <w:color w:val="auto"/>
          <w:kern w:val="0"/>
          <w:sz w:val="28"/>
          <w:szCs w:val="28"/>
          <w:highlight w:val="none"/>
          <w:lang w:val="en-US" w:eastAsia="zh-CN"/>
        </w:rPr>
        <w:t>总经理</w:t>
      </w:r>
      <w:r>
        <w:rPr>
          <w:rFonts w:hint="eastAsia" w:ascii="仿宋_GB2312" w:hAnsi="仿宋_GB2312" w:eastAsia="仿宋_GB2312" w:cs="仿宋_GB2312"/>
          <w:color w:val="auto"/>
          <w:kern w:val="0"/>
          <w:sz w:val="28"/>
          <w:szCs w:val="28"/>
          <w:highlight w:val="none"/>
        </w:rPr>
        <w:t>、值班矿领导应迅速赶到调度室，立即开展事故信息分析和研判，指导开展先期应急处置。根据事故的性质、严重程度、影响范围及可控性，由</w:t>
      </w:r>
      <w:r>
        <w:rPr>
          <w:rFonts w:hint="eastAsia" w:ascii="仿宋_GB2312" w:hAnsi="仿宋_GB2312" w:eastAsia="仿宋_GB2312" w:cs="仿宋_GB2312"/>
          <w:color w:val="auto"/>
          <w:kern w:val="0"/>
          <w:sz w:val="28"/>
          <w:szCs w:val="28"/>
          <w:highlight w:val="none"/>
          <w:lang w:val="en-US" w:eastAsia="zh-CN"/>
        </w:rPr>
        <w:t>总经理</w:t>
      </w:r>
      <w:r>
        <w:rPr>
          <w:rFonts w:hint="eastAsia" w:ascii="仿宋_GB2312" w:hAnsi="仿宋_GB2312" w:eastAsia="仿宋_GB2312" w:cs="仿宋_GB2312"/>
          <w:color w:val="auto"/>
          <w:kern w:val="0"/>
          <w:sz w:val="28"/>
          <w:szCs w:val="28"/>
          <w:highlight w:val="none"/>
        </w:rPr>
        <w:t>（授权人）宣布启动应急预案，成立应急救援指挥部。结合响应分级的条件，应急指挥部总指挥（授权人）做出应急响应决策，明确并宣布应急响应等，或者依据事故信息达到响应启动的条件自动启动。</w:t>
      </w:r>
    </w:p>
    <w:p w14:paraId="7AD63A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（2）若未达到启动条件，应急指挥部总指挥（授权人）做出预警启动的决策，做好应急准备，实时跟踪事态发展。</w:t>
      </w:r>
    </w:p>
    <w:p w14:paraId="5BB820F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（3）响应启动后，应急指挥部随时跟踪事态的发展，科学分析以及应急处置需求，随时调整响应级别，避免响应不足或过度响应。</w:t>
      </w:r>
    </w:p>
    <w:p w14:paraId="75A10C52">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59" w:name="_Toc1174"/>
      <w:r>
        <w:rPr>
          <w:rFonts w:hint="eastAsia" w:ascii="楷体_GB2312" w:hAnsi="楷体_GB2312" w:eastAsia="楷体_GB2312" w:cs="楷体_GB2312"/>
          <w:bCs/>
          <w:color w:val="auto"/>
          <w:sz w:val="30"/>
          <w:szCs w:val="30"/>
          <w:highlight w:val="none"/>
        </w:rPr>
        <w:t>3.2 预警</w:t>
      </w:r>
      <w:bookmarkEnd w:id="59"/>
    </w:p>
    <w:p w14:paraId="1FCF2576">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3.2.1 预警启动</w:t>
      </w:r>
    </w:p>
    <w:p w14:paraId="00D3D0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3.2.1.1 预警信息发布渠道、方式</w:t>
      </w:r>
    </w:p>
    <w:p w14:paraId="0D186B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调度室采用井上下通讯（有线电话、应急广播、手机</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应急平台）、人员位置监控系统紧急呼叫、语音广播系统、现场通知等方式，向现场人员和有关人员发布生产安全事故预警信息。</w:t>
      </w:r>
    </w:p>
    <w:p w14:paraId="7FE5C4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3.2.1.2 预警信息内容</w:t>
      </w:r>
    </w:p>
    <w:p w14:paraId="2AB8B40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采区回风巷、采掘工作面回风巷风流中甲烷浓度超过1.0%或者二氧化碳浓度达到1.5%的；</w:t>
      </w:r>
    </w:p>
    <w:p w14:paraId="37A812A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岩巷掘进遇到煤线、揭穿煤层或者接近地质破坏带时，发现瓦斯大量增加或者其他异常的；</w:t>
      </w:r>
    </w:p>
    <w:p w14:paraId="3CD7A6B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采掘工作面及其他作业地点风流中、电动机或者其开关安设地点附近 20m 以内风流中的甲烷浓度达到1.5%的；</w:t>
      </w:r>
    </w:p>
    <w:p w14:paraId="19972E1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采掘工作面及其他巷道内，体积大于0.5</w:t>
      </w:r>
      <w:r>
        <w:rPr>
          <w:rFonts w:hint="eastAsia" w:ascii="仿宋_GB2312" w:hAnsi="仿宋_GB2312" w:eastAsia="仿宋_GB2312" w:cs="仿宋_GB2312"/>
          <w:color w:val="auto"/>
          <w:kern w:val="0"/>
          <w:sz w:val="28"/>
          <w:szCs w:val="28"/>
          <w:highlight w:val="none"/>
          <w:lang w:val="en-US" w:eastAsia="zh-CN"/>
        </w:rPr>
        <w:t>m³</w:t>
      </w:r>
      <w:r>
        <w:rPr>
          <w:rFonts w:hint="eastAsia" w:ascii="仿宋_GB2312" w:hAnsi="仿宋_GB2312" w:eastAsia="仿宋_GB2312" w:cs="仿宋_GB2312"/>
          <w:color w:val="auto"/>
          <w:kern w:val="0"/>
          <w:sz w:val="28"/>
          <w:szCs w:val="28"/>
          <w:highlight w:val="none"/>
        </w:rPr>
        <w:t>的空间内积聚的甲烷浓度达到2.0%的；采掘工作面风流中二氧化碳浓度达到1.5%的；</w:t>
      </w:r>
    </w:p>
    <w:p w14:paraId="0A00C87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井下发生明显响煤炮声，喷孔、顶钻，煤壁外鼓、掉渣，瓦斯涌出持续增大或者忽大忽小，煤尘增大等煤与瓦斯突出征兆的；</w:t>
      </w:r>
    </w:p>
    <w:p w14:paraId="45DEA68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井下发现有煤层变湿、挂红、挂汗、空气变冷、出现雾气、水叫、顶板来压、淋水加大（含砂）、底板鼓起或者裂隙渗水、钻孔喷水、煤壁溃水、水色发浑、有臭味等透水、突水、溃水征兆的；</w:t>
      </w:r>
    </w:p>
    <w:p w14:paraId="00F6F0A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7</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井口附近或者开采塌陷波及区域的地表出现滑坡、泥石流等地质灾害威胁煤矿安全的；</w:t>
      </w:r>
    </w:p>
    <w:p w14:paraId="37BB479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8</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在探放水钻进时，发现煤岩松软、片帮、来压或者钻孔中水压、水量突然增大和顶钻等突（透）水征兆的；</w:t>
      </w:r>
    </w:p>
    <w:p w14:paraId="2D206A3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9</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井田及周边地面水体水位突然下降原因不明的；</w:t>
      </w:r>
    </w:p>
    <w:p w14:paraId="554B314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10</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当地暴雨、洪水等自然灾害预警等级为红色（一级）、橙色（二级）的；</w:t>
      </w:r>
    </w:p>
    <w:p w14:paraId="6E0A50B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11</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发现外因火灾时，但火灾位置附近无立即能投入使用的灭火水管、灭火器材等灭火工具，不具备立即扑灭条件的；虽具备立即扑灭条件但短时间内不能立即扑灭的；火灾发展迅速，灾区一氧化碳浓度超过800ppm 或者巷道能见度小于5米或者已发生风流紊乱逆转的；</w:t>
      </w:r>
    </w:p>
    <w:p w14:paraId="232AE5D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12</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 xml:space="preserve">发现巷道、采空区等地点煤层自然发火或者出现煤层自然发火征兆的； </w:t>
      </w:r>
    </w:p>
    <w:p w14:paraId="7682167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13</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冲击地压危险区域日常监测预警有冲击地压危险的；施工预卸压孔时出现顶钻、卡钻、喷钻的；</w:t>
      </w:r>
    </w:p>
    <w:p w14:paraId="2F10471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14</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 xml:space="preserve">采掘作业地点出现强烈震动、巨响、瞬间底（帮）鼓、煤岩弹射等动力现象的； </w:t>
      </w:r>
    </w:p>
    <w:p w14:paraId="602F0A4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15</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 xml:space="preserve">发生M2.0级及以上矿震或塌陷的； </w:t>
      </w:r>
    </w:p>
    <w:p w14:paraId="55E66A1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16</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顶板压力增大使支架变形、煤壁外鼓，片帮、顶板冒落增多、底鼓严重的；</w:t>
      </w:r>
    </w:p>
    <w:p w14:paraId="15DB964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17</w:t>
      </w:r>
      <w:r>
        <w:rPr>
          <w:rFonts w:hint="eastAsia" w:ascii="仿宋_GB2312" w:hAnsi="仿宋_GB2312" w:eastAsia="仿宋_GB2312" w:cs="仿宋_GB2312"/>
          <w:color w:val="auto"/>
          <w:kern w:val="0"/>
          <w:sz w:val="28"/>
          <w:szCs w:val="28"/>
          <w:highlight w:val="none"/>
          <w:lang w:val="en-US" w:eastAsia="zh-CN"/>
        </w:rPr>
        <w:t>)</w:t>
      </w:r>
      <w:r>
        <w:rPr>
          <w:rFonts w:hint="eastAsia" w:ascii="仿宋_GB2312" w:hAnsi="仿宋_GB2312" w:eastAsia="仿宋_GB2312" w:cs="仿宋_GB2312"/>
          <w:color w:val="auto"/>
          <w:kern w:val="0"/>
          <w:sz w:val="28"/>
          <w:szCs w:val="28"/>
          <w:highlight w:val="none"/>
        </w:rPr>
        <w:t>全矿井计划外停电且不能立即有效恢复的；</w:t>
      </w:r>
    </w:p>
    <w:p w14:paraId="0F2661E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w:t>
      </w:r>
      <w:r>
        <w:rPr>
          <w:rFonts w:hint="eastAsia" w:ascii="仿宋_GB2312" w:hAnsi="仿宋_GB2312" w:eastAsia="仿宋_GB2312" w:cs="仿宋_GB2312"/>
          <w:color w:val="auto"/>
          <w:kern w:val="0"/>
          <w:sz w:val="28"/>
          <w:szCs w:val="28"/>
          <w:highlight w:val="none"/>
        </w:rPr>
        <w:t>18</w:t>
      </w:r>
      <w:r>
        <w:rPr>
          <w:rFonts w:hint="eastAsia" w:ascii="仿宋_GB2312" w:hAnsi="仿宋_GB2312" w:eastAsia="仿宋_GB2312" w:cs="仿宋_GB2312"/>
          <w:color w:val="auto"/>
          <w:kern w:val="0"/>
          <w:sz w:val="28"/>
          <w:szCs w:val="28"/>
          <w:highlight w:val="none"/>
          <w:lang w:val="en-US" w:eastAsia="zh-CN"/>
        </w:rPr>
        <w:t>）</w:t>
      </w:r>
      <w:r>
        <w:rPr>
          <w:rFonts w:hint="eastAsia" w:ascii="仿宋_GB2312" w:hAnsi="仿宋_GB2312" w:eastAsia="仿宋_GB2312" w:cs="仿宋_GB2312"/>
          <w:color w:val="auto"/>
          <w:kern w:val="0"/>
          <w:sz w:val="28"/>
          <w:szCs w:val="28"/>
          <w:highlight w:val="none"/>
        </w:rPr>
        <w:t>主要通风机发生故障，通风系统遭到破坏，不能保证矿井正常通风的；</w:t>
      </w:r>
    </w:p>
    <w:p w14:paraId="370419B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（19）</w:t>
      </w:r>
      <w:r>
        <w:rPr>
          <w:rFonts w:hint="eastAsia" w:ascii="仿宋_GB2312" w:hAnsi="仿宋_GB2312" w:eastAsia="仿宋_GB2312" w:cs="仿宋_GB2312"/>
          <w:color w:val="auto"/>
          <w:kern w:val="0"/>
          <w:sz w:val="28"/>
          <w:szCs w:val="28"/>
          <w:highlight w:val="none"/>
        </w:rPr>
        <w:t>调度室等部门收到或接到的可能发生事故信息的；</w:t>
      </w:r>
    </w:p>
    <w:p w14:paraId="39FA5A8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（20）</w:t>
      </w:r>
      <w:r>
        <w:rPr>
          <w:rFonts w:hint="eastAsia" w:ascii="仿宋_GB2312" w:hAnsi="仿宋_GB2312" w:eastAsia="仿宋_GB2312" w:cs="仿宋_GB2312"/>
          <w:color w:val="auto"/>
          <w:kern w:val="0"/>
          <w:sz w:val="28"/>
          <w:szCs w:val="28"/>
          <w:highlight w:val="none"/>
        </w:rPr>
        <w:t>上级公司、地方政府或上级有关部门公开发布的预报信息的；</w:t>
      </w:r>
    </w:p>
    <w:p w14:paraId="5A8AE8B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（21）</w:t>
      </w:r>
      <w:r>
        <w:rPr>
          <w:rFonts w:hint="eastAsia" w:ascii="仿宋_GB2312" w:hAnsi="仿宋_GB2312" w:eastAsia="仿宋_GB2312" w:cs="仿宋_GB2312"/>
          <w:color w:val="auto"/>
          <w:kern w:val="0"/>
          <w:sz w:val="28"/>
          <w:szCs w:val="28"/>
          <w:highlight w:val="none"/>
        </w:rPr>
        <w:t>经风险评估得出的可能发生重特大事故的发展趋势报告的；</w:t>
      </w:r>
    </w:p>
    <w:p w14:paraId="27FE5DB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（22）</w:t>
      </w:r>
      <w:r>
        <w:rPr>
          <w:rFonts w:hint="eastAsia" w:ascii="仿宋_GB2312" w:hAnsi="仿宋_GB2312" w:eastAsia="仿宋_GB2312" w:cs="仿宋_GB2312"/>
          <w:color w:val="auto"/>
          <w:kern w:val="0"/>
          <w:sz w:val="28"/>
          <w:szCs w:val="28"/>
          <w:highlight w:val="none"/>
        </w:rPr>
        <w:t>各级监管监察部门检查发现重大隐患的；</w:t>
      </w:r>
    </w:p>
    <w:p w14:paraId="3761AF2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（23）</w:t>
      </w:r>
      <w:r>
        <w:rPr>
          <w:rFonts w:hint="eastAsia" w:ascii="仿宋_GB2312" w:hAnsi="仿宋_GB2312" w:eastAsia="仿宋_GB2312" w:cs="仿宋_GB2312"/>
          <w:color w:val="auto"/>
          <w:kern w:val="0"/>
          <w:sz w:val="28"/>
          <w:szCs w:val="28"/>
          <w:highlight w:val="none"/>
        </w:rPr>
        <w:t>其他危及井下人员安全险情的。</w:t>
      </w:r>
    </w:p>
    <w:p w14:paraId="0B88E47D">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3.2.2响应准备</w:t>
      </w:r>
    </w:p>
    <w:p w14:paraId="1F58458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预警启动后，应急救援指挥部进入预备状态。调度室值班人员按照本应急预案提供的应急资源信息，立即通知相关应急救援队伍、医疗队伍、专家队伍、物资（设备）储备、通讯、供电、后勤、治安保障等单位或部门，做好响应准备工作。</w:t>
      </w:r>
    </w:p>
    <w:p w14:paraId="1A1D7AA8">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3.2.3预警解除</w:t>
      </w:r>
    </w:p>
    <w:p w14:paraId="0174BB59">
      <w:pPr>
        <w:spacing w:line="520" w:lineRule="exact"/>
        <w:ind w:firstLine="602" w:firstLineChars="200"/>
        <w:jc w:val="left"/>
        <w:rPr>
          <w:rFonts w:ascii="仿宋_GB2312" w:hAnsi="仿宋_GB2312" w:eastAsia="仿宋_GB2312" w:cs="仿宋_GB2312"/>
          <w:b/>
          <w:bCs/>
          <w:color w:val="auto"/>
          <w:kern w:val="0"/>
          <w:sz w:val="30"/>
          <w:szCs w:val="30"/>
          <w:highlight w:val="none"/>
        </w:rPr>
      </w:pPr>
      <w:r>
        <w:rPr>
          <w:rFonts w:hint="eastAsia" w:ascii="仿宋_GB2312" w:hAnsi="仿宋_GB2312" w:eastAsia="仿宋_GB2312" w:cs="仿宋_GB2312"/>
          <w:b/>
          <w:bCs/>
          <w:color w:val="auto"/>
          <w:kern w:val="0"/>
          <w:sz w:val="30"/>
          <w:szCs w:val="30"/>
          <w:highlight w:val="none"/>
        </w:rPr>
        <w:t>3.2.3.1 预警解除的基本条件</w:t>
      </w:r>
    </w:p>
    <w:p w14:paraId="5A7A2C9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）隐患排查治理完成，危险已经解除；</w:t>
      </w:r>
    </w:p>
    <w:p w14:paraId="738A28E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）可能导致次生、衍生事故隐患已经消除；</w:t>
      </w:r>
    </w:p>
    <w:p w14:paraId="016F608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）预警情形得到控制，现场安全环境符合有关标准；</w:t>
      </w:r>
    </w:p>
    <w:p w14:paraId="2650AD3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）现场设备及设施安全状态正常；</w:t>
      </w:r>
    </w:p>
    <w:p w14:paraId="5334B92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5</w:t>
      </w:r>
      <w:r>
        <w:rPr>
          <w:rFonts w:hint="eastAsia" w:ascii="仿宋_GB2312" w:hAnsi="仿宋_GB2312" w:eastAsia="仿宋_GB2312" w:cs="仿宋_GB2312"/>
          <w:color w:val="auto"/>
          <w:kern w:val="0"/>
          <w:sz w:val="28"/>
          <w:szCs w:val="28"/>
          <w:highlight w:val="none"/>
        </w:rPr>
        <w:t>）员工无不安全行为，管理无缺陷；</w:t>
      </w:r>
    </w:p>
    <w:p w14:paraId="752FF2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6</w:t>
      </w:r>
      <w:r>
        <w:rPr>
          <w:rFonts w:hint="eastAsia" w:ascii="仿宋_GB2312" w:hAnsi="仿宋_GB2312" w:eastAsia="仿宋_GB2312" w:cs="仿宋_GB2312"/>
          <w:color w:val="auto"/>
          <w:kern w:val="0"/>
          <w:sz w:val="28"/>
          <w:szCs w:val="28"/>
          <w:highlight w:val="none"/>
        </w:rPr>
        <w:t>）有事实证明不可能发生突发事件或者预警事项不可能再次发生的。</w:t>
      </w:r>
    </w:p>
    <w:p w14:paraId="319F28F1">
      <w:pPr>
        <w:spacing w:line="520" w:lineRule="exact"/>
        <w:ind w:firstLine="602" w:firstLineChars="200"/>
        <w:jc w:val="left"/>
        <w:rPr>
          <w:rFonts w:ascii="仿宋_GB2312" w:hAnsi="仿宋_GB2312" w:eastAsia="仿宋_GB2312" w:cs="仿宋_GB2312"/>
          <w:b/>
          <w:bCs/>
          <w:color w:val="auto"/>
          <w:kern w:val="0"/>
          <w:sz w:val="30"/>
          <w:szCs w:val="30"/>
          <w:highlight w:val="none"/>
        </w:rPr>
      </w:pPr>
      <w:r>
        <w:rPr>
          <w:rFonts w:hint="eastAsia" w:ascii="仿宋_GB2312" w:hAnsi="仿宋_GB2312" w:eastAsia="仿宋_GB2312" w:cs="仿宋_GB2312"/>
          <w:b/>
          <w:bCs/>
          <w:color w:val="auto"/>
          <w:kern w:val="0"/>
          <w:sz w:val="30"/>
          <w:szCs w:val="30"/>
          <w:highlight w:val="none"/>
        </w:rPr>
        <w:t>3.2.3.2 预警解除的要求</w:t>
      </w:r>
    </w:p>
    <w:p w14:paraId="68C6095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经技术专家组评估，预警涉及的危险或隐患得到有效控制或已经解除，做出预警解除决定。</w:t>
      </w:r>
    </w:p>
    <w:p w14:paraId="2061A0B5">
      <w:pPr>
        <w:spacing w:line="520" w:lineRule="exact"/>
        <w:ind w:firstLine="602" w:firstLineChars="200"/>
        <w:jc w:val="left"/>
        <w:rPr>
          <w:rFonts w:ascii="仿宋_GB2312" w:hAnsi="仿宋_GB2312" w:eastAsia="仿宋_GB2312" w:cs="仿宋_GB2312"/>
          <w:b/>
          <w:bCs/>
          <w:color w:val="auto"/>
          <w:kern w:val="0"/>
          <w:sz w:val="30"/>
          <w:szCs w:val="30"/>
          <w:highlight w:val="none"/>
        </w:rPr>
      </w:pPr>
      <w:r>
        <w:rPr>
          <w:rFonts w:hint="eastAsia" w:ascii="仿宋_GB2312" w:hAnsi="仿宋_GB2312" w:eastAsia="仿宋_GB2312" w:cs="仿宋_GB2312"/>
          <w:b/>
          <w:bCs/>
          <w:color w:val="auto"/>
          <w:kern w:val="0"/>
          <w:sz w:val="30"/>
          <w:szCs w:val="30"/>
          <w:highlight w:val="none"/>
        </w:rPr>
        <w:t>3.2.3.3 预警解除的责任人</w:t>
      </w:r>
    </w:p>
    <w:p w14:paraId="1C8D6D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由应急救援指挥部总指挥（</w:t>
      </w:r>
      <w:r>
        <w:rPr>
          <w:rFonts w:hint="eastAsia" w:ascii="仿宋_GB2312" w:hAnsi="仿宋_GB2312" w:eastAsia="仿宋_GB2312" w:cs="仿宋_GB2312"/>
          <w:color w:val="auto"/>
          <w:kern w:val="0"/>
          <w:sz w:val="28"/>
          <w:szCs w:val="28"/>
          <w:highlight w:val="none"/>
          <w:lang w:val="en-US" w:eastAsia="zh-CN"/>
        </w:rPr>
        <w:t>或被</w:t>
      </w:r>
      <w:r>
        <w:rPr>
          <w:rFonts w:hint="eastAsia" w:ascii="仿宋_GB2312" w:hAnsi="仿宋_GB2312" w:eastAsia="仿宋_GB2312" w:cs="仿宋_GB2312"/>
          <w:color w:val="auto"/>
          <w:kern w:val="0"/>
          <w:sz w:val="28"/>
          <w:szCs w:val="28"/>
          <w:highlight w:val="none"/>
        </w:rPr>
        <w:t>授权人）负责宣布解除预警状态。</w:t>
      </w:r>
    </w:p>
    <w:p w14:paraId="3B977EEF">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60" w:name="_Toc10552"/>
      <w:bookmarkStart w:id="61" w:name="_Toc27008"/>
      <w:bookmarkStart w:id="62" w:name="_Toc218"/>
      <w:r>
        <w:rPr>
          <w:rFonts w:hint="eastAsia" w:ascii="楷体_GB2312" w:hAnsi="楷体_GB2312" w:eastAsia="楷体_GB2312" w:cs="楷体_GB2312"/>
          <w:bCs/>
          <w:color w:val="auto"/>
          <w:sz w:val="30"/>
          <w:szCs w:val="30"/>
          <w:highlight w:val="none"/>
        </w:rPr>
        <w:t>3.3 响应启动</w:t>
      </w:r>
      <w:bookmarkEnd w:id="60"/>
      <w:bookmarkEnd w:id="61"/>
      <w:bookmarkEnd w:id="62"/>
    </w:p>
    <w:p w14:paraId="1AFF2AC0">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3.3.1 确定响应级别</w:t>
      </w:r>
    </w:p>
    <w:p w14:paraId="2A1F082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发生后，指挥部依据事故的性质、事故危害程度、影响范围、人员伤亡被困、下落不明及涉险人数、造成的直接经济损失和矿井控制事故现场事态的能力，结合分级响应条件，确定矿井应急响应级别。矿井应急响应级别按照本预案</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.1应急响应分级</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确定应急响应级别。</w:t>
      </w:r>
    </w:p>
    <w:p w14:paraId="2412129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Ⅲ级响应：达到启动Ⅲ级应急响应条件的，由现场负责人启动现场处置方案，根据事故性质和严重程度，组织现场人员进行应急处置和自救互救，上一级应急响应进入预备状态。若事态扩大，立即汇报并请求增援。</w:t>
      </w:r>
    </w:p>
    <w:p w14:paraId="3E2306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（2）Ⅱ级响应：达到Ⅱ级应急响应条件的，由总指挥（</w:t>
      </w:r>
      <w:r>
        <w:rPr>
          <w:rFonts w:hint="eastAsia" w:ascii="仿宋_GB2312" w:hAnsi="仿宋_GB2312" w:eastAsia="仿宋_GB2312" w:cs="仿宋_GB2312"/>
          <w:color w:val="auto"/>
          <w:kern w:val="0"/>
          <w:sz w:val="28"/>
          <w:szCs w:val="28"/>
          <w:highlight w:val="none"/>
          <w:lang w:val="en-US" w:eastAsia="zh-CN"/>
        </w:rPr>
        <w:t>被</w:t>
      </w:r>
      <w:r>
        <w:rPr>
          <w:rFonts w:hint="eastAsia" w:ascii="仿宋_GB2312" w:hAnsi="仿宋_GB2312" w:eastAsia="仿宋_GB2312" w:cs="仿宋_GB2312"/>
          <w:color w:val="auto"/>
          <w:kern w:val="0"/>
          <w:sz w:val="28"/>
          <w:szCs w:val="28"/>
          <w:highlight w:val="none"/>
        </w:rPr>
        <w:t>授权人）启动Ⅱ级应急响应，第一副总指挥（</w:t>
      </w:r>
      <w:r>
        <w:rPr>
          <w:rFonts w:hint="eastAsia" w:ascii="仿宋_GB2312" w:hAnsi="仿宋_GB2312" w:eastAsia="仿宋_GB2312" w:cs="仿宋_GB2312"/>
          <w:color w:val="auto"/>
          <w:kern w:val="0"/>
          <w:sz w:val="28"/>
          <w:szCs w:val="28"/>
          <w:highlight w:val="none"/>
          <w:lang w:val="en-US" w:eastAsia="zh-CN"/>
        </w:rPr>
        <w:t>分管副总经理</w:t>
      </w:r>
      <w:r>
        <w:rPr>
          <w:rFonts w:hint="eastAsia" w:ascii="仿宋_GB2312" w:hAnsi="仿宋_GB2312" w:eastAsia="仿宋_GB2312" w:cs="仿宋_GB2312"/>
          <w:color w:val="auto"/>
          <w:kern w:val="0"/>
          <w:sz w:val="28"/>
          <w:szCs w:val="28"/>
          <w:highlight w:val="none"/>
        </w:rPr>
        <w:t>）按照职责牵头负责事故应急处置和救援，上一级应急响应进入准备状态。</w:t>
      </w:r>
    </w:p>
    <w:p w14:paraId="61914B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（3）Ⅰ级响应：达到启动Ⅰ级响应条件时，由总指挥（</w:t>
      </w:r>
      <w:r>
        <w:rPr>
          <w:rFonts w:hint="eastAsia" w:ascii="仿宋_GB2312" w:hAnsi="仿宋_GB2312" w:eastAsia="仿宋_GB2312" w:cs="仿宋_GB2312"/>
          <w:color w:val="auto"/>
          <w:kern w:val="0"/>
          <w:sz w:val="28"/>
          <w:szCs w:val="28"/>
          <w:highlight w:val="none"/>
          <w:lang w:val="en-US" w:eastAsia="zh-CN"/>
        </w:rPr>
        <w:t>被</w:t>
      </w:r>
      <w:r>
        <w:rPr>
          <w:rFonts w:hint="eastAsia" w:ascii="仿宋_GB2312" w:hAnsi="仿宋_GB2312" w:eastAsia="仿宋_GB2312" w:cs="仿宋_GB2312"/>
          <w:color w:val="auto"/>
          <w:kern w:val="0"/>
          <w:sz w:val="28"/>
          <w:szCs w:val="28"/>
          <w:highlight w:val="none"/>
        </w:rPr>
        <w:t>授权人）启动Ⅰ级应急响应，组织应急指挥部成员及各应急救援专业组开展应急救援工作。</w:t>
      </w:r>
    </w:p>
    <w:p w14:paraId="417C48E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发生矿井不能有效处置的事故，或者矿井在启动Ⅰ级应急响应时，在应急处置和救援过程中事态无法控制需扩大应急响应，报请新矿内蒙古能源、新矿集团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能源集团和地方政府部门增援，上级应急救援指挥部成立到位后，本单位应急救援指挥部指挥权移交给上级应急救援指挥部，本预案涉及的相关人员应随时接受</w:t>
      </w:r>
      <w:r>
        <w:rPr>
          <w:rFonts w:hint="eastAsia" w:ascii="仿宋_GB2312" w:hAnsi="仿宋_GB2312" w:eastAsia="仿宋_GB2312" w:cs="仿宋_GB2312"/>
          <w:color w:val="auto"/>
          <w:kern w:val="0"/>
          <w:sz w:val="28"/>
          <w:szCs w:val="28"/>
          <w:highlight w:val="none"/>
          <w:lang w:val="en-US" w:eastAsia="zh-CN"/>
        </w:rPr>
        <w:t>上级公司</w:t>
      </w:r>
      <w:r>
        <w:rPr>
          <w:rFonts w:hint="eastAsia" w:ascii="仿宋_GB2312" w:hAnsi="仿宋_GB2312" w:eastAsia="仿宋_GB2312" w:cs="仿宋_GB2312"/>
          <w:color w:val="auto"/>
          <w:kern w:val="0"/>
          <w:sz w:val="28"/>
          <w:szCs w:val="28"/>
          <w:highlight w:val="none"/>
        </w:rPr>
        <w:t>或政府有关部门应急指挥部的指令，落实救援任务。</w:t>
      </w:r>
    </w:p>
    <w:p w14:paraId="1D56F97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52C2A90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drawing>
          <wp:anchor distT="0" distB="0" distL="114300" distR="114300" simplePos="0" relativeHeight="251675648" behindDoc="0" locked="0" layoutInCell="1" allowOverlap="1">
            <wp:simplePos x="0" y="0"/>
            <wp:positionH relativeFrom="column">
              <wp:posOffset>110490</wp:posOffset>
            </wp:positionH>
            <wp:positionV relativeFrom="paragraph">
              <wp:posOffset>226060</wp:posOffset>
            </wp:positionV>
            <wp:extent cx="5614670" cy="7477125"/>
            <wp:effectExtent l="0" t="0" r="8890" b="5715"/>
            <wp:wrapTopAndBottom/>
            <wp:docPr id="16" name="图片 16" descr="34ec93b0c4f6327e1622efb378b3e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4ec93b0c4f6327e1622efb378b3e302(1)"/>
                    <pic:cNvPicPr>
                      <a:picLocks noChangeAspect="1"/>
                    </pic:cNvPicPr>
                  </pic:nvPicPr>
                  <pic:blipFill>
                    <a:blip r:embed="rId10"/>
                    <a:stretch>
                      <a:fillRect/>
                    </a:stretch>
                  </pic:blipFill>
                  <pic:spPr>
                    <a:xfrm>
                      <a:off x="0" y="0"/>
                      <a:ext cx="5614670" cy="7477125"/>
                    </a:xfrm>
                    <a:prstGeom prst="rect">
                      <a:avLst/>
                    </a:prstGeom>
                  </pic:spPr>
                </pic:pic>
              </a:graphicData>
            </a:graphic>
          </wp:anchor>
        </w:drawing>
      </w:r>
      <w:r>
        <w:rPr>
          <w:sz w:val="30"/>
        </w:rPr>
        <mc:AlternateContent>
          <mc:Choice Requires="wps">
            <w:drawing>
              <wp:anchor distT="0" distB="0" distL="114300" distR="114300" simplePos="0" relativeHeight="251674624" behindDoc="0" locked="0" layoutInCell="1" allowOverlap="1">
                <wp:simplePos x="0" y="0"/>
                <wp:positionH relativeFrom="column">
                  <wp:posOffset>3036570</wp:posOffset>
                </wp:positionH>
                <wp:positionV relativeFrom="paragraph">
                  <wp:posOffset>-6862445</wp:posOffset>
                </wp:positionV>
                <wp:extent cx="1425575" cy="304800"/>
                <wp:effectExtent l="0" t="0" r="0" b="0"/>
                <wp:wrapNone/>
                <wp:docPr id="13" name="文本框 13"/>
                <wp:cNvGraphicFramePr/>
                <a:graphic xmlns:a="http://schemas.openxmlformats.org/drawingml/2006/main">
                  <a:graphicData uri="http://schemas.microsoft.com/office/word/2010/wordprocessingShape">
                    <wps:wsp>
                      <wps:cNvSpPr txBox="1"/>
                      <wps:spPr>
                        <a:xfrm>
                          <a:off x="3642360" y="2534285"/>
                          <a:ext cx="1425575" cy="304800"/>
                        </a:xfrm>
                        <a:prstGeom prst="rect">
                          <a:avLst/>
                        </a:prstGeom>
                        <a:ln>
                          <a:noFill/>
                        </a:ln>
                      </wps:spPr>
                      <wps:style>
                        <a:lnRef idx="2">
                          <a:schemeClr val="accent1"/>
                        </a:lnRef>
                        <a:fillRef idx="0">
                          <a:srgbClr val="FFFFFF"/>
                        </a:fillRef>
                        <a:effectRef idx="0">
                          <a:srgbClr val="FFFFFF"/>
                        </a:effectRef>
                        <a:fontRef idx="minor">
                          <a:schemeClr val="tx1"/>
                        </a:fontRef>
                      </wps:style>
                      <wps:txbx>
                        <w:txbxContent>
                          <w:p w14:paraId="40C43BC6">
                            <w:pPr>
                              <w:rPr>
                                <w:rFonts w:hint="eastAsia" w:eastAsia="宋体"/>
                                <w:sz w:val="16"/>
                                <w:szCs w:val="20"/>
                                <w:lang w:val="en-US" w:eastAsia="zh-CN"/>
                              </w:rPr>
                            </w:pPr>
                            <w:r>
                              <w:rPr>
                                <w:rFonts w:hint="eastAsia"/>
                                <w:sz w:val="16"/>
                                <w:szCs w:val="20"/>
                                <w:lang w:val="en-US" w:eastAsia="zh-CN"/>
                              </w:rPr>
                              <w:t>调度室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1pt;margin-top:-540.35pt;height:24pt;width:112.25pt;z-index:251674624;mso-width-relative:page;mso-height-relative:page;" filled="f" stroked="f" coordsize="21600,21600" o:gfxdata="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Mak/ZHeAAAADwEAAA8AAAAAAAAAAQAgAAAAIgAAAGRycy9kb3du&#10;cmV2LnhtbFBLAQIUABQAAAAIAIdO4kCv9YH5awIAAK8EAAAOAAAAAAAAAAEAIAAAAC0BAABkcnMv&#10;ZTJvRG9jLnhtbFBLBQYAAAAABgAGAFkBAAAKBgAAAAA=&#10;">
                <v:fill on="f" focussize="0,0"/>
                <v:stroke on="f" weight="2pt"/>
                <v:imagedata o:title=""/>
                <o:lock v:ext="edit" aspectratio="f"/>
                <v:textbox>
                  <w:txbxContent>
                    <w:p w14:paraId="40C43BC6">
                      <w:pPr>
                        <w:rPr>
                          <w:rFonts w:hint="eastAsia" w:eastAsia="宋体"/>
                          <w:sz w:val="16"/>
                          <w:szCs w:val="20"/>
                          <w:lang w:val="en-US" w:eastAsia="zh-CN"/>
                        </w:rPr>
                      </w:pPr>
                      <w:r>
                        <w:rPr>
                          <w:rFonts w:hint="eastAsia"/>
                          <w:sz w:val="16"/>
                          <w:szCs w:val="20"/>
                          <w:lang w:val="en-US" w:eastAsia="zh-CN"/>
                        </w:rPr>
                        <w:t>调度室</w:t>
                      </w:r>
                    </w:p>
                  </w:txbxContent>
                </v:textbox>
              </v:shape>
            </w:pict>
          </mc:Fallback>
        </mc:AlternateContent>
      </w:r>
      <w:r>
        <w:rPr>
          <w:rFonts w:hint="eastAsia" w:ascii="仿宋_GB2312" w:hAnsi="仿宋_GB2312" w:eastAsia="仿宋_GB2312" w:cs="仿宋_GB2312"/>
          <w:color w:val="auto"/>
          <w:kern w:val="0"/>
          <w:sz w:val="28"/>
          <w:szCs w:val="28"/>
          <w:highlight w:val="none"/>
        </w:rPr>
        <w:t>图2矿井生产安全事故应急响应基本流程和主要步骤流程图</w:t>
      </w:r>
    </w:p>
    <w:p w14:paraId="32F960D4">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3.3.2 召开应急会议</w:t>
      </w:r>
    </w:p>
    <w:p w14:paraId="7E8F66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（1）调度室根据事故性质和</w:t>
      </w:r>
      <w:r>
        <w:rPr>
          <w:rFonts w:hint="eastAsia" w:ascii="仿宋_GB2312" w:hAnsi="仿宋_GB2312" w:eastAsia="仿宋_GB2312" w:cs="仿宋_GB2312"/>
          <w:color w:val="auto"/>
          <w:kern w:val="0"/>
          <w:sz w:val="28"/>
          <w:szCs w:val="28"/>
          <w:highlight w:val="none"/>
          <w:lang w:val="en-US" w:eastAsia="zh-CN"/>
        </w:rPr>
        <w:t>总指挥（被授权人）</w:t>
      </w:r>
      <w:r>
        <w:rPr>
          <w:rFonts w:hint="eastAsia" w:ascii="仿宋_GB2312" w:hAnsi="仿宋_GB2312" w:eastAsia="仿宋_GB2312" w:cs="仿宋_GB2312"/>
          <w:color w:val="auto"/>
          <w:kern w:val="0"/>
          <w:sz w:val="28"/>
          <w:szCs w:val="28"/>
          <w:highlight w:val="none"/>
        </w:rPr>
        <w:t>指令，立即通知指挥部成员、各救援专业组相关人员及有关单位、部门人员到调度室会议室参加应急会议（不能到达现场的可以通过视频等形式参加）。</w:t>
      </w:r>
    </w:p>
    <w:p w14:paraId="328F15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（2）应急会议由总指挥（授权人）主持召开，会议内容包括但不限于：</w:t>
      </w:r>
    </w:p>
    <w:p w14:paraId="394B3D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①通报生产安全事故情况；</w:t>
      </w:r>
    </w:p>
    <w:p w14:paraId="6B14540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②确定现场应急救援方案和应急处置措施；</w:t>
      </w:r>
    </w:p>
    <w:p w14:paraId="6CB043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③确定各应急救援专业组工作任务；</w:t>
      </w:r>
    </w:p>
    <w:p w14:paraId="3DB74D8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④判断所需调配的内外部应急资源；</w:t>
      </w:r>
    </w:p>
    <w:p w14:paraId="687AA0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⑤确定应急上报的有关部门和内容。</w:t>
      </w:r>
    </w:p>
    <w:p w14:paraId="2CAED8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（3）总指挥（授权人）根据事态发展及现场处置情况，适时召开后续应急会议。</w:t>
      </w:r>
    </w:p>
    <w:p w14:paraId="26C27D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（4）各应急救援专业组适时召开组内会议，落实组内工作任务，及时将会议情况及决定事项报告现场应急指挥部。</w:t>
      </w:r>
    </w:p>
    <w:p w14:paraId="79B16A59">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3.3.3 信息上报</w:t>
      </w:r>
    </w:p>
    <w:p w14:paraId="5477347B">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总经理是生产安全事故信息报告的第一责任人，对信息报送工作全面负责。事故报告应当及时、准确、完整，任何单位和个人对事故不得迟报、漏报、谎报或者瞒报。</w:t>
      </w:r>
    </w:p>
    <w:p w14:paraId="7C154E5A">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信息上报按本预案“3.1.1.4信息上报”的要求执行</w:t>
      </w:r>
    </w:p>
    <w:p w14:paraId="3EFB093E">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3.3.4 资源协调</w:t>
      </w:r>
    </w:p>
    <w:p w14:paraId="6A3BE6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根据事故性质和严重程度，按照应急预案提供的应急资源信息，经指挥部批准由</w:t>
      </w:r>
      <w:r>
        <w:rPr>
          <w:rFonts w:hint="eastAsia" w:ascii="仿宋_GB2312" w:hAnsi="仿宋_GB2312" w:eastAsia="仿宋_GB2312" w:cs="仿宋_GB2312"/>
          <w:color w:val="auto"/>
          <w:kern w:val="0"/>
          <w:sz w:val="28"/>
          <w:szCs w:val="28"/>
          <w:highlight w:val="none"/>
          <w:lang w:val="en-US" w:eastAsia="zh-CN"/>
        </w:rPr>
        <w:t>综合协调组协调专（兼）职应急救援队伍、医疗救护队伍、技术专家成员、警戒保卫人员等，按照分工展开救援工作。指挥部根据事故救援需要，及时调集各类应急救援物资和设备，必要时由指挥部提出申请外援</w:t>
      </w:r>
      <w:r>
        <w:rPr>
          <w:rFonts w:hint="eastAsia" w:ascii="仿宋_GB2312" w:hAnsi="仿宋_GB2312" w:eastAsia="仿宋_GB2312" w:cs="仿宋_GB2312"/>
          <w:color w:val="auto"/>
          <w:kern w:val="0"/>
          <w:sz w:val="28"/>
          <w:szCs w:val="28"/>
          <w:highlight w:val="none"/>
        </w:rPr>
        <w:t>。</w:t>
      </w:r>
    </w:p>
    <w:p w14:paraId="5A39243A">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3.3.5 信息公开</w:t>
      </w:r>
    </w:p>
    <w:p w14:paraId="5562493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信息发布组组长或授权专人，统一通报事故及救援等有关信息。</w:t>
      </w:r>
    </w:p>
    <w:p w14:paraId="775D36F1">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3.3.6 后勤保障</w:t>
      </w:r>
    </w:p>
    <w:p w14:paraId="024B9E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后勤保障组与物资供应组应根据应急会议工作安排及事故救援工作开展情况，做好后勤保障工作。做好救援人员生活、救援期间办公设施和车辆调度相关工作事宜，提前调集救援所需物资设备；做好伤亡或被困人员家属接待、食宿、车辆保障等工作。必要时，报请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能源集团或上级政府协调接待服务机构承担紧急接待任务和其它后勤保障工作。</w:t>
      </w:r>
    </w:p>
    <w:p w14:paraId="2AB56147">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3.3.7 财力保障</w:t>
      </w:r>
    </w:p>
    <w:p w14:paraId="35D762E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后勤保障组根据应急会议工作安排及指挥部指令，紧急调拔应急资金，保障应急救援资金及时到位。遇到资金困难应及时上报新矿内蒙古能源、新矿集团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能源集团进行协调解决。</w:t>
      </w:r>
    </w:p>
    <w:p w14:paraId="2561DF88">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63" w:name="_Toc369"/>
      <w:bookmarkStart w:id="64" w:name="_Toc30005"/>
      <w:bookmarkStart w:id="65" w:name="_Toc30414"/>
      <w:r>
        <w:rPr>
          <w:rFonts w:hint="eastAsia" w:ascii="楷体_GB2312" w:hAnsi="楷体_GB2312" w:eastAsia="楷体_GB2312" w:cs="楷体_GB2312"/>
          <w:bCs/>
          <w:color w:val="auto"/>
          <w:sz w:val="30"/>
          <w:szCs w:val="30"/>
          <w:highlight w:val="none"/>
        </w:rPr>
        <w:t>3.4 应急处置</w:t>
      </w:r>
      <w:bookmarkEnd w:id="63"/>
      <w:bookmarkEnd w:id="64"/>
      <w:bookmarkEnd w:id="65"/>
    </w:p>
    <w:p w14:paraId="442259B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应急处置工作应坚持以人为本、生命至上，科学施救原则，全力以赴抢救遇险人员，确保应急救援人员安全，防范次生、衍生事故的发生。</w:t>
      </w:r>
    </w:p>
    <w:p w14:paraId="716E7F6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指挥部是事故现场应急处置的最高决策指挥机构，实行总指挥负责制，全权指挥事故应急处置和救援工作。事故发生后，应立即启动应急响应，组织抢救遇险人员，控制事故危险源，封锁危险场所。要充分发挥专家组、现场管理人员、专业技术人员和救援队伍指挥员的作用，实行科学决策，杜绝盲目施救。</w:t>
      </w:r>
    </w:p>
    <w:p w14:paraId="0257025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事故发生后，要及时通知可能受到事故影响的人员撤离，准确统计事故发生地点及遇险人数、安全升井（撤离）人数，确定事故被困或下落不明人数、人员分布情况和可能被困地点，指挥救援人员快速、科学实施救援。</w:t>
      </w:r>
    </w:p>
    <w:p w14:paraId="2F6140F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各救援工作组在指挥部的统一指挥下，按照各自职责开展救援工作。指挥部办公室按指挥部指令协调各救援工作组之间的工作关系，督导救援工作落实情况，及时向指挥部汇报各救援工作组工作情况和救援进展情况。</w:t>
      </w:r>
    </w:p>
    <w:p w14:paraId="74CAE1D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专职救援队伍指挥员应参与制订救援方案，并组织实施救援。救援过程中，救援人员必须严格遵守各类安全规程，遇有突发情况危及救援人员安全时，救援队伍指挥员有权作出人员撤离等处置决定，并及时报告指挥部。</w:t>
      </w:r>
    </w:p>
    <w:p w14:paraId="5B8D29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5</w:t>
      </w:r>
      <w:r>
        <w:rPr>
          <w:rFonts w:hint="eastAsia" w:ascii="仿宋_GB2312" w:hAnsi="仿宋_GB2312" w:eastAsia="仿宋_GB2312" w:cs="仿宋_GB2312"/>
          <w:color w:val="auto"/>
          <w:kern w:val="0"/>
          <w:sz w:val="28"/>
          <w:szCs w:val="28"/>
          <w:highlight w:val="none"/>
        </w:rPr>
        <w:t>）若有多支应急救援队伍参加救援，指挥部应及时向参加救援的应急救援队伍提供相关技术资料和信息，加强协调联动。在救援过程中，因事故情况复杂、救援难度大等因素，发生可能直接威胁救援人员安全、造成次生、衍生事故等危险时，指挥部要组织专家充分论证，作出是否暂停或终止救援的决定。</w:t>
      </w:r>
    </w:p>
    <w:p w14:paraId="705A1892">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3.4.1 警戒疏散措施</w:t>
      </w:r>
    </w:p>
    <w:p w14:paraId="52816D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下发生事故或险情，根据《煤矿灾害情况发生重大变化及时报告和出现事故征兆等紧急情况及时撤人工作的通知》和“三分钟通知到井下”等要求，通过电话通知、口头引导、语音广播等方式，疏散引导现场人员安全、迅速、有序地撤出井下受事故影响区域；</w:t>
      </w:r>
    </w:p>
    <w:p w14:paraId="158A75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（2）事故影响区域外，在安全地点设置警戒岗哨、警戒线、划定警戒区，严格限制出入，防止无关人员进入事故现场。</w:t>
      </w:r>
    </w:p>
    <w:p w14:paraId="7439442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（3）地面发生事故或险情，立即疏散事故地点及受事故影响区域人员。</w:t>
      </w:r>
    </w:p>
    <w:p w14:paraId="4644C5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警戒保卫组要根据矿井周围的外部环境，调集足够警戒力量，分小组对通往井下或事故现场的各个通道实施警戒，对重点人员进行管控，非指挥部同意严禁入内。事故救援期间加强对重点地区、重点场所、重点人群、重要物资设备的防范保护，确保救援期间的救援秩序。</w:t>
      </w:r>
    </w:p>
    <w:p w14:paraId="502D97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（5）当事故可能危及周边安全时，及时向周边受影响区域政府部门通报情况，组织开展紧急疏散撤离。</w:t>
      </w:r>
    </w:p>
    <w:p w14:paraId="45F96E21">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3.4.2 人员搜救措施</w:t>
      </w:r>
    </w:p>
    <w:p w14:paraId="631DFB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区队、安全监察部、机电管理部要及时、准确统计事故发生时事故地点及井下的实际人数、安全升井（撤离）人数，确认灾区伤亡、被困或者下落不明人数，伤亡、被困人员或者下落不明分布情况和可能被困地点，以便救援人员有针对性实施有效救援。</w:t>
      </w:r>
    </w:p>
    <w:p w14:paraId="1A9C6B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确保救援人员安全的前提下，由专业救援队伍对涉险或被困人员进行搜救，及时将涉险或被困人员转移至安全地带。遇有突发情况危及救援人员安全时，救援队伍指挥员有权作出处置决定，并及时报告指挥部。</w:t>
      </w:r>
    </w:p>
    <w:p w14:paraId="4FAEF790">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3.4.3 医疗救治措施</w:t>
      </w:r>
    </w:p>
    <w:p w14:paraId="70B90EA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医疗救护组要根据事故性质调集有关医疗专家、专业医务人员和足够救护车辆，迅速赶赴事故现场对脱险人员实施医疗救护，或在地面待命等待救援，必要时下井进入现场实施紧急救治。</w:t>
      </w:r>
    </w:p>
    <w:p w14:paraId="7E586878">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3.4.4 现场监测措施</w:t>
      </w:r>
    </w:p>
    <w:p w14:paraId="5DD3631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1）事故发生后，指挥部应安排专业人员通过监测监控、人员定位、视频监控等系统对事故现场进行实时监测，出现异常情况，随时向指挥部汇报。</w:t>
      </w:r>
    </w:p>
    <w:p w14:paraId="3DF26B5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2）在抢险救援期间，</w:t>
      </w:r>
      <w:r>
        <w:rPr>
          <w:rFonts w:hint="eastAsia" w:ascii="仿宋_GB2312" w:hAnsi="仿宋_GB2312" w:eastAsia="仿宋_GB2312" w:cs="仿宋_GB2312"/>
          <w:color w:val="auto"/>
          <w:kern w:val="0"/>
          <w:sz w:val="28"/>
          <w:szCs w:val="28"/>
          <w:highlight w:val="none"/>
        </w:rPr>
        <w:t>专业救援队伍对现场有毒有害气体、可燃气体、氧气浓度、环境温度等指标进行现场监测，监测现场压力容器、液体容器有无跑冒滴漏或损伤，及时排除有毒有害气体或物质，确保救援人员和被困人员安全。</w:t>
      </w:r>
    </w:p>
    <w:p w14:paraId="6E1F90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监测监控系统损坏时，要尽快恢复灾区现场各类安全监测监控系统，做到对事故现场各种参数24小时连续不间断监测监控，为现场应急处置提供技术支撑。</w:t>
      </w:r>
    </w:p>
    <w:p w14:paraId="3FAD75C0">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3.4.5 技术支持措施</w:t>
      </w:r>
    </w:p>
    <w:p w14:paraId="6FBA9D5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事故类型、事态进展、救援技术难点，技术专家组协调内、外部技术资源，研究制定调整救援技术方案、安全技术措施，为抢险救援提供技术支持，为指挥部决策提供依据。必要时由应急救援指挥部报请新矿内蒙古能源、新矿集团、能源集团或地方政府部门给予技术支持。</w:t>
      </w:r>
    </w:p>
    <w:p w14:paraId="3177490E">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3.4.6 工程抢险措施</w:t>
      </w:r>
    </w:p>
    <w:p w14:paraId="35AD76D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）抢险救灾组根据事故类型、事态进展，调集专业抢险队伍、装备，按照应急处置和救援技术方案开展工程抢险，防止事态扩大。</w:t>
      </w:r>
    </w:p>
    <w:p w14:paraId="4A8E59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）物资供应组应根据事故性质提前调集救援所需物资，动态掌握救援物资设备运抵的位置和时间，保证在规定时间内调集运达到救援现场，满足应急处置和救援的需求。</w:t>
      </w:r>
    </w:p>
    <w:p w14:paraId="24BF4FF3">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3.4.7 环境保护措施</w:t>
      </w:r>
    </w:p>
    <w:p w14:paraId="7CCB99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发生及救援期间，指挥部应组织矿山救援队及相关监测人员对事故现场及影响区域等环境气体、水样等进行检测。事故救援过程中做好粉尘、矿井污水、危险废物、有毒有害气体等污染物排放的控制，发现造成环境污染时立即采取相关措施，尽量减少环境破坏。必要时，可委托有资质的环境检测等部门对环境污染进行检测、评估和治理。</w:t>
      </w:r>
    </w:p>
    <w:p w14:paraId="3D7C77C0">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3.4.8 人员防护措施</w:t>
      </w:r>
    </w:p>
    <w:p w14:paraId="1BAAB0D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）所有进入事故、涉险区域搜救人员，必须穿戴个人防护装备，无关人员不得进入事故、涉险区域。</w:t>
      </w:r>
    </w:p>
    <w:p w14:paraId="20FAF93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）矿山救援队救援人员应根据事故的类别、性质，采取相应的安全防护措施。进入事故、涉险区域时，应按《矿山救援规程》等相关规定，佩戴安全防护装备。</w:t>
      </w:r>
    </w:p>
    <w:p w14:paraId="539DA0C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）在抢险救援过程中，应持续监测事故、涉险区域气体成分、风流、温度、水位、支护情况等，适时采取防护措施。</w:t>
      </w:r>
    </w:p>
    <w:p w14:paraId="4035ED8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）优先使用智能救援设备进入事故、涉险区域进行侦察、监测、搜救。</w:t>
      </w:r>
    </w:p>
    <w:p w14:paraId="075DF8F3">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66" w:name="_Toc18344"/>
      <w:bookmarkStart w:id="67" w:name="_Toc7050"/>
      <w:bookmarkStart w:id="68" w:name="_Toc22794"/>
      <w:r>
        <w:rPr>
          <w:rFonts w:hint="eastAsia" w:ascii="楷体_GB2312" w:hAnsi="楷体_GB2312" w:eastAsia="楷体_GB2312" w:cs="楷体_GB2312"/>
          <w:bCs/>
          <w:color w:val="auto"/>
          <w:sz w:val="30"/>
          <w:szCs w:val="30"/>
          <w:highlight w:val="none"/>
        </w:rPr>
        <w:t>3.5 应急支援</w:t>
      </w:r>
      <w:bookmarkEnd w:id="66"/>
      <w:bookmarkEnd w:id="67"/>
      <w:bookmarkEnd w:id="68"/>
    </w:p>
    <w:p w14:paraId="2F98FF8E">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3.5.1 向外部力量请求支援程序及要求</w:t>
      </w:r>
    </w:p>
    <w:p w14:paraId="78F546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发生超出Ⅰ级应急响应范围，矿井不能有效处置的事故时；在应急处置过程中事态无法控制或事故不能及时控制有扩大趋势时，需扩大应急支援时由应急救援指挥部及时报请新矿内蒙古能源、新矿集团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能源集团或当地政府进行应急支援。</w:t>
      </w:r>
    </w:p>
    <w:p w14:paraId="00F9083B">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3.5.2 联动程序及要求</w:t>
      </w:r>
    </w:p>
    <w:p w14:paraId="598517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（1）在外部救援力量未到达矿井</w:t>
      </w:r>
      <w:r>
        <w:rPr>
          <w:rFonts w:hint="eastAsia" w:ascii="仿宋_GB2312" w:hAnsi="仿宋_GB2312" w:eastAsia="仿宋_GB2312" w:cs="仿宋_GB2312"/>
          <w:color w:val="auto"/>
          <w:kern w:val="0"/>
          <w:sz w:val="28"/>
          <w:szCs w:val="28"/>
          <w:highlight w:val="none"/>
          <w:lang w:eastAsia="zh-CN"/>
        </w:rPr>
        <w:t>时</w:t>
      </w:r>
      <w:r>
        <w:rPr>
          <w:rFonts w:hint="eastAsia" w:ascii="仿宋_GB2312" w:hAnsi="仿宋_GB2312" w:eastAsia="仿宋_GB2312" w:cs="仿宋_GB2312"/>
          <w:color w:val="auto"/>
          <w:kern w:val="0"/>
          <w:sz w:val="28"/>
          <w:szCs w:val="28"/>
          <w:highlight w:val="none"/>
        </w:rPr>
        <w:t>，本级预案中涉及的有关人员根据上级指令落实抢险任务，竭尽可能防止事故扩大；做好外部救援力量到达矿井的前期准备工作。</w:t>
      </w:r>
    </w:p>
    <w:p w14:paraId="3D627D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（2）外部力量到达后指挥部向到达现场的外部救援力量提供相关技术资料、事故及救援信息和已采取的处置方法</w:t>
      </w:r>
    </w:p>
    <w:p w14:paraId="68D15168">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（3）按照上级应急指挥部的指令，结合应急救援实际，合理划分各支救援单位负责区域、时段</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确定交接内容</w:t>
      </w:r>
      <w:r>
        <w:rPr>
          <w:rFonts w:hint="eastAsia" w:ascii="仿宋_GB2312" w:hAnsi="仿宋_GB2312" w:eastAsia="仿宋_GB2312" w:cs="仿宋_GB2312"/>
          <w:color w:val="auto"/>
          <w:kern w:val="0"/>
          <w:sz w:val="28"/>
          <w:szCs w:val="28"/>
          <w:highlight w:val="none"/>
          <w:lang w:eastAsia="zh-CN"/>
        </w:rPr>
        <w:t>。</w:t>
      </w:r>
    </w:p>
    <w:p w14:paraId="34C59C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）开通医疗单位绿色通道，提供受伤人数、伤情、事故类型等情况；在井口或井下设立医疗急救点，安排专人引导、接送伤员。</w:t>
      </w:r>
    </w:p>
    <w:p w14:paraId="36D125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3.5.3 指挥权移交</w:t>
      </w:r>
    </w:p>
    <w:p w14:paraId="5B236C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上级单位或上级政府应急指挥部成立后，</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应急救援指挥部指挥权移交给上级应急救援指挥部。本预案涉及的有关人员随时接受上级应急指挥部的指令，落实救援任务。</w:t>
      </w:r>
    </w:p>
    <w:p w14:paraId="30074935">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69" w:name="_Toc23351"/>
      <w:bookmarkStart w:id="70" w:name="_Toc6676"/>
      <w:r>
        <w:rPr>
          <w:rFonts w:hint="eastAsia" w:ascii="楷体_GB2312" w:hAnsi="楷体_GB2312" w:eastAsia="楷体_GB2312" w:cs="楷体_GB2312"/>
          <w:bCs/>
          <w:color w:val="auto"/>
          <w:sz w:val="30"/>
          <w:szCs w:val="30"/>
          <w:highlight w:val="none"/>
        </w:rPr>
        <w:t>3.6 响应终止</w:t>
      </w:r>
      <w:bookmarkEnd w:id="69"/>
      <w:bookmarkEnd w:id="70"/>
    </w:p>
    <w:p w14:paraId="73C1B7DC">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3.6.1 响应终止条件</w:t>
      </w:r>
    </w:p>
    <w:p w14:paraId="4A7ABAE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（1）事故造成的伤亡人员、被困或者下落不明人员搜救完毕并妥善安置；</w:t>
      </w:r>
    </w:p>
    <w:p w14:paraId="5717B0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（2）现场得以控制，危害不再发展，灾害不再扩大；</w:t>
      </w:r>
    </w:p>
    <w:p w14:paraId="7EC4EE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（3）次生、衍生事故隐患已经消除；</w:t>
      </w:r>
    </w:p>
    <w:p w14:paraId="2174299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（4）环境符合有关标准；</w:t>
      </w:r>
    </w:p>
    <w:p w14:paraId="1CBCBDC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（5）社会影响基本消除</w:t>
      </w:r>
      <w:r>
        <w:rPr>
          <w:rFonts w:hint="eastAsia" w:ascii="仿宋_GB2312" w:hAnsi="仿宋_GB2312" w:eastAsia="仿宋_GB2312" w:cs="仿宋_GB2312"/>
          <w:color w:val="auto"/>
          <w:kern w:val="0"/>
          <w:sz w:val="28"/>
          <w:szCs w:val="28"/>
          <w:highlight w:val="none"/>
          <w:lang w:eastAsia="zh-CN"/>
        </w:rPr>
        <w:t>。</w:t>
      </w:r>
    </w:p>
    <w:p w14:paraId="7F5F63E8">
      <w:pPr>
        <w:spacing w:line="44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3.6.2 响应终止要求</w:t>
      </w:r>
    </w:p>
    <w:p w14:paraId="6575535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在生产安全事故应急救援过程中，发现可能直接危及应急救援人员生命安全的紧急情况时，或因客观条件导致无法实施救援时，经专家组论证，应急指挥部提出暂停应急救援或响应终止的决定，必要时，报请上级政府批准同意。</w:t>
      </w:r>
    </w:p>
    <w:p w14:paraId="4701794C">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3.6.3 响应终止责任人</w:t>
      </w:r>
    </w:p>
    <w:p w14:paraId="76C177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应急响应终止由总指挥（授权人）宣布。</w:t>
      </w:r>
    </w:p>
    <w:p w14:paraId="19F7BBCF">
      <w:pPr>
        <w:spacing w:line="520" w:lineRule="exact"/>
        <w:ind w:firstLine="600" w:firstLineChars="200"/>
        <w:jc w:val="left"/>
        <w:outlineLvl w:val="0"/>
        <w:rPr>
          <w:rFonts w:ascii="黑体" w:hAnsi="黑体" w:eastAsia="黑体" w:cs="黑体"/>
          <w:bCs/>
          <w:color w:val="auto"/>
          <w:kern w:val="0"/>
          <w:sz w:val="30"/>
          <w:szCs w:val="30"/>
          <w:highlight w:val="none"/>
        </w:rPr>
      </w:pPr>
      <w:bookmarkStart w:id="71" w:name="_Toc4488"/>
      <w:bookmarkStart w:id="72" w:name="_Toc53229335"/>
      <w:bookmarkStart w:id="73" w:name="_Toc385833821"/>
      <w:bookmarkStart w:id="74" w:name="_Toc56"/>
      <w:bookmarkStart w:id="75" w:name="_Toc1544"/>
      <w:bookmarkStart w:id="76" w:name="_Toc3945"/>
      <w:bookmarkStart w:id="77" w:name="_Toc30996"/>
      <w:r>
        <w:rPr>
          <w:rFonts w:hint="eastAsia" w:ascii="黑体" w:hAnsi="黑体" w:eastAsia="黑体" w:cs="黑体"/>
          <w:bCs/>
          <w:color w:val="auto"/>
          <w:kern w:val="0"/>
          <w:sz w:val="30"/>
          <w:szCs w:val="30"/>
          <w:highlight w:val="none"/>
        </w:rPr>
        <w:t>4 后期处置</w:t>
      </w:r>
      <w:bookmarkEnd w:id="71"/>
      <w:bookmarkEnd w:id="72"/>
      <w:bookmarkEnd w:id="73"/>
      <w:bookmarkEnd w:id="74"/>
      <w:bookmarkEnd w:id="75"/>
      <w:bookmarkEnd w:id="76"/>
      <w:bookmarkEnd w:id="77"/>
    </w:p>
    <w:p w14:paraId="664E78D6">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78" w:name="_Toc14400"/>
      <w:bookmarkStart w:id="79" w:name="_Toc25456"/>
      <w:bookmarkStart w:id="80" w:name="_Toc17221"/>
      <w:bookmarkStart w:id="81" w:name="_Toc162208571"/>
      <w:bookmarkStart w:id="82" w:name="_Toc27947"/>
      <w:bookmarkStart w:id="83" w:name="_Toc19112"/>
      <w:bookmarkStart w:id="84" w:name="_Toc8588"/>
      <w:bookmarkStart w:id="85" w:name="_Toc15813"/>
      <w:r>
        <w:rPr>
          <w:rFonts w:hint="eastAsia" w:ascii="楷体_GB2312" w:hAnsi="楷体_GB2312" w:eastAsia="楷体_GB2312" w:cs="楷体_GB2312"/>
          <w:bCs/>
          <w:color w:val="auto"/>
          <w:sz w:val="30"/>
          <w:szCs w:val="30"/>
          <w:highlight w:val="none"/>
        </w:rPr>
        <w:t>4.1 事故情况上报事项</w:t>
      </w:r>
      <w:bookmarkEnd w:id="78"/>
      <w:bookmarkEnd w:id="79"/>
      <w:bookmarkEnd w:id="80"/>
      <w:bookmarkEnd w:id="81"/>
      <w:bookmarkEnd w:id="82"/>
      <w:bookmarkEnd w:id="83"/>
      <w:bookmarkEnd w:id="84"/>
    </w:p>
    <w:p w14:paraId="7E0B15F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应急响应结束后，应及时将经核实确定后的事故发生的时间、地点、性质、经过、事故类别、初步原因分析、救援过程、伤亡情况、经济损失等必要的事故相关情况，按规定上报相关行业安全监管监察部门。</w:t>
      </w:r>
    </w:p>
    <w:p w14:paraId="7AA0D4CB">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86" w:name="_Toc5047"/>
      <w:bookmarkStart w:id="87" w:name="_Toc162208572"/>
      <w:bookmarkStart w:id="88" w:name="_Toc19942"/>
      <w:bookmarkStart w:id="89" w:name="_Toc438196840"/>
      <w:bookmarkStart w:id="90" w:name="_Toc25550"/>
      <w:bookmarkStart w:id="91" w:name="_Toc28275"/>
      <w:bookmarkStart w:id="92" w:name="_Toc4778"/>
      <w:bookmarkStart w:id="93" w:name="_Toc18002"/>
      <w:r>
        <w:rPr>
          <w:rFonts w:hint="eastAsia" w:ascii="楷体_GB2312" w:hAnsi="楷体_GB2312" w:eastAsia="楷体_GB2312" w:cs="楷体_GB2312"/>
          <w:bCs/>
          <w:color w:val="auto"/>
          <w:sz w:val="30"/>
          <w:szCs w:val="30"/>
          <w:highlight w:val="none"/>
        </w:rPr>
        <w:t>4.2 向事故调查组移交的相关事项</w:t>
      </w:r>
      <w:bookmarkEnd w:id="86"/>
      <w:bookmarkEnd w:id="87"/>
      <w:bookmarkEnd w:id="88"/>
      <w:bookmarkEnd w:id="89"/>
      <w:bookmarkEnd w:id="90"/>
      <w:bookmarkEnd w:id="91"/>
      <w:bookmarkEnd w:id="92"/>
      <w:bookmarkEnd w:id="93"/>
    </w:p>
    <w:p w14:paraId="06E6FE4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根据事故调查组需求，及时将与事故相关的文件、规章制度、技术资料、图纸、物证等移交事故调查处理小组，并配合好事故调查工作。</w:t>
      </w:r>
    </w:p>
    <w:p w14:paraId="2DDEE7B2">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94" w:name="_Toc25903"/>
      <w:r>
        <w:rPr>
          <w:rFonts w:hint="eastAsia" w:ascii="楷体_GB2312" w:hAnsi="楷体_GB2312" w:eastAsia="楷体_GB2312" w:cs="楷体_GB2312"/>
          <w:bCs/>
          <w:color w:val="auto"/>
          <w:sz w:val="30"/>
          <w:szCs w:val="30"/>
          <w:highlight w:val="none"/>
        </w:rPr>
        <w:t>4.3 污染物处理</w:t>
      </w:r>
      <w:bookmarkEnd w:id="85"/>
      <w:bookmarkEnd w:id="94"/>
    </w:p>
    <w:p w14:paraId="74F0A0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安全监察部</w:t>
      </w:r>
      <w:r>
        <w:rPr>
          <w:rFonts w:hint="eastAsia" w:ascii="仿宋_GB2312" w:hAnsi="仿宋_GB2312" w:eastAsia="仿宋_GB2312" w:cs="仿宋_GB2312"/>
          <w:color w:val="auto"/>
          <w:kern w:val="0"/>
          <w:sz w:val="28"/>
          <w:szCs w:val="28"/>
          <w:highlight w:val="none"/>
          <w:lang w:val="en-US" w:eastAsia="zh-CN"/>
        </w:rPr>
        <w:t>牵头组织专业部室</w:t>
      </w:r>
      <w:r>
        <w:rPr>
          <w:rFonts w:hint="eastAsia" w:ascii="仿宋_GB2312" w:hAnsi="仿宋_GB2312" w:eastAsia="仿宋_GB2312" w:cs="仿宋_GB2312"/>
          <w:color w:val="auto"/>
          <w:kern w:val="0"/>
          <w:sz w:val="28"/>
          <w:szCs w:val="28"/>
          <w:highlight w:val="none"/>
        </w:rPr>
        <w:t>制定污染物收集、清理、处理方案和安全措施，各责任单位负责处理污染物，并参照相应污染物处理的国家及行业标准进行验收。</w:t>
      </w:r>
    </w:p>
    <w:p w14:paraId="5B297BCF">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95" w:name="_Toc14735"/>
      <w:bookmarkStart w:id="96" w:name="_Toc18673"/>
      <w:r>
        <w:rPr>
          <w:rFonts w:hint="eastAsia" w:ascii="楷体_GB2312" w:hAnsi="楷体_GB2312" w:eastAsia="楷体_GB2312" w:cs="楷体_GB2312"/>
          <w:bCs/>
          <w:color w:val="auto"/>
          <w:sz w:val="30"/>
          <w:szCs w:val="30"/>
          <w:highlight w:val="none"/>
        </w:rPr>
        <w:t>4.4 生产秩序恢复</w:t>
      </w:r>
      <w:bookmarkEnd w:id="95"/>
      <w:bookmarkEnd w:id="96"/>
    </w:p>
    <w:p w14:paraId="044772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生产秩序恢复前由总指挥组织制定复工复产方案和安全技术措施，组织排查治理事故隐患</w:t>
      </w:r>
      <w:bookmarkStart w:id="97" w:name="_Hlk109224141"/>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自查验收与</w:t>
      </w:r>
      <w:r>
        <w:rPr>
          <w:rFonts w:hint="eastAsia" w:ascii="仿宋_GB2312" w:hAnsi="仿宋_GB2312" w:eastAsia="仿宋_GB2312" w:cs="仿宋_GB2312"/>
          <w:color w:val="auto"/>
          <w:kern w:val="0"/>
          <w:sz w:val="28"/>
          <w:szCs w:val="28"/>
          <w:highlight w:val="none"/>
        </w:rPr>
        <w:t>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初步验收合格后</w:t>
      </w:r>
      <w:bookmarkEnd w:id="97"/>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报请地方政府煤矿安全监管部门验收，验收合格后，方可恢复生产。</w:t>
      </w:r>
    </w:p>
    <w:p w14:paraId="5AFB0370">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98" w:name="_Toc24587"/>
      <w:bookmarkStart w:id="99" w:name="_Toc10950"/>
      <w:r>
        <w:rPr>
          <w:rFonts w:hint="eastAsia" w:ascii="楷体_GB2312" w:hAnsi="楷体_GB2312" w:eastAsia="楷体_GB2312" w:cs="楷体_GB2312"/>
          <w:bCs/>
          <w:color w:val="auto"/>
          <w:sz w:val="30"/>
          <w:szCs w:val="30"/>
          <w:highlight w:val="none"/>
        </w:rPr>
        <w:t>4.</w:t>
      </w:r>
      <w:bookmarkStart w:id="100" w:name="_Hlk132617665"/>
      <w:r>
        <w:rPr>
          <w:rFonts w:hint="eastAsia" w:ascii="楷体_GB2312" w:hAnsi="楷体_GB2312" w:eastAsia="楷体_GB2312" w:cs="楷体_GB2312"/>
          <w:bCs/>
          <w:color w:val="auto"/>
          <w:sz w:val="30"/>
          <w:szCs w:val="30"/>
          <w:highlight w:val="none"/>
        </w:rPr>
        <w:t>5 人员安置</w:t>
      </w:r>
      <w:bookmarkEnd w:id="98"/>
      <w:bookmarkEnd w:id="99"/>
      <w:bookmarkEnd w:id="100"/>
    </w:p>
    <w:p w14:paraId="530A72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人员安置由善后处理组负责，党群工作部（纪委）、党委组织部（人力资源部）、运营管理部、财务管理部、治安保障中心、事故单位</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在善后处理组</w:t>
      </w:r>
      <w:r>
        <w:rPr>
          <w:rFonts w:hint="eastAsia" w:ascii="仿宋_GB2312" w:hAnsi="仿宋_GB2312" w:eastAsia="仿宋_GB2312" w:cs="仿宋_GB2312"/>
          <w:color w:val="auto"/>
          <w:kern w:val="0"/>
          <w:sz w:val="28"/>
          <w:szCs w:val="28"/>
          <w:highlight w:val="none"/>
          <w:lang w:val="en-US" w:eastAsia="zh-CN"/>
        </w:rPr>
        <w:t>组长（或被授权人）</w:t>
      </w:r>
      <w:r>
        <w:rPr>
          <w:rFonts w:hint="eastAsia" w:ascii="仿宋_GB2312" w:hAnsi="仿宋_GB2312" w:eastAsia="仿宋_GB2312" w:cs="仿宋_GB2312"/>
          <w:color w:val="auto"/>
          <w:kern w:val="0"/>
          <w:sz w:val="28"/>
          <w:szCs w:val="28"/>
          <w:highlight w:val="none"/>
        </w:rPr>
        <w:t>的带领下，根据有关标准制定赔偿方案，对受事故影响及遇难人员亲属进行安置、补偿，协助保险公司开展相关保险理赔；运营管理部法务人员负责相关法律咨询。同时，做好受伤员工的医疗救治，事故区域的卫生防疫工作</w:t>
      </w:r>
      <w:r>
        <w:rPr>
          <w:rFonts w:hint="eastAsia" w:ascii="仿宋_GB2312" w:hAnsi="仿宋_GB2312" w:eastAsia="仿宋_GB2312" w:cs="仿宋_GB2312"/>
          <w:color w:val="auto"/>
          <w:kern w:val="0"/>
          <w:sz w:val="28"/>
          <w:szCs w:val="28"/>
          <w:highlight w:val="none"/>
          <w:lang w:eastAsia="zh-CN"/>
        </w:rPr>
        <w:t>，做好遇险人员、遇难人员家属、救援人员的心理疏导、干预</w:t>
      </w:r>
      <w:r>
        <w:rPr>
          <w:rFonts w:hint="eastAsia" w:ascii="仿宋_GB2312" w:hAnsi="仿宋_GB2312" w:eastAsia="仿宋_GB2312" w:cs="仿宋_GB2312"/>
          <w:color w:val="auto"/>
          <w:kern w:val="0"/>
          <w:sz w:val="28"/>
          <w:szCs w:val="28"/>
          <w:highlight w:val="none"/>
        </w:rPr>
        <w:t>。</w:t>
      </w:r>
    </w:p>
    <w:p w14:paraId="0CEE5D23">
      <w:pPr>
        <w:spacing w:line="560" w:lineRule="exact"/>
        <w:ind w:firstLine="600" w:firstLineChars="200"/>
        <w:outlineLvl w:val="2"/>
        <w:rPr>
          <w:rFonts w:ascii="楷体_GB2312" w:hAnsi="楷体_GB2312" w:eastAsia="楷体_GB2312" w:cs="楷体_GB2312"/>
          <w:bCs/>
          <w:color w:val="auto"/>
          <w:sz w:val="30"/>
          <w:szCs w:val="30"/>
          <w:highlight w:val="none"/>
          <w:lang w:eastAsia="zh-TW"/>
        </w:rPr>
      </w:pPr>
      <w:bookmarkStart w:id="101" w:name="_Toc18418"/>
      <w:r>
        <w:rPr>
          <w:rFonts w:hint="eastAsia" w:ascii="楷体_GB2312" w:hAnsi="楷体_GB2312" w:eastAsia="楷体_GB2312" w:cs="楷体_GB2312"/>
          <w:bCs/>
          <w:color w:val="auto"/>
          <w:sz w:val="30"/>
          <w:szCs w:val="30"/>
          <w:highlight w:val="none"/>
        </w:rPr>
        <w:t xml:space="preserve">4.6 </w:t>
      </w:r>
      <w:r>
        <w:rPr>
          <w:rFonts w:hint="eastAsia" w:ascii="楷体_GB2312" w:hAnsi="楷体_GB2312" w:eastAsia="楷体_GB2312" w:cs="楷体_GB2312"/>
          <w:bCs/>
          <w:color w:val="auto"/>
          <w:sz w:val="30"/>
          <w:szCs w:val="30"/>
          <w:highlight w:val="none"/>
          <w:lang w:eastAsia="zh-TW"/>
        </w:rPr>
        <w:t>善后处理</w:t>
      </w:r>
      <w:bookmarkEnd w:id="101"/>
    </w:p>
    <w:p w14:paraId="676A118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善后处理组组织相关单位及部门，依据《山东省安全生产条例》《工伤保险条例》《社会保险法》等法律法规及规定做好善后处理工作。</w:t>
      </w:r>
    </w:p>
    <w:p w14:paraId="1258C7A1">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02" w:name="_Toc28716"/>
      <w:bookmarkStart w:id="103" w:name="_Toc27544"/>
      <w:r>
        <w:rPr>
          <w:rFonts w:hint="eastAsia" w:ascii="楷体_GB2312" w:hAnsi="楷体_GB2312" w:eastAsia="楷体_GB2312" w:cs="楷体_GB2312"/>
          <w:bCs/>
          <w:color w:val="auto"/>
          <w:sz w:val="30"/>
          <w:szCs w:val="30"/>
          <w:highlight w:val="none"/>
        </w:rPr>
        <w:t>4.7 应急救援工作</w:t>
      </w:r>
      <w:bookmarkEnd w:id="102"/>
      <w:r>
        <w:rPr>
          <w:rFonts w:hint="eastAsia" w:ascii="楷体_GB2312" w:hAnsi="楷体_GB2312" w:eastAsia="楷体_GB2312" w:cs="楷体_GB2312"/>
          <w:bCs/>
          <w:color w:val="auto"/>
          <w:sz w:val="30"/>
          <w:szCs w:val="30"/>
          <w:highlight w:val="none"/>
        </w:rPr>
        <w:t>总结</w:t>
      </w:r>
      <w:bookmarkEnd w:id="103"/>
    </w:p>
    <w:p w14:paraId="2574DD0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应急领导小组组织相关单位、部门，对抢险过程和应急救援能力等进行认真分析、评估和总结。各工作组根据救灾过程写出小组总结报告，应急救援指挥部要在各救援小组总结报告的基础上，写出综合应急救援总结报告，对应急预案的启动、决策、指挥、抢险救援和后勤保障等全过程进行评估，总结经验教训，提出改进意见和建议。事故应急救援总结评估报告内容包括：</w:t>
      </w:r>
    </w:p>
    <w:p w14:paraId="056272E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①</w:t>
      </w:r>
      <w:r>
        <w:rPr>
          <w:rFonts w:hint="eastAsia" w:ascii="仿宋_GB2312" w:hAnsi="仿宋_GB2312" w:eastAsia="仿宋_GB2312" w:cs="仿宋_GB2312"/>
          <w:color w:val="auto"/>
          <w:kern w:val="0"/>
          <w:sz w:val="28"/>
          <w:szCs w:val="28"/>
          <w:highlight w:val="none"/>
        </w:rPr>
        <w:t>事故基本情况；</w:t>
      </w:r>
    </w:p>
    <w:p w14:paraId="30B947B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②</w:t>
      </w:r>
      <w:r>
        <w:rPr>
          <w:rFonts w:hint="eastAsia" w:ascii="仿宋_GB2312" w:hAnsi="仿宋_GB2312" w:eastAsia="仿宋_GB2312" w:cs="仿宋_GB2312"/>
          <w:color w:val="auto"/>
          <w:kern w:val="0"/>
          <w:sz w:val="28"/>
          <w:szCs w:val="28"/>
          <w:highlight w:val="none"/>
        </w:rPr>
        <w:t>先期处置情况及事故信息接收、流转与报送情况；</w:t>
      </w:r>
    </w:p>
    <w:p w14:paraId="66CDE04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③</w:t>
      </w:r>
      <w:r>
        <w:rPr>
          <w:rFonts w:hint="eastAsia" w:ascii="仿宋_GB2312" w:hAnsi="仿宋_GB2312" w:eastAsia="仿宋_GB2312" w:cs="仿宋_GB2312"/>
          <w:color w:val="auto"/>
          <w:kern w:val="0"/>
          <w:sz w:val="28"/>
          <w:szCs w:val="28"/>
          <w:highlight w:val="none"/>
        </w:rPr>
        <w:t>应急预案实施情况；</w:t>
      </w:r>
    </w:p>
    <w:p w14:paraId="5A97B90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④</w:t>
      </w:r>
      <w:r>
        <w:rPr>
          <w:rFonts w:hint="eastAsia" w:ascii="仿宋_GB2312" w:hAnsi="仿宋_GB2312" w:eastAsia="仿宋_GB2312" w:cs="仿宋_GB2312"/>
          <w:color w:val="auto"/>
          <w:kern w:val="0"/>
          <w:sz w:val="28"/>
          <w:szCs w:val="28"/>
          <w:highlight w:val="none"/>
        </w:rPr>
        <w:t>组织指挥情况；</w:t>
      </w:r>
    </w:p>
    <w:p w14:paraId="131C1D0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⑤</w:t>
      </w:r>
      <w:r>
        <w:rPr>
          <w:rFonts w:hint="eastAsia" w:ascii="仿宋_GB2312" w:hAnsi="仿宋_GB2312" w:eastAsia="仿宋_GB2312" w:cs="仿宋_GB2312"/>
          <w:color w:val="auto"/>
          <w:kern w:val="0"/>
          <w:sz w:val="28"/>
          <w:szCs w:val="28"/>
          <w:highlight w:val="none"/>
        </w:rPr>
        <w:t>现场救援方案制定及执行情况；</w:t>
      </w:r>
    </w:p>
    <w:p w14:paraId="1750867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⑥</w:t>
      </w:r>
      <w:r>
        <w:rPr>
          <w:rFonts w:hint="eastAsia" w:ascii="仿宋_GB2312" w:hAnsi="仿宋_GB2312" w:eastAsia="仿宋_GB2312" w:cs="仿宋_GB2312"/>
          <w:color w:val="auto"/>
          <w:kern w:val="0"/>
          <w:sz w:val="28"/>
          <w:szCs w:val="28"/>
          <w:highlight w:val="none"/>
        </w:rPr>
        <w:t>现场应急救援队伍工作情况；</w:t>
      </w:r>
    </w:p>
    <w:p w14:paraId="43A2439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⑦</w:t>
      </w:r>
      <w:r>
        <w:rPr>
          <w:rFonts w:hint="eastAsia" w:ascii="仿宋_GB2312" w:hAnsi="仿宋_GB2312" w:eastAsia="仿宋_GB2312" w:cs="仿宋_GB2312"/>
          <w:color w:val="auto"/>
          <w:kern w:val="0"/>
          <w:sz w:val="28"/>
          <w:szCs w:val="28"/>
          <w:highlight w:val="none"/>
        </w:rPr>
        <w:t>现场管理和信息发布情况；</w:t>
      </w:r>
    </w:p>
    <w:p w14:paraId="5FA4AF6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⑧</w:t>
      </w:r>
      <w:r>
        <w:rPr>
          <w:rFonts w:hint="eastAsia" w:ascii="仿宋_GB2312" w:hAnsi="仿宋_GB2312" w:eastAsia="仿宋_GB2312" w:cs="仿宋_GB2312"/>
          <w:color w:val="auto"/>
          <w:kern w:val="0"/>
          <w:sz w:val="28"/>
          <w:szCs w:val="28"/>
          <w:highlight w:val="none"/>
        </w:rPr>
        <w:t>应急资源保障情况；</w:t>
      </w:r>
    </w:p>
    <w:p w14:paraId="72D8FC5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⑨</w:t>
      </w:r>
      <w:r>
        <w:rPr>
          <w:rFonts w:hint="eastAsia" w:ascii="仿宋_GB2312" w:hAnsi="仿宋_GB2312" w:eastAsia="仿宋_GB2312" w:cs="仿宋_GB2312"/>
          <w:color w:val="auto"/>
          <w:kern w:val="0"/>
          <w:sz w:val="28"/>
          <w:szCs w:val="28"/>
          <w:highlight w:val="none"/>
        </w:rPr>
        <w:t>防控环境影响措施的执行情况；</w:t>
      </w:r>
    </w:p>
    <w:p w14:paraId="5EC2BDC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⑩</w:t>
      </w:r>
      <w:r>
        <w:rPr>
          <w:rFonts w:hint="eastAsia" w:ascii="仿宋_GB2312" w:hAnsi="仿宋_GB2312" w:eastAsia="仿宋_GB2312" w:cs="仿宋_GB2312"/>
          <w:color w:val="auto"/>
          <w:kern w:val="0"/>
          <w:sz w:val="28"/>
          <w:szCs w:val="28"/>
          <w:highlight w:val="none"/>
        </w:rPr>
        <w:t>救援成效、经验和教训；</w:t>
      </w:r>
    </w:p>
    <w:p w14:paraId="6234DA4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微软雅黑" w:hAnsi="微软雅黑" w:eastAsia="微软雅黑" w:cs="微软雅黑"/>
          <w:color w:val="auto"/>
          <w:kern w:val="0"/>
          <w:sz w:val="28"/>
          <w:szCs w:val="28"/>
          <w:highlight w:val="none"/>
        </w:rPr>
        <w:t>⑪</w:t>
      </w:r>
      <w:r>
        <w:rPr>
          <w:rFonts w:hint="eastAsia" w:ascii="仿宋_GB2312" w:hAnsi="仿宋_GB2312" w:eastAsia="仿宋_GB2312" w:cs="仿宋_GB2312"/>
          <w:color w:val="auto"/>
          <w:kern w:val="0"/>
          <w:sz w:val="28"/>
          <w:szCs w:val="28"/>
          <w:highlight w:val="none"/>
        </w:rPr>
        <w:t>相关建议。</w:t>
      </w:r>
    </w:p>
    <w:p w14:paraId="668CD4C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（2）事故单位对于在救援中损耗的应急物资必须补充更换配备，始终保持完好状态，</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负责监督落实。</w:t>
      </w:r>
    </w:p>
    <w:p w14:paraId="00A8DEBB">
      <w:pPr>
        <w:spacing w:line="520" w:lineRule="exact"/>
        <w:ind w:firstLine="600" w:firstLineChars="200"/>
        <w:jc w:val="left"/>
        <w:outlineLvl w:val="0"/>
        <w:rPr>
          <w:rFonts w:ascii="黑体" w:hAnsi="黑体" w:eastAsia="黑体" w:cs="黑体"/>
          <w:bCs/>
          <w:color w:val="auto"/>
          <w:kern w:val="0"/>
          <w:sz w:val="30"/>
          <w:szCs w:val="30"/>
          <w:highlight w:val="none"/>
        </w:rPr>
      </w:pPr>
      <w:bookmarkStart w:id="104" w:name="_Toc26184"/>
      <w:r>
        <w:rPr>
          <w:rFonts w:ascii="黑体" w:hAnsi="黑体" w:eastAsia="黑体" w:cs="黑体"/>
          <w:bCs/>
          <w:color w:val="auto"/>
          <w:kern w:val="0"/>
          <w:sz w:val="30"/>
          <w:szCs w:val="30"/>
          <w:highlight w:val="none"/>
        </w:rPr>
        <w:t>5 应急保障</w:t>
      </w:r>
      <w:bookmarkEnd w:id="104"/>
    </w:p>
    <w:p w14:paraId="0EE67B5B">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05" w:name="_Toc7746"/>
      <w:r>
        <w:rPr>
          <w:rFonts w:ascii="楷体_GB2312" w:hAnsi="楷体_GB2312" w:eastAsia="楷体_GB2312" w:cs="楷体_GB2312"/>
          <w:bCs/>
          <w:color w:val="auto"/>
          <w:sz w:val="30"/>
          <w:szCs w:val="30"/>
          <w:highlight w:val="none"/>
        </w:rPr>
        <w:t>5.1 通信与信息保障</w:t>
      </w:r>
      <w:bookmarkEnd w:id="105"/>
    </w:p>
    <w:p w14:paraId="0D9309E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（1）井下信息保障</w:t>
      </w:r>
    </w:p>
    <w:p w14:paraId="06EDEE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机电管理部</w:t>
      </w:r>
      <w:r>
        <w:rPr>
          <w:rFonts w:ascii="仿宋_GB2312" w:hAnsi="仿宋_GB2312" w:eastAsia="仿宋_GB2312" w:cs="仿宋_GB2312"/>
          <w:color w:val="auto"/>
          <w:kern w:val="0"/>
          <w:sz w:val="28"/>
          <w:szCs w:val="28"/>
          <w:highlight w:val="none"/>
        </w:rPr>
        <w:t>建设了矿井调度通信系统、井下广播系统及人员定位系统，</w:t>
      </w:r>
      <w:r>
        <w:rPr>
          <w:rFonts w:hint="eastAsia" w:ascii="仿宋_GB2312" w:hAnsi="仿宋_GB2312" w:eastAsia="仿宋_GB2312" w:cs="仿宋_GB2312"/>
          <w:color w:val="auto"/>
          <w:kern w:val="0"/>
          <w:sz w:val="28"/>
          <w:szCs w:val="28"/>
          <w:highlight w:val="none"/>
          <w:lang w:val="en-US" w:eastAsia="zh-CN"/>
        </w:rPr>
        <w:t>机运工区</w:t>
      </w:r>
      <w:r>
        <w:rPr>
          <w:rFonts w:ascii="仿宋_GB2312" w:hAnsi="仿宋_GB2312" w:eastAsia="仿宋_GB2312" w:cs="仿宋_GB2312"/>
          <w:color w:val="auto"/>
          <w:kern w:val="0"/>
          <w:sz w:val="28"/>
          <w:szCs w:val="28"/>
          <w:highlight w:val="none"/>
        </w:rPr>
        <w:t>建立了通信线路和系统的保障</w:t>
      </w:r>
      <w:r>
        <w:rPr>
          <w:rFonts w:hint="eastAsia" w:ascii="仿宋_GB2312" w:hAnsi="仿宋_GB2312" w:eastAsia="仿宋_GB2312" w:cs="仿宋_GB2312"/>
          <w:color w:val="auto"/>
          <w:kern w:val="0"/>
          <w:sz w:val="28"/>
          <w:szCs w:val="28"/>
          <w:highlight w:val="none"/>
          <w:lang w:val="en-US" w:eastAsia="zh-CN"/>
        </w:rPr>
        <w:t>人员</w:t>
      </w:r>
      <w:r>
        <w:rPr>
          <w:rFonts w:ascii="仿宋_GB2312" w:hAnsi="仿宋_GB2312" w:eastAsia="仿宋_GB2312" w:cs="仿宋_GB2312"/>
          <w:color w:val="auto"/>
          <w:kern w:val="0"/>
          <w:sz w:val="28"/>
          <w:szCs w:val="28"/>
          <w:highlight w:val="none"/>
        </w:rPr>
        <w:t>，并设通讯备品备件，日常维护资源充足。调度通讯系统均具备群呼、组呼、强插、强拆及录音功能，紧急情况下可迅速通知井下人员</w:t>
      </w:r>
      <w:r>
        <w:rPr>
          <w:rFonts w:hint="eastAsia" w:ascii="仿宋_GB2312" w:hAnsi="仿宋_GB2312" w:eastAsia="仿宋_GB2312" w:cs="仿宋_GB2312"/>
          <w:color w:val="auto"/>
          <w:kern w:val="0"/>
          <w:sz w:val="28"/>
          <w:szCs w:val="28"/>
          <w:highlight w:val="none"/>
          <w:lang w:eastAsia="zh-CN"/>
        </w:rPr>
        <w:t>；</w:t>
      </w:r>
      <w:r>
        <w:rPr>
          <w:rFonts w:ascii="仿宋_GB2312" w:hAnsi="仿宋_GB2312" w:eastAsia="仿宋_GB2312" w:cs="仿宋_GB2312"/>
          <w:color w:val="auto"/>
          <w:kern w:val="0"/>
          <w:sz w:val="28"/>
          <w:szCs w:val="28"/>
          <w:highlight w:val="none"/>
        </w:rPr>
        <w:t>广播系统具备群呼、组呼功能，并与调度通信系统进行融合</w:t>
      </w:r>
      <w:r>
        <w:rPr>
          <w:rFonts w:hint="eastAsia" w:ascii="仿宋_GB2312" w:hAnsi="仿宋_GB2312" w:eastAsia="仿宋_GB2312" w:cs="仿宋_GB2312"/>
          <w:color w:val="auto"/>
          <w:kern w:val="0"/>
          <w:sz w:val="28"/>
          <w:szCs w:val="28"/>
          <w:highlight w:val="none"/>
          <w:lang w:eastAsia="zh-CN"/>
        </w:rPr>
        <w:t>；</w:t>
      </w:r>
      <w:r>
        <w:rPr>
          <w:rFonts w:ascii="仿宋_GB2312" w:hAnsi="仿宋_GB2312" w:eastAsia="仿宋_GB2312" w:cs="仿宋_GB2312"/>
          <w:color w:val="auto"/>
          <w:kern w:val="0"/>
          <w:sz w:val="28"/>
          <w:szCs w:val="28"/>
          <w:highlight w:val="none"/>
        </w:rPr>
        <w:t>人员定位系统按照精准定位进行系统建设。</w:t>
      </w:r>
    </w:p>
    <w:p w14:paraId="084FB70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（2）地面信息保障</w:t>
      </w:r>
    </w:p>
    <w:p w14:paraId="2866E80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①信息机房实现双路供电，并备有大容量ups后备电源。</w:t>
      </w:r>
    </w:p>
    <w:p w14:paraId="54EABB0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②信息机房配备通讯设备相关配件，在设备故障的时候可以随时更换，保证通讯的正常运行。</w:t>
      </w:r>
    </w:p>
    <w:p w14:paraId="72BFB06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③通信与信息保障部门、负责人的通讯联系方式，随单位、人员变化及时更新。</w:t>
      </w:r>
    </w:p>
    <w:p w14:paraId="48D94EA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（3）外部通讯保障</w:t>
      </w:r>
    </w:p>
    <w:p w14:paraId="3C583FF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①长城一矿与榆树井煤矿、长城六矿有环网保护，装有华三H3C S7503两套地面网络交换机为通讯系统提供链路保障，以避免因网络故障造成的通讯中断。</w:t>
      </w:r>
    </w:p>
    <w:p w14:paraId="30694BE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（4）应急通信与信息保障备用方案。</w:t>
      </w:r>
    </w:p>
    <w:p w14:paraId="7FD6901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矿井内部联通：通信电缆、光缆分别沿主斜井及副斜井、东区立井井筒敷设至井底汇接，互为备用。应急情况下，可利用非事故救援区域通讯、网络链路设施设备紧急联通、扩容事故救援区域相关通信、网络设备设施。</w:t>
      </w:r>
    </w:p>
    <w:p w14:paraId="69F5760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②矿井外部联通：协调外部资源，调用移动应急通信保障车进驻矿井救援现场。</w:t>
      </w:r>
    </w:p>
    <w:p w14:paraId="5752C99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③井下通讯联络备用方案：当事故发生后，事故地点井下通讯联络失效时，应采用敲击管路联络信号的求救方法与事故被困人员进行联络。</w:t>
      </w:r>
    </w:p>
    <w:p w14:paraId="2F99FF8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（5）应急通信与信息保障责任人：</w:t>
      </w: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信息中心负责人</w:t>
      </w:r>
      <w:r>
        <w:rPr>
          <w:rFonts w:hint="eastAsia" w:ascii="仿宋_GB2312" w:hAnsi="仿宋_GB2312" w:eastAsia="仿宋_GB2312" w:cs="仿宋_GB2312"/>
          <w:color w:val="auto"/>
          <w:kern w:val="0"/>
          <w:sz w:val="28"/>
          <w:szCs w:val="28"/>
          <w:highlight w:val="none"/>
          <w:lang w:val="en-US" w:eastAsia="zh-CN"/>
        </w:rPr>
        <w:t>闫延卿</w:t>
      </w:r>
      <w:r>
        <w:rPr>
          <w:rFonts w:ascii="仿宋_GB2312" w:hAnsi="仿宋_GB2312" w:eastAsia="仿宋_GB2312" w:cs="仿宋_GB2312"/>
          <w:color w:val="auto"/>
          <w:kern w:val="0"/>
          <w:sz w:val="28"/>
          <w:szCs w:val="28"/>
          <w:highlight w:val="none"/>
        </w:rPr>
        <w:t>，值班电话：0477-786</w:t>
      </w:r>
      <w:r>
        <w:rPr>
          <w:rFonts w:hint="eastAsia" w:ascii="仿宋_GB2312" w:hAnsi="仿宋_GB2312" w:eastAsia="仿宋_GB2312" w:cs="仿宋_GB2312"/>
          <w:color w:val="auto"/>
          <w:kern w:val="0"/>
          <w:sz w:val="28"/>
          <w:szCs w:val="28"/>
          <w:highlight w:val="none"/>
          <w:lang w:val="en-US" w:eastAsia="zh-CN"/>
        </w:rPr>
        <w:t>9388</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999399</w:t>
      </w:r>
      <w:r>
        <w:rPr>
          <w:rFonts w:hint="eastAsia" w:ascii="仿宋_GB2312" w:hAnsi="仿宋_GB2312" w:eastAsia="仿宋_GB2312" w:cs="仿宋_GB2312"/>
          <w:color w:val="auto"/>
          <w:kern w:val="0"/>
          <w:sz w:val="28"/>
          <w:szCs w:val="28"/>
          <w:highlight w:val="none"/>
          <w:lang w:eastAsia="zh-CN"/>
        </w:rPr>
        <w:t>）</w:t>
      </w:r>
      <w:r>
        <w:rPr>
          <w:rFonts w:ascii="仿宋_GB2312" w:hAnsi="仿宋_GB2312" w:eastAsia="仿宋_GB2312" w:cs="仿宋_GB2312"/>
          <w:color w:val="auto"/>
          <w:kern w:val="0"/>
          <w:sz w:val="28"/>
          <w:szCs w:val="28"/>
          <w:highlight w:val="none"/>
        </w:rPr>
        <w:t>。</w:t>
      </w:r>
    </w:p>
    <w:p w14:paraId="71B68686">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06" w:name="_Toc26006"/>
      <w:bookmarkStart w:id="107" w:name="_Toc53229338"/>
      <w:bookmarkStart w:id="108" w:name="_Toc1099"/>
      <w:bookmarkStart w:id="109" w:name="_Toc13154"/>
      <w:r>
        <w:rPr>
          <w:rFonts w:ascii="楷体_GB2312" w:hAnsi="楷体_GB2312" w:eastAsia="楷体_GB2312" w:cs="楷体_GB2312"/>
          <w:bCs/>
          <w:color w:val="auto"/>
          <w:sz w:val="30"/>
          <w:szCs w:val="30"/>
          <w:highlight w:val="none"/>
        </w:rPr>
        <w:t>5.2 应急队伍保障</w:t>
      </w:r>
      <w:bookmarkEnd w:id="106"/>
      <w:bookmarkEnd w:id="107"/>
      <w:bookmarkEnd w:id="108"/>
      <w:bookmarkEnd w:id="109"/>
    </w:p>
    <w:p w14:paraId="37AFC0A9">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5.2.1 专职应急救援队伍</w:t>
      </w:r>
    </w:p>
    <w:p w14:paraId="57FB537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山</w:t>
      </w:r>
      <w:r>
        <w:rPr>
          <w:rFonts w:hint="eastAsia" w:ascii="仿宋_GB2312" w:hAnsi="仿宋_GB2312" w:eastAsia="仿宋_GB2312" w:cs="仿宋_GB2312"/>
          <w:color w:val="auto"/>
          <w:kern w:val="0"/>
          <w:sz w:val="28"/>
          <w:szCs w:val="28"/>
          <w:highlight w:val="none"/>
          <w:lang w:val="en-US" w:eastAsia="zh-CN"/>
        </w:rPr>
        <w:t>能救护二大队驻地榆树井煤矿，</w:t>
      </w:r>
      <w:r>
        <w:rPr>
          <w:rFonts w:hint="eastAsia" w:ascii="仿宋_GB2312" w:hAnsi="仿宋_GB2312" w:eastAsia="仿宋_GB2312" w:cs="仿宋_GB2312"/>
          <w:color w:val="auto"/>
          <w:kern w:val="0"/>
          <w:sz w:val="28"/>
          <w:szCs w:val="28"/>
          <w:highlight w:val="none"/>
        </w:rPr>
        <w:t>距本矿1</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公里，可于30分钟内到达本矿。中心下设综合管理、战训工作两个部室及13加强中队。13中队目前共</w:t>
      </w:r>
      <w:r>
        <w:rPr>
          <w:rFonts w:hint="eastAsia" w:ascii="仿宋_GB2312" w:hAnsi="仿宋_GB2312" w:eastAsia="仿宋_GB2312" w:cs="仿宋_GB2312"/>
          <w:color w:val="auto"/>
          <w:kern w:val="0"/>
          <w:sz w:val="28"/>
          <w:szCs w:val="28"/>
          <w:highlight w:val="none"/>
          <w:lang w:val="en-US" w:eastAsia="zh-CN"/>
        </w:rPr>
        <w:t>42</w:t>
      </w:r>
      <w:r>
        <w:rPr>
          <w:rFonts w:hint="eastAsia" w:ascii="仿宋_GB2312" w:hAnsi="仿宋_GB2312" w:eastAsia="仿宋_GB2312" w:cs="仿宋_GB2312"/>
          <w:color w:val="auto"/>
          <w:kern w:val="0"/>
          <w:sz w:val="28"/>
          <w:szCs w:val="28"/>
          <w:highlight w:val="none"/>
        </w:rPr>
        <w:t>人，</w:t>
      </w:r>
      <w:r>
        <w:rPr>
          <w:rFonts w:hint="eastAsia" w:ascii="仿宋_GB2312" w:hAnsi="仿宋_GB2312" w:eastAsia="仿宋_GB2312" w:cs="仿宋_GB2312"/>
          <w:color w:val="auto"/>
          <w:kern w:val="0"/>
          <w:sz w:val="28"/>
          <w:szCs w:val="28"/>
          <w:highlight w:val="none"/>
          <w:lang w:val="en-US" w:eastAsia="zh-CN"/>
        </w:rPr>
        <w:t>设中队长1人，副中队长2人，技术员1人；下设4支救援小队，每支小队9人，每小队设正、副小队长各1人；另外，中队设有综合科室1个，共计2人，负责上级文件收发、综合战训、后勤保障等工作。</w:t>
      </w:r>
      <w:r>
        <w:rPr>
          <w:rFonts w:hint="eastAsia" w:ascii="仿宋_GB2312" w:hAnsi="仿宋_GB2312" w:eastAsia="仿宋_GB2312" w:cs="仿宋_GB2312"/>
          <w:color w:val="auto"/>
          <w:kern w:val="0"/>
          <w:sz w:val="28"/>
          <w:szCs w:val="28"/>
          <w:highlight w:val="none"/>
        </w:rPr>
        <w:t>目前榆树井驻地配有4辆救护车、1辆指挥车；救护管理中心配有较先进的救援装备、侦检装备、通讯装备和交通工具，主要承担长城一矿、二矿、三矿、五矿、六矿、榆树井、新上海一号的抢险救灾和安全技术服务任务。</w:t>
      </w:r>
    </w:p>
    <w:p w14:paraId="08DF1CFF">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5.2.2 兼职矿山救护队伍</w:t>
      </w:r>
    </w:p>
    <w:p w14:paraId="2B6520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兼职矿山救护队在册兼职矿山救护指战员</w:t>
      </w: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val="en-US" w:eastAsia="zh-CN"/>
        </w:rPr>
        <w:t>1</w:t>
      </w:r>
      <w:r>
        <w:rPr>
          <w:rFonts w:ascii="仿宋_GB2312" w:hAnsi="仿宋_GB2312" w:eastAsia="仿宋_GB2312" w:cs="仿宋_GB2312"/>
          <w:color w:val="auto"/>
          <w:kern w:val="0"/>
          <w:sz w:val="28"/>
          <w:szCs w:val="28"/>
          <w:highlight w:val="none"/>
        </w:rPr>
        <w:t>人，另配备专职</w:t>
      </w:r>
      <w:r>
        <w:rPr>
          <w:rFonts w:hint="eastAsia" w:ascii="仿宋_GB2312" w:hAnsi="仿宋_GB2312" w:eastAsia="仿宋_GB2312" w:cs="仿宋_GB2312"/>
          <w:color w:val="auto"/>
          <w:kern w:val="0"/>
          <w:sz w:val="28"/>
          <w:szCs w:val="28"/>
          <w:highlight w:val="none"/>
        </w:rPr>
        <w:t>装备管理员</w:t>
      </w:r>
      <w:r>
        <w:rPr>
          <w:rFonts w:ascii="仿宋_GB2312" w:hAnsi="仿宋_GB2312" w:eastAsia="仿宋_GB2312" w:cs="仿宋_GB2312"/>
          <w:color w:val="auto"/>
          <w:kern w:val="0"/>
          <w:sz w:val="28"/>
          <w:szCs w:val="28"/>
          <w:highlight w:val="none"/>
        </w:rPr>
        <w:t>1人</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设专职队长1人，</w:t>
      </w:r>
      <w:r>
        <w:rPr>
          <w:rFonts w:hint="eastAsia" w:ascii="仿宋_GB2312" w:hAnsi="仿宋_GB2312" w:eastAsia="仿宋_GB2312" w:cs="仿宋_GB2312"/>
          <w:color w:val="auto"/>
          <w:kern w:val="0"/>
          <w:sz w:val="28"/>
          <w:szCs w:val="28"/>
          <w:highlight w:val="none"/>
          <w:lang w:val="en-US" w:eastAsia="zh-CN"/>
        </w:rPr>
        <w:t>副队长1人，</w:t>
      </w:r>
      <w:r>
        <w:rPr>
          <w:rFonts w:hint="eastAsia" w:ascii="仿宋_GB2312" w:hAnsi="仿宋_GB2312" w:eastAsia="仿宋_GB2312" w:cs="仿宋_GB2312"/>
          <w:color w:val="auto"/>
          <w:kern w:val="0"/>
          <w:sz w:val="28"/>
          <w:szCs w:val="28"/>
          <w:highlight w:val="none"/>
        </w:rPr>
        <w:t>兼职</w:t>
      </w:r>
      <w:r>
        <w:rPr>
          <w:rFonts w:ascii="仿宋_GB2312" w:hAnsi="仿宋_GB2312" w:eastAsia="仿宋_GB2312" w:cs="仿宋_GB2312"/>
          <w:color w:val="auto"/>
          <w:kern w:val="0"/>
          <w:sz w:val="28"/>
          <w:szCs w:val="28"/>
          <w:highlight w:val="none"/>
        </w:rPr>
        <w:t>技术员</w:t>
      </w:r>
      <w:r>
        <w:rPr>
          <w:rFonts w:hint="eastAsia" w:ascii="仿宋_GB2312" w:hAnsi="仿宋_GB2312" w:eastAsia="仿宋_GB2312" w:cs="仿宋_GB2312"/>
          <w:color w:val="auto"/>
          <w:kern w:val="0"/>
          <w:sz w:val="28"/>
          <w:szCs w:val="28"/>
          <w:highlight w:val="none"/>
          <w:lang w:val="en-US" w:eastAsia="zh-CN"/>
        </w:rPr>
        <w:t>1</w:t>
      </w:r>
      <w:r>
        <w:rPr>
          <w:rFonts w:ascii="仿宋_GB2312" w:hAnsi="仿宋_GB2312" w:eastAsia="仿宋_GB2312" w:cs="仿宋_GB2312"/>
          <w:color w:val="auto"/>
          <w:kern w:val="0"/>
          <w:sz w:val="28"/>
          <w:szCs w:val="28"/>
          <w:highlight w:val="none"/>
        </w:rPr>
        <w:t>人。</w:t>
      </w:r>
      <w:r>
        <w:rPr>
          <w:rFonts w:hint="eastAsia" w:ascii="仿宋_GB2312" w:hAnsi="仿宋_GB2312" w:eastAsia="仿宋_GB2312" w:cs="仿宋_GB2312"/>
          <w:color w:val="auto"/>
          <w:kern w:val="0"/>
          <w:sz w:val="28"/>
          <w:szCs w:val="28"/>
          <w:highlight w:val="none"/>
        </w:rPr>
        <w:t>下设2个救护小队，每个小队由9人组成。</w:t>
      </w:r>
      <w:r>
        <w:rPr>
          <w:rFonts w:ascii="仿宋_GB2312" w:hAnsi="仿宋_GB2312" w:eastAsia="仿宋_GB2312" w:cs="仿宋_GB2312"/>
          <w:color w:val="auto"/>
          <w:kern w:val="0"/>
          <w:sz w:val="28"/>
          <w:szCs w:val="28"/>
          <w:highlight w:val="none"/>
        </w:rPr>
        <w:t>兼职矿山救护队实行专职队长负责制、队员“一岗双责”制管理，并由专职队长具体负责各项日常工作和管理。</w:t>
      </w:r>
    </w:p>
    <w:p w14:paraId="59A5ACE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兼职矿山救护队基本装备配备和救护队指战员个人基本装备配备按照《矿山救援规程》要求的技术装备配备标准配置。在管理上兼职救护队直属</w:t>
      </w:r>
      <w:r>
        <w:rPr>
          <w:rFonts w:hint="eastAsia" w:ascii="仿宋_GB2312" w:hAnsi="仿宋_GB2312" w:eastAsia="仿宋_GB2312" w:cs="仿宋_GB2312"/>
          <w:color w:val="auto"/>
          <w:kern w:val="0"/>
          <w:sz w:val="28"/>
          <w:szCs w:val="28"/>
          <w:highlight w:val="none"/>
        </w:rPr>
        <w:t>矿安全总监</w:t>
      </w:r>
      <w:r>
        <w:rPr>
          <w:rFonts w:ascii="仿宋_GB2312" w:hAnsi="仿宋_GB2312" w:eastAsia="仿宋_GB2312" w:cs="仿宋_GB2312"/>
          <w:color w:val="auto"/>
          <w:kern w:val="0"/>
          <w:sz w:val="28"/>
          <w:szCs w:val="28"/>
          <w:highlight w:val="none"/>
        </w:rPr>
        <w:t>领导，业务上受矿井签订救护技术服务协议的专业救护队指导。负责对矿井事故进行先期处置，能够协助专业矿山救护队处理矿井事故。</w:t>
      </w: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兼职救护队目前在册</w:t>
      </w: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val="en-US" w:eastAsia="zh-CN"/>
        </w:rPr>
        <w:t>1</w:t>
      </w:r>
      <w:r>
        <w:rPr>
          <w:rFonts w:ascii="仿宋_GB2312" w:hAnsi="仿宋_GB2312" w:eastAsia="仿宋_GB2312" w:cs="仿宋_GB2312"/>
          <w:color w:val="auto"/>
          <w:kern w:val="0"/>
          <w:sz w:val="28"/>
          <w:szCs w:val="28"/>
          <w:highlight w:val="none"/>
        </w:rPr>
        <w:t>人，均经过省级矿山救援指挥机构组织的培训，持证上岗。</w:t>
      </w:r>
    </w:p>
    <w:p w14:paraId="6D8A3B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兼职</w:t>
      </w:r>
      <w:r>
        <w:rPr>
          <w:rFonts w:hint="eastAsia" w:ascii="仿宋_GB2312" w:hAnsi="仿宋_GB2312" w:eastAsia="仿宋_GB2312" w:cs="仿宋_GB2312"/>
          <w:color w:val="auto"/>
          <w:kern w:val="0"/>
          <w:sz w:val="28"/>
          <w:szCs w:val="28"/>
          <w:highlight w:val="none"/>
        </w:rPr>
        <w:t>矿山</w:t>
      </w:r>
      <w:r>
        <w:rPr>
          <w:rFonts w:ascii="仿宋_GB2312" w:hAnsi="仿宋_GB2312" w:eastAsia="仿宋_GB2312" w:cs="仿宋_GB2312"/>
          <w:color w:val="auto"/>
          <w:kern w:val="0"/>
          <w:sz w:val="28"/>
          <w:szCs w:val="28"/>
          <w:highlight w:val="none"/>
        </w:rPr>
        <w:t>救护队主要装备配备情况：4h正压氧气呼吸器</w:t>
      </w:r>
      <w:r>
        <w:rPr>
          <w:rFonts w:hint="eastAsia" w:ascii="仿宋_GB2312" w:hAnsi="仿宋_GB2312" w:eastAsia="仿宋_GB2312" w:cs="仿宋_GB2312"/>
          <w:color w:val="auto"/>
          <w:kern w:val="0"/>
          <w:sz w:val="28"/>
          <w:szCs w:val="28"/>
          <w:highlight w:val="none"/>
        </w:rPr>
        <w:t>22</w:t>
      </w:r>
      <w:r>
        <w:rPr>
          <w:rFonts w:ascii="仿宋_GB2312" w:hAnsi="仿宋_GB2312" w:eastAsia="仿宋_GB2312" w:cs="仿宋_GB2312"/>
          <w:color w:val="auto"/>
          <w:kern w:val="0"/>
          <w:sz w:val="28"/>
          <w:szCs w:val="28"/>
          <w:highlight w:val="none"/>
        </w:rPr>
        <w:t>台、备用2h正压氧气呼吸器2台、自动苏生器2台、灾区电话和引路线一套、灭火器20台、个人防护装备</w:t>
      </w: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val="en-US" w:eastAsia="zh-CN"/>
        </w:rPr>
        <w:t>0</w:t>
      </w:r>
      <w:r>
        <w:rPr>
          <w:rFonts w:ascii="仿宋_GB2312" w:hAnsi="仿宋_GB2312" w:eastAsia="仿宋_GB2312" w:cs="仿宋_GB2312"/>
          <w:color w:val="auto"/>
          <w:kern w:val="0"/>
          <w:sz w:val="28"/>
          <w:szCs w:val="28"/>
          <w:highlight w:val="none"/>
        </w:rPr>
        <w:t>套、各类气体检测仪器、正压负压担架等应急救援装备。符合《矿山救援规程》兼职救护队装备配备标准要求，满足应急救援需要。</w:t>
      </w: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兼职</w:t>
      </w:r>
      <w:r>
        <w:rPr>
          <w:rFonts w:hint="eastAsia" w:ascii="仿宋_GB2312" w:hAnsi="仿宋_GB2312" w:eastAsia="仿宋_GB2312" w:cs="仿宋_GB2312"/>
          <w:color w:val="auto"/>
          <w:kern w:val="0"/>
          <w:sz w:val="28"/>
          <w:szCs w:val="28"/>
          <w:highlight w:val="none"/>
        </w:rPr>
        <w:t>矿山</w:t>
      </w:r>
      <w:r>
        <w:rPr>
          <w:rFonts w:ascii="仿宋_GB2312" w:hAnsi="仿宋_GB2312" w:eastAsia="仿宋_GB2312" w:cs="仿宋_GB2312"/>
          <w:color w:val="auto"/>
          <w:kern w:val="0"/>
          <w:sz w:val="28"/>
          <w:szCs w:val="28"/>
          <w:highlight w:val="none"/>
        </w:rPr>
        <w:t>救护队保持战备值班，接到通知后</w:t>
      </w:r>
      <w:r>
        <w:rPr>
          <w:rFonts w:hint="eastAsia" w:ascii="仿宋_GB2312" w:hAnsi="仿宋_GB2312" w:eastAsia="仿宋_GB2312" w:cs="仿宋_GB2312"/>
          <w:color w:val="auto"/>
          <w:kern w:val="0"/>
          <w:sz w:val="28"/>
          <w:szCs w:val="28"/>
          <w:highlight w:val="none"/>
        </w:rPr>
        <w:t>20</w:t>
      </w:r>
      <w:r>
        <w:rPr>
          <w:rFonts w:ascii="仿宋_GB2312" w:hAnsi="仿宋_GB2312" w:eastAsia="仿宋_GB2312" w:cs="仿宋_GB2312"/>
          <w:color w:val="auto"/>
          <w:kern w:val="0"/>
          <w:sz w:val="28"/>
          <w:szCs w:val="28"/>
          <w:highlight w:val="none"/>
        </w:rPr>
        <w:t>分钟到达集合地点。</w:t>
      </w:r>
    </w:p>
    <w:p w14:paraId="368EB8AA">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5.2.3 应急专家队伍</w:t>
      </w:r>
    </w:p>
    <w:p w14:paraId="338C820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建立了工程技术人员组成的应急救援专家队伍，覆盖了矿井灾害的各专业领域。（见附件5：</w:t>
      </w:r>
      <w:bookmarkStart w:id="110" w:name="OLE_LINK8"/>
      <w:bookmarkStart w:id="111" w:name="OLE_LINK9"/>
      <w:r>
        <w:rPr>
          <w:rFonts w:ascii="仿宋_GB2312" w:hAnsi="仿宋_GB2312" w:eastAsia="仿宋_GB2312" w:cs="仿宋_GB2312"/>
          <w:color w:val="auto"/>
          <w:kern w:val="0"/>
          <w:sz w:val="28"/>
          <w:szCs w:val="28"/>
          <w:highlight w:val="none"/>
        </w:rPr>
        <w:t>附</w:t>
      </w:r>
      <w:bookmarkEnd w:id="110"/>
      <w:bookmarkEnd w:id="111"/>
      <w:r>
        <w:rPr>
          <w:rFonts w:ascii="仿宋_GB2312" w:hAnsi="仿宋_GB2312" w:eastAsia="仿宋_GB2312" w:cs="仿宋_GB2312"/>
          <w:color w:val="auto"/>
          <w:kern w:val="0"/>
          <w:sz w:val="28"/>
          <w:szCs w:val="28"/>
          <w:highlight w:val="none"/>
        </w:rPr>
        <w:t>表</w:t>
      </w:r>
      <w:r>
        <w:rPr>
          <w:rFonts w:hint="eastAsia" w:ascii="仿宋_GB2312" w:hAnsi="仿宋_GB2312" w:eastAsia="仿宋_GB2312" w:cs="仿宋_GB2312"/>
          <w:color w:val="auto"/>
          <w:kern w:val="0"/>
          <w:sz w:val="28"/>
          <w:szCs w:val="28"/>
          <w:highlight w:val="none"/>
          <w:lang w:val="en-US" w:eastAsia="zh-CN"/>
        </w:rPr>
        <w:t>10</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附</w:t>
      </w:r>
      <w:r>
        <w:rPr>
          <w:rFonts w:hint="eastAsia" w:ascii="仿宋_GB2312" w:hAnsi="仿宋_GB2312" w:eastAsia="仿宋_GB2312" w:cs="仿宋_GB2312"/>
          <w:color w:val="auto"/>
          <w:kern w:val="0"/>
          <w:sz w:val="28"/>
          <w:szCs w:val="28"/>
          <w:highlight w:val="none"/>
        </w:rPr>
        <w:t>表1</w:t>
      </w:r>
      <w:r>
        <w:rPr>
          <w:rFonts w:hint="eastAsia" w:ascii="仿宋_GB2312" w:hAnsi="仿宋_GB2312" w:eastAsia="仿宋_GB2312" w:cs="仿宋_GB2312"/>
          <w:color w:val="auto"/>
          <w:kern w:val="0"/>
          <w:sz w:val="28"/>
          <w:szCs w:val="28"/>
          <w:highlight w:val="none"/>
          <w:lang w:val="en-US" w:eastAsia="zh-CN"/>
        </w:rPr>
        <w:t>1</w:t>
      </w:r>
      <w:r>
        <w:rPr>
          <w:rFonts w:ascii="仿宋_GB2312" w:hAnsi="仿宋_GB2312" w:eastAsia="仿宋_GB2312" w:cs="仿宋_GB2312"/>
          <w:color w:val="auto"/>
          <w:kern w:val="0"/>
          <w:sz w:val="28"/>
          <w:szCs w:val="28"/>
          <w:highlight w:val="none"/>
        </w:rPr>
        <w:t>）</w:t>
      </w:r>
    </w:p>
    <w:p w14:paraId="32E54090">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12" w:name="_Toc31254"/>
      <w:bookmarkStart w:id="113" w:name="_Toc23882"/>
      <w:bookmarkStart w:id="114" w:name="_Toc29926"/>
      <w:r>
        <w:rPr>
          <w:rFonts w:ascii="楷体_GB2312" w:hAnsi="楷体_GB2312" w:eastAsia="楷体_GB2312" w:cs="楷体_GB2312"/>
          <w:bCs/>
          <w:color w:val="auto"/>
          <w:sz w:val="30"/>
          <w:szCs w:val="30"/>
          <w:highlight w:val="none"/>
        </w:rPr>
        <w:t>5.3 应急物资装备保障</w:t>
      </w:r>
      <w:bookmarkEnd w:id="112"/>
      <w:bookmarkEnd w:id="113"/>
      <w:bookmarkEnd w:id="114"/>
    </w:p>
    <w:p w14:paraId="01E4263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井上</w:t>
      </w:r>
      <w:r>
        <w:rPr>
          <w:rFonts w:ascii="仿宋_GB2312" w:hAnsi="仿宋_GB2312" w:eastAsia="仿宋_GB2312" w:cs="仿宋_GB2312"/>
          <w:color w:val="auto"/>
          <w:kern w:val="0"/>
          <w:sz w:val="28"/>
          <w:szCs w:val="28"/>
          <w:highlight w:val="none"/>
        </w:rPr>
        <w:t>建立了</w:t>
      </w:r>
      <w:r>
        <w:rPr>
          <w:rFonts w:hint="eastAsia" w:ascii="仿宋_GB2312" w:hAnsi="仿宋_GB2312" w:eastAsia="仿宋_GB2312" w:cs="仿宋_GB2312"/>
          <w:color w:val="auto"/>
          <w:kern w:val="0"/>
          <w:sz w:val="28"/>
          <w:szCs w:val="28"/>
          <w:highlight w:val="none"/>
        </w:rPr>
        <w:t>“雨季三防”雨季三防</w:t>
      </w:r>
      <w:r>
        <w:rPr>
          <w:rFonts w:ascii="仿宋_GB2312" w:hAnsi="仿宋_GB2312" w:eastAsia="仿宋_GB2312" w:cs="仿宋_GB2312"/>
          <w:color w:val="auto"/>
          <w:kern w:val="0"/>
          <w:sz w:val="28"/>
          <w:szCs w:val="28"/>
          <w:highlight w:val="none"/>
        </w:rPr>
        <w:t>应急</w:t>
      </w:r>
      <w:r>
        <w:rPr>
          <w:rFonts w:hint="eastAsia" w:ascii="仿宋_GB2312" w:hAnsi="仿宋_GB2312" w:eastAsia="仿宋_GB2312" w:cs="仿宋_GB2312"/>
          <w:color w:val="auto"/>
          <w:kern w:val="0"/>
          <w:sz w:val="28"/>
          <w:szCs w:val="28"/>
          <w:highlight w:val="none"/>
        </w:rPr>
        <w:t>设备</w:t>
      </w:r>
      <w:r>
        <w:rPr>
          <w:rFonts w:ascii="仿宋_GB2312" w:hAnsi="仿宋_GB2312" w:eastAsia="仿宋_GB2312" w:cs="仿宋_GB2312"/>
          <w:color w:val="auto"/>
          <w:kern w:val="0"/>
          <w:sz w:val="28"/>
          <w:szCs w:val="28"/>
          <w:highlight w:val="none"/>
        </w:rPr>
        <w:t>库</w:t>
      </w:r>
      <w:r>
        <w:rPr>
          <w:rFonts w:hint="eastAsia" w:ascii="仿宋_GB2312" w:hAnsi="仿宋_GB2312" w:eastAsia="仿宋_GB2312" w:cs="仿宋_GB2312"/>
          <w:color w:val="auto"/>
          <w:kern w:val="0"/>
          <w:sz w:val="28"/>
          <w:szCs w:val="28"/>
          <w:highlight w:val="none"/>
        </w:rPr>
        <w:t>、井上消防材料库</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lang w:val="en-US" w:eastAsia="zh-CN"/>
        </w:rPr>
        <w:t>75</w:t>
      </w:r>
      <w:r>
        <w:rPr>
          <w:rFonts w:hint="eastAsia" w:ascii="仿宋_GB2312" w:hAnsi="仿宋_GB2312" w:eastAsia="仿宋_GB2312" w:cs="仿宋_GB2312"/>
          <w:color w:val="auto"/>
          <w:kern w:val="0"/>
          <w:sz w:val="28"/>
          <w:szCs w:val="28"/>
          <w:highlight w:val="none"/>
        </w:rPr>
        <w:t>0</w:t>
      </w:r>
      <w:r>
        <w:rPr>
          <w:rFonts w:ascii="仿宋_GB2312" w:hAnsi="仿宋_GB2312" w:eastAsia="仿宋_GB2312" w:cs="仿宋_GB2312"/>
          <w:color w:val="auto"/>
          <w:kern w:val="0"/>
          <w:sz w:val="28"/>
          <w:szCs w:val="28"/>
          <w:highlight w:val="none"/>
        </w:rPr>
        <w:t>m水平</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920水平</w:t>
      </w:r>
      <w:r>
        <w:rPr>
          <w:rFonts w:ascii="仿宋_GB2312" w:hAnsi="仿宋_GB2312" w:eastAsia="仿宋_GB2312" w:cs="仿宋_GB2312"/>
          <w:color w:val="auto"/>
          <w:kern w:val="0"/>
          <w:sz w:val="28"/>
          <w:szCs w:val="28"/>
          <w:highlight w:val="none"/>
        </w:rPr>
        <w:t>建立了井下</w:t>
      </w:r>
      <w:r>
        <w:rPr>
          <w:rFonts w:hint="eastAsia" w:ascii="仿宋_GB2312" w:hAnsi="仿宋_GB2312" w:eastAsia="仿宋_GB2312" w:cs="仿宋_GB2312"/>
          <w:color w:val="auto"/>
          <w:kern w:val="0"/>
          <w:sz w:val="28"/>
          <w:szCs w:val="28"/>
          <w:highlight w:val="none"/>
        </w:rPr>
        <w:t>消防</w:t>
      </w:r>
      <w:r>
        <w:rPr>
          <w:rFonts w:ascii="仿宋_GB2312" w:hAnsi="仿宋_GB2312" w:eastAsia="仿宋_GB2312" w:cs="仿宋_GB2312"/>
          <w:color w:val="auto"/>
          <w:kern w:val="0"/>
          <w:sz w:val="28"/>
          <w:szCs w:val="28"/>
          <w:highlight w:val="none"/>
        </w:rPr>
        <w:t>材料库</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应急设备及物资存放于设备库，地面各生产单位也建立了相应的应急救援物资库。各单位的应急物资和装备的基本情况、存放位置等。</w:t>
      </w:r>
      <w:r>
        <w:rPr>
          <w:rFonts w:hint="eastAsia" w:ascii="仿宋_GB2312" w:hAnsi="仿宋_GB2312" w:eastAsia="仿宋_GB2312" w:cs="仿宋_GB2312"/>
          <w:color w:val="auto"/>
          <w:kern w:val="0"/>
          <w:sz w:val="28"/>
          <w:szCs w:val="28"/>
          <w:highlight w:val="none"/>
        </w:rPr>
        <w:t>安排专人负责以上应急物资装备的管理工作，在现场建立台账进行记录，每月进行更新及补充。</w:t>
      </w:r>
      <w:r>
        <w:rPr>
          <w:rFonts w:ascii="仿宋_GB2312" w:hAnsi="仿宋_GB2312" w:eastAsia="仿宋_GB2312" w:cs="仿宋_GB2312"/>
          <w:color w:val="auto"/>
          <w:kern w:val="0"/>
          <w:sz w:val="28"/>
          <w:szCs w:val="28"/>
          <w:highlight w:val="none"/>
        </w:rPr>
        <w:t>（见附件4</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附</w:t>
      </w:r>
      <w:r>
        <w:rPr>
          <w:rFonts w:hint="eastAsia" w:ascii="仿宋_GB2312" w:hAnsi="仿宋_GB2312" w:eastAsia="仿宋_GB2312" w:cs="仿宋_GB2312"/>
          <w:color w:val="auto"/>
          <w:kern w:val="0"/>
          <w:sz w:val="28"/>
          <w:szCs w:val="28"/>
          <w:highlight w:val="none"/>
        </w:rPr>
        <w:t>表1</w:t>
      </w:r>
      <w:r>
        <w:rPr>
          <w:color w:val="auto"/>
          <w:kern w:val="0"/>
          <w:sz w:val="28"/>
          <w:szCs w:val="28"/>
          <w:highlight w:val="none"/>
        </w:rPr>
        <w:t>~</w:t>
      </w:r>
      <w:r>
        <w:rPr>
          <w:rFonts w:ascii="仿宋_GB2312" w:hAnsi="仿宋_GB2312" w:eastAsia="仿宋_GB2312" w:cs="仿宋_GB2312"/>
          <w:color w:val="auto"/>
          <w:kern w:val="0"/>
          <w:sz w:val="28"/>
          <w:szCs w:val="28"/>
          <w:highlight w:val="none"/>
        </w:rPr>
        <w:t>附</w:t>
      </w:r>
      <w:r>
        <w:rPr>
          <w:rFonts w:hint="eastAsia" w:ascii="仿宋_GB2312" w:hAnsi="仿宋_GB2312" w:eastAsia="仿宋_GB2312" w:cs="仿宋_GB2312"/>
          <w:color w:val="auto"/>
          <w:kern w:val="0"/>
          <w:sz w:val="28"/>
          <w:szCs w:val="28"/>
          <w:highlight w:val="none"/>
        </w:rPr>
        <w:t>表</w:t>
      </w:r>
      <w:r>
        <w:rPr>
          <w:rFonts w:hint="eastAsia" w:ascii="仿宋_GB2312" w:hAnsi="仿宋_GB2312" w:eastAsia="仿宋_GB2312" w:cs="仿宋_GB2312"/>
          <w:color w:val="auto"/>
          <w:kern w:val="0"/>
          <w:sz w:val="28"/>
          <w:szCs w:val="28"/>
          <w:highlight w:val="none"/>
          <w:lang w:val="en-US" w:eastAsia="zh-CN"/>
        </w:rPr>
        <w:t>4</w:t>
      </w:r>
      <w:r>
        <w:rPr>
          <w:rFonts w:ascii="仿宋_GB2312" w:hAnsi="仿宋_GB2312" w:eastAsia="仿宋_GB2312" w:cs="仿宋_GB2312"/>
          <w:color w:val="auto"/>
          <w:kern w:val="0"/>
          <w:sz w:val="28"/>
          <w:szCs w:val="28"/>
          <w:highlight w:val="none"/>
        </w:rPr>
        <w:t>）</w:t>
      </w:r>
    </w:p>
    <w:p w14:paraId="4B36C168">
      <w:pPr>
        <w:spacing w:line="440" w:lineRule="exact"/>
        <w:ind w:firstLine="560" w:firstLineChars="200"/>
        <w:rPr>
          <w:rFonts w:ascii="仿宋_GB2312" w:hAnsi="仿宋_GB2312" w:eastAsia="仿宋_GB2312" w:cs="仿宋_GB2312"/>
          <w:color w:val="auto"/>
          <w:kern w:val="0"/>
          <w:sz w:val="30"/>
          <w:szCs w:val="30"/>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w:t>
      </w:r>
      <w:r>
        <w:rPr>
          <w:rFonts w:ascii="仿宋_GB2312" w:hAnsi="仿宋_GB2312" w:eastAsia="仿宋_GB2312" w:cs="仿宋_GB2312"/>
          <w:color w:val="auto"/>
          <w:kern w:val="0"/>
          <w:sz w:val="28"/>
          <w:szCs w:val="28"/>
          <w:highlight w:val="none"/>
        </w:rPr>
        <w:t>相邻各矿井均建有应急救援物资和设备储备仓库，必要时可以申请</w:t>
      </w:r>
      <w:r>
        <w:rPr>
          <w:rFonts w:hint="eastAsia" w:ascii="仿宋_GB2312" w:hAnsi="仿宋_GB2312" w:eastAsia="仿宋_GB2312" w:cs="仿宋_GB2312"/>
          <w:color w:val="auto"/>
          <w:kern w:val="0"/>
          <w:sz w:val="28"/>
          <w:szCs w:val="28"/>
          <w:highlight w:val="none"/>
        </w:rPr>
        <w:t>新矿</w:t>
      </w:r>
      <w:r>
        <w:rPr>
          <w:rFonts w:ascii="仿宋_GB2312" w:hAnsi="仿宋_GB2312" w:eastAsia="仿宋_GB2312" w:cs="仿宋_GB2312"/>
          <w:color w:val="auto"/>
          <w:kern w:val="0"/>
          <w:sz w:val="28"/>
          <w:szCs w:val="28"/>
          <w:highlight w:val="none"/>
        </w:rPr>
        <w:t>内蒙</w:t>
      </w:r>
      <w:r>
        <w:rPr>
          <w:rFonts w:hint="eastAsia" w:ascii="仿宋_GB2312" w:hAnsi="仿宋_GB2312" w:eastAsia="仿宋_GB2312" w:cs="仿宋_GB2312"/>
          <w:color w:val="auto"/>
          <w:kern w:val="0"/>
          <w:sz w:val="28"/>
          <w:szCs w:val="28"/>
          <w:highlight w:val="none"/>
        </w:rPr>
        <w:t>古</w:t>
      </w:r>
      <w:r>
        <w:rPr>
          <w:rFonts w:ascii="仿宋_GB2312" w:hAnsi="仿宋_GB2312" w:eastAsia="仿宋_GB2312" w:cs="仿宋_GB2312"/>
          <w:color w:val="auto"/>
          <w:kern w:val="0"/>
          <w:sz w:val="28"/>
          <w:szCs w:val="28"/>
          <w:highlight w:val="none"/>
        </w:rPr>
        <w:t>能源紧急调用。储备资源不能满足救灾需要时，由指挥部及时请求</w:t>
      </w:r>
      <w:r>
        <w:rPr>
          <w:rFonts w:hint="eastAsia" w:ascii="仿宋_GB2312" w:hAnsi="仿宋_GB2312" w:eastAsia="仿宋_GB2312" w:cs="仿宋_GB2312"/>
          <w:color w:val="auto"/>
          <w:kern w:val="0"/>
          <w:sz w:val="28"/>
          <w:szCs w:val="28"/>
          <w:highlight w:val="none"/>
        </w:rPr>
        <w:t>新矿内蒙古能源有限责任公司、</w:t>
      </w:r>
      <w:r>
        <w:rPr>
          <w:rFonts w:ascii="仿宋_GB2312" w:hAnsi="仿宋_GB2312" w:eastAsia="仿宋_GB2312" w:cs="仿宋_GB2312"/>
          <w:color w:val="auto"/>
          <w:kern w:val="0"/>
          <w:sz w:val="28"/>
          <w:szCs w:val="28"/>
          <w:highlight w:val="none"/>
        </w:rPr>
        <w:t>新汶矿业集团有限责任公司或地方政府支援。</w:t>
      </w:r>
    </w:p>
    <w:p w14:paraId="5880C45E">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15" w:name="_Toc618"/>
      <w:bookmarkStart w:id="116" w:name="_Toc3105"/>
      <w:bookmarkStart w:id="117" w:name="_Toc2705"/>
      <w:r>
        <w:rPr>
          <w:rFonts w:ascii="楷体_GB2312" w:hAnsi="楷体_GB2312" w:eastAsia="楷体_GB2312" w:cs="楷体_GB2312"/>
          <w:bCs/>
          <w:color w:val="auto"/>
          <w:sz w:val="30"/>
          <w:szCs w:val="30"/>
          <w:highlight w:val="none"/>
        </w:rPr>
        <w:t>5.4 其他保障</w:t>
      </w:r>
      <w:bookmarkEnd w:id="115"/>
      <w:bookmarkEnd w:id="116"/>
      <w:bookmarkEnd w:id="117"/>
    </w:p>
    <w:p w14:paraId="4A06CD86">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5.4.1 能源保障</w:t>
      </w:r>
    </w:p>
    <w:p w14:paraId="64C23F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地面供电系统</w:t>
      </w:r>
    </w:p>
    <w:p w14:paraId="3E375459">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矿井10kV配电系统采用放射式馈出，引自矿井西区35kV箱式变电站10kV母线。</w:t>
      </w:r>
    </w:p>
    <w:p w14:paraId="6FEA088A">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主斜井井口房变配电室、副斜井提升机房变配电室、通风机房配电室、空压机房配电室、工业场地水处理站10/0.4kV箱变、锅炉房10/0.4kV变电所均采用双回路供电，单身宿舍箱变为单回路供电。</w:t>
      </w:r>
    </w:p>
    <w:p w14:paraId="615A53EC">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主斜井井口房变配电室设KYN28-12型高压开关柜17台担负着主斜井胶带运输机的供配电。副斜井提升机房变配电室、通风机房配电室、空压机房配电室等变配电室均采用现有的供配电设备，担负现有副斜井提升机、通风机、压风机等用电设备负荷的供配电。</w:t>
      </w:r>
    </w:p>
    <w:p w14:paraId="76811F0B">
      <w:pPr>
        <w:spacing w:line="440" w:lineRule="exact"/>
        <w:ind w:firstLine="560" w:firstLineChars="200"/>
        <w:rPr>
          <w:rFonts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lang w:val="en-US" w:eastAsia="zh-CN"/>
        </w:rPr>
        <w:t>东区副立井提升机房变配电室、东区通风机房配电室、东区空压机房配电室均采用双回路供电，东区制氮机房采用单回路供电，其电源均引自东区10kV变电所。副立井提升机房变配电室内设全数字直流提升机电控装置1套主要担负着副立井提升机的供配电。东区通风机房配电室内设KYN28-12型高压开关柜13台，主要担负通风机的供配电。东区空压机房配电室内设KYN28-12型高压开关柜14台，主要担负压风机、锅炉房、日用消防水泵房、井口房等地面低压供配电。东区制氮机房变电所设KYN28-12型高压开关柜6台，主要供制氮机房本身供电</w:t>
      </w:r>
      <w:r>
        <w:rPr>
          <w:rFonts w:ascii="仿宋_GB2312" w:hAnsi="仿宋_GB2312" w:eastAsia="仿宋_GB2312" w:cs="仿宋_GB2312"/>
          <w:color w:val="auto"/>
          <w:kern w:val="0"/>
          <w:sz w:val="28"/>
          <w:szCs w:val="28"/>
          <w:highlight w:val="none"/>
        </w:rPr>
        <w:t>。</w:t>
      </w:r>
    </w:p>
    <w:p w14:paraId="561CDBB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井下供电系统</w:t>
      </w:r>
    </w:p>
    <w:p w14:paraId="7AAB882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1.入井电源</w:t>
      </w:r>
    </w:p>
    <w:p w14:paraId="2B358C6F">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10kV下井电缆共6回，其中西区4回，东区2回。西区下井电缆引自矿井西区35kV箱式变电站10kV不同母线段，其中2回下井电缆经主斜井敷设至西区井下+ 920水平中央变电所，电缆选用MYJV22-8.7/10kV3×185mm2矿用交联聚乙烯绝缘钢带铠装聚氯乙烯护套电力电缆。其中2回下井电缆经主斜井敷设至西区井下+ 650水平中央变电所，电缆选用MYJV22-8.7/10kV3×120mm2矿用交联聚乙烯绝缘钢带铠装聚氯乙烯护套电力电缆。东区2回下井电缆引自矿井西区35kV箱式变电站10kV不同母线段，两回从西区向东区直接埋地敷设至东区副立井，经副立井至副立井井底中央变电所，电缆选用MYJV42(22)-8.7/10kV 3×240mm2矿用交联聚乙烯绝缘钢带铠装聚氯乙烯护套电力电缆。</w:t>
      </w:r>
    </w:p>
    <w:p w14:paraId="138C0F4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2.井下主要变电所、配电点</w:t>
      </w:r>
    </w:p>
    <w:p w14:paraId="541951DD">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井下设+920中央变电所、+650中央变电所、+750中央变电所、五采区变电所，井下另外设有采掘工作面配电点等。为井下水泵房、带式输送机配电点、提升机（绞车）配电点、架空乘人装置配电点、采掘工作面等相关区域负荷供电。</w:t>
      </w:r>
    </w:p>
    <w:p w14:paraId="70D7F0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采区供电</w:t>
      </w:r>
    </w:p>
    <w:p w14:paraId="128ECE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设+750采区变电所一个，双回路供电，两趟电缆分别引自+750中央变电所10kVⅠ、Ⅱ段母线，两回路电缆沿+750大巷敷设，I回路采用MYJV22-10kV/3×70mm2-1200m交联聚乙烯绝缘钢丝铠装高压电缆，II回路采用MYJV22-10kV/3×70mm2-1200m交联聚乙烯绝缘钢丝铠装高压电缆</w:t>
      </w:r>
      <w:r>
        <w:rPr>
          <w:rFonts w:ascii="仿宋_GB2312" w:hAnsi="仿宋_GB2312" w:eastAsia="仿宋_GB2312" w:cs="仿宋_GB2312"/>
          <w:color w:val="auto"/>
          <w:kern w:val="0"/>
          <w:sz w:val="28"/>
          <w:szCs w:val="28"/>
          <w:highlight w:val="none"/>
        </w:rPr>
        <w:t>。</w:t>
      </w:r>
    </w:p>
    <w:p w14:paraId="2581D1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（4）应急电源</w:t>
      </w:r>
    </w:p>
    <w:p w14:paraId="4DF650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为提高矿井供电的安全可靠性，长城一矿配置一台柴油发电机组（常用功率为2400kW、输出电压为10.5kV），当矿井双回路进线电源停电的情况下，启动应急电源车向副井提升机供电，将井下人员快速提升出井</w:t>
      </w:r>
      <w:r>
        <w:rPr>
          <w:rFonts w:ascii="仿宋_GB2312" w:hAnsi="仿宋_GB2312" w:eastAsia="仿宋_GB2312" w:cs="仿宋_GB2312"/>
          <w:color w:val="auto"/>
          <w:kern w:val="0"/>
          <w:sz w:val="28"/>
          <w:szCs w:val="28"/>
          <w:highlight w:val="none"/>
        </w:rPr>
        <w:t>。</w:t>
      </w:r>
    </w:p>
    <w:p w14:paraId="5206FD17">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5.4.2 经费保障</w:t>
      </w:r>
    </w:p>
    <w:p w14:paraId="0250505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（1）应急专项经费来源。安全生产事故应急救援资金从安全生产费用中列支，应急费用不低于300万元，</w:t>
      </w:r>
      <w:r>
        <w:rPr>
          <w:rFonts w:hint="eastAsia" w:ascii="仿宋_GB2312" w:hAnsi="仿宋_GB2312" w:eastAsia="仿宋_GB2312" w:cs="仿宋_GB2312"/>
          <w:color w:val="auto"/>
          <w:kern w:val="0"/>
          <w:sz w:val="28"/>
          <w:szCs w:val="28"/>
          <w:highlight w:val="none"/>
        </w:rPr>
        <w:t>财务管理部</w:t>
      </w:r>
      <w:r>
        <w:rPr>
          <w:rFonts w:ascii="仿宋_GB2312" w:hAnsi="仿宋_GB2312" w:eastAsia="仿宋_GB2312" w:cs="仿宋_GB2312"/>
          <w:color w:val="auto"/>
          <w:kern w:val="0"/>
          <w:sz w:val="28"/>
          <w:szCs w:val="28"/>
          <w:highlight w:val="none"/>
        </w:rPr>
        <w:t>确保费用及时到位。</w:t>
      </w:r>
    </w:p>
    <w:p w14:paraId="505BF71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（2）使用范围。主要用于生产安全事故的应急救援。</w:t>
      </w:r>
    </w:p>
    <w:p w14:paraId="7CE80C5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（3）监督管理。应急救援储备金应做到专款专用。由纪委（监察）部门监督使用，并保证资金到位。</w:t>
      </w:r>
    </w:p>
    <w:p w14:paraId="4697F970">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5.4.3 交通运输保障</w:t>
      </w:r>
    </w:p>
    <w:p w14:paraId="4E2BE7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负责安排</w:t>
      </w:r>
      <w:r>
        <w:rPr>
          <w:rFonts w:hint="eastAsia" w:ascii="仿宋_GB2312" w:hAnsi="仿宋_GB2312" w:eastAsia="仿宋_GB2312" w:cs="仿宋_GB2312"/>
          <w:color w:val="auto"/>
          <w:kern w:val="0"/>
          <w:sz w:val="28"/>
          <w:szCs w:val="28"/>
          <w:highlight w:val="none"/>
          <w:lang w:eastAsia="zh-CN"/>
        </w:rPr>
        <w:t>机运工区</w:t>
      </w:r>
      <w:r>
        <w:rPr>
          <w:rFonts w:hint="eastAsia" w:ascii="仿宋_GB2312" w:hAnsi="仿宋_GB2312" w:eastAsia="仿宋_GB2312" w:cs="仿宋_GB2312"/>
          <w:color w:val="auto"/>
          <w:kern w:val="0"/>
          <w:sz w:val="28"/>
          <w:szCs w:val="28"/>
          <w:highlight w:val="none"/>
        </w:rPr>
        <w:t>组织</w:t>
      </w:r>
      <w:r>
        <w:rPr>
          <w:rFonts w:ascii="仿宋_GB2312" w:hAnsi="仿宋_GB2312" w:eastAsia="仿宋_GB2312" w:cs="仿宋_GB2312"/>
          <w:color w:val="auto"/>
          <w:kern w:val="0"/>
          <w:sz w:val="28"/>
          <w:szCs w:val="28"/>
          <w:highlight w:val="none"/>
        </w:rPr>
        <w:t>井下人员的救援运输任务，物资供应组负责安排井上运送人员、救援物资的运输车辆的应急使用。</w:t>
      </w:r>
      <w:r>
        <w:rPr>
          <w:rFonts w:hint="eastAsia" w:ascii="仿宋_GB2312" w:hAnsi="仿宋_GB2312" w:eastAsia="仿宋_GB2312" w:cs="仿宋_GB2312"/>
          <w:color w:val="auto"/>
          <w:kern w:val="0"/>
          <w:sz w:val="28"/>
          <w:szCs w:val="28"/>
          <w:highlight w:val="none"/>
          <w:lang w:eastAsia="zh-CN"/>
        </w:rPr>
        <w:t>机运工区</w:t>
      </w:r>
      <w:r>
        <w:rPr>
          <w:rFonts w:ascii="仿宋_GB2312" w:hAnsi="仿宋_GB2312" w:eastAsia="仿宋_GB2312" w:cs="仿宋_GB2312"/>
          <w:color w:val="auto"/>
          <w:kern w:val="0"/>
          <w:sz w:val="28"/>
          <w:szCs w:val="28"/>
          <w:highlight w:val="none"/>
        </w:rPr>
        <w:t>接到调度中心通知后立即响应，</w:t>
      </w:r>
      <w:r>
        <w:rPr>
          <w:rFonts w:hint="eastAsia" w:ascii="仿宋_GB2312" w:hAnsi="仿宋_GB2312" w:eastAsia="仿宋_GB2312" w:cs="仿宋_GB2312"/>
          <w:color w:val="auto"/>
          <w:kern w:val="0"/>
          <w:sz w:val="28"/>
          <w:szCs w:val="28"/>
          <w:highlight w:val="none"/>
          <w:lang w:val="en-US" w:eastAsia="zh-CN"/>
        </w:rPr>
        <w:t>矿井</w:t>
      </w:r>
      <w:r>
        <w:rPr>
          <w:rFonts w:hint="eastAsia" w:ascii="仿宋_GB2312" w:hAnsi="仿宋_GB2312" w:eastAsia="仿宋_GB2312" w:cs="仿宋_GB2312"/>
          <w:color w:val="auto"/>
          <w:kern w:val="0"/>
          <w:sz w:val="28"/>
          <w:szCs w:val="28"/>
          <w:highlight w:val="none"/>
        </w:rPr>
        <w:t>轨道停止物料提升，</w:t>
      </w:r>
      <w:r>
        <w:rPr>
          <w:rFonts w:ascii="仿宋_GB2312" w:hAnsi="仿宋_GB2312" w:eastAsia="仿宋_GB2312" w:cs="仿宋_GB2312"/>
          <w:color w:val="auto"/>
          <w:kern w:val="0"/>
          <w:sz w:val="28"/>
          <w:szCs w:val="28"/>
          <w:highlight w:val="none"/>
        </w:rPr>
        <w:t>事故抢险必经路线挂好人行车，</w:t>
      </w:r>
      <w:r>
        <w:rPr>
          <w:rFonts w:hint="eastAsia" w:ascii="仿宋_GB2312" w:hAnsi="仿宋_GB2312" w:eastAsia="仿宋_GB2312" w:cs="仿宋_GB2312"/>
          <w:color w:val="auto"/>
          <w:kern w:val="0"/>
          <w:sz w:val="28"/>
          <w:szCs w:val="28"/>
          <w:highlight w:val="none"/>
        </w:rPr>
        <w:t>副立井</w:t>
      </w:r>
      <w:r>
        <w:rPr>
          <w:rFonts w:ascii="仿宋_GB2312" w:hAnsi="仿宋_GB2312" w:eastAsia="仿宋_GB2312" w:cs="仿宋_GB2312"/>
          <w:color w:val="auto"/>
          <w:kern w:val="0"/>
          <w:sz w:val="28"/>
          <w:szCs w:val="28"/>
          <w:highlight w:val="none"/>
        </w:rPr>
        <w:t>司机停止</w:t>
      </w:r>
      <w:r>
        <w:rPr>
          <w:rFonts w:hint="eastAsia" w:ascii="仿宋_GB2312" w:hAnsi="仿宋_GB2312" w:eastAsia="仿宋_GB2312" w:cs="仿宋_GB2312"/>
          <w:color w:val="auto"/>
          <w:kern w:val="0"/>
          <w:sz w:val="28"/>
          <w:szCs w:val="28"/>
          <w:highlight w:val="none"/>
        </w:rPr>
        <w:t>物料提升</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全力提升人员及应急所需物资</w:t>
      </w:r>
      <w:r>
        <w:rPr>
          <w:rFonts w:ascii="仿宋_GB2312" w:hAnsi="仿宋_GB2312" w:eastAsia="仿宋_GB2312" w:cs="仿宋_GB2312"/>
          <w:color w:val="auto"/>
          <w:kern w:val="0"/>
          <w:sz w:val="28"/>
          <w:szCs w:val="28"/>
          <w:highlight w:val="none"/>
        </w:rPr>
        <w:t>。</w:t>
      </w:r>
    </w:p>
    <w:p w14:paraId="348F851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地面运输由物资供应组负责调用车辆参与应急救援。</w:t>
      </w:r>
    </w:p>
    <w:p w14:paraId="63544AB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矿山救护队和医疗救护车辆配用专用警灯、警笛，事故发生地由</w:t>
      </w:r>
      <w:r>
        <w:rPr>
          <w:rFonts w:hint="eastAsia" w:ascii="仿宋_GB2312" w:hAnsi="仿宋_GB2312" w:eastAsia="仿宋_GB2312" w:cs="仿宋_GB2312"/>
          <w:color w:val="auto"/>
          <w:kern w:val="0"/>
          <w:sz w:val="28"/>
          <w:szCs w:val="28"/>
          <w:highlight w:val="none"/>
        </w:rPr>
        <w:t>安全监察部和</w:t>
      </w:r>
      <w:r>
        <w:rPr>
          <w:rFonts w:ascii="仿宋_GB2312" w:hAnsi="仿宋_GB2312" w:eastAsia="仿宋_GB2312" w:cs="仿宋_GB2312"/>
          <w:color w:val="auto"/>
          <w:kern w:val="0"/>
          <w:sz w:val="28"/>
          <w:szCs w:val="28"/>
          <w:highlight w:val="none"/>
        </w:rPr>
        <w:t>治安保障中心负责对事故现场进行保护，设置行车行人导向，开设应急救援特别通道，最大限度地赢得应急救援时间。</w:t>
      </w:r>
    </w:p>
    <w:p w14:paraId="7DBE4D81">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5.4.4 治安保障</w:t>
      </w:r>
    </w:p>
    <w:p w14:paraId="1FE7A15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事故发生后，由</w:t>
      </w:r>
      <w:r>
        <w:rPr>
          <w:rFonts w:hint="eastAsia" w:ascii="仿宋_GB2312" w:hAnsi="仿宋_GB2312" w:eastAsia="仿宋_GB2312" w:cs="仿宋_GB2312"/>
          <w:color w:val="auto"/>
          <w:kern w:val="0"/>
          <w:sz w:val="28"/>
          <w:szCs w:val="28"/>
          <w:highlight w:val="none"/>
        </w:rPr>
        <w:t>综合服务中心</w:t>
      </w:r>
      <w:r>
        <w:rPr>
          <w:rFonts w:ascii="仿宋_GB2312" w:hAnsi="仿宋_GB2312" w:eastAsia="仿宋_GB2312" w:cs="仿宋_GB2312"/>
          <w:color w:val="auto"/>
          <w:kern w:val="0"/>
          <w:sz w:val="28"/>
          <w:szCs w:val="28"/>
          <w:highlight w:val="none"/>
        </w:rPr>
        <w:t>负责安排人员维护矿井工作秩序和道路交通；控制下井人员，无关人员不准下井。事故应急救援期间，治安保障中心负责人员疏散、戒严和维持秩序等工作，必要时邀请地方公安部门协助。</w:t>
      </w:r>
    </w:p>
    <w:p w14:paraId="3AE1C0C2">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5.4.5 技术保障</w:t>
      </w:r>
    </w:p>
    <w:p w14:paraId="067AA3E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应急救援技术保障以矿井各专业技术专家队伍为主为矿井事故应急救援提供技术保障，事故应急救援期间，负责研究制定抢险救灾技术方案和措施，解决事故抢救过程中遇到的技术难题。必要时，根据不同事故类型和严重程度，应急救援指挥部请求</w:t>
      </w:r>
      <w:r>
        <w:rPr>
          <w:rFonts w:hint="eastAsia" w:ascii="仿宋_GB2312" w:hAnsi="仿宋_GB2312" w:eastAsia="仿宋_GB2312" w:cs="仿宋_GB2312"/>
          <w:color w:val="auto"/>
          <w:kern w:val="0"/>
          <w:sz w:val="28"/>
          <w:szCs w:val="28"/>
          <w:highlight w:val="none"/>
        </w:rPr>
        <w:t>新矿内蒙古能源</w:t>
      </w:r>
      <w:r>
        <w:rPr>
          <w:rFonts w:ascii="仿宋_GB2312" w:hAnsi="仿宋_GB2312" w:eastAsia="仿宋_GB2312" w:cs="仿宋_GB2312"/>
          <w:color w:val="auto"/>
          <w:kern w:val="0"/>
          <w:sz w:val="28"/>
          <w:szCs w:val="28"/>
          <w:highlight w:val="none"/>
        </w:rPr>
        <w:t>公司</w:t>
      </w:r>
      <w:r>
        <w:rPr>
          <w:rFonts w:hint="eastAsia" w:ascii="仿宋_GB2312" w:hAnsi="仿宋_GB2312" w:eastAsia="仿宋_GB2312" w:cs="仿宋_GB2312"/>
          <w:color w:val="auto"/>
          <w:kern w:val="0"/>
          <w:sz w:val="28"/>
          <w:szCs w:val="28"/>
          <w:highlight w:val="none"/>
        </w:rPr>
        <w:t>、新矿集团和地方政府</w:t>
      </w:r>
      <w:r>
        <w:rPr>
          <w:rFonts w:ascii="仿宋_GB2312" w:hAnsi="仿宋_GB2312" w:eastAsia="仿宋_GB2312" w:cs="仿宋_GB2312"/>
          <w:color w:val="auto"/>
          <w:kern w:val="0"/>
          <w:sz w:val="28"/>
          <w:szCs w:val="28"/>
          <w:highlight w:val="none"/>
        </w:rPr>
        <w:t>委派技术专家支援。（见附件5</w:t>
      </w:r>
      <w:r>
        <w:rPr>
          <w:rFonts w:hint="eastAsia" w:ascii="仿宋_GB2312" w:hAnsi="仿宋_GB2312" w:eastAsia="仿宋_GB2312" w:cs="仿宋_GB2312"/>
          <w:color w:val="auto"/>
          <w:kern w:val="0"/>
          <w:sz w:val="28"/>
          <w:szCs w:val="28"/>
          <w:highlight w:val="none"/>
        </w:rPr>
        <w:t>：附表10</w:t>
      </w:r>
      <w:r>
        <w:rPr>
          <w:rFonts w:ascii="仿宋_GB2312" w:hAnsi="仿宋_GB2312" w:eastAsia="仿宋_GB2312" w:cs="仿宋_GB2312"/>
          <w:color w:val="auto"/>
          <w:kern w:val="0"/>
          <w:sz w:val="28"/>
          <w:szCs w:val="28"/>
          <w:highlight w:val="none"/>
        </w:rPr>
        <w:t>）</w:t>
      </w:r>
    </w:p>
    <w:p w14:paraId="57DF7D0B">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5.4.6 医疗保障</w:t>
      </w:r>
    </w:p>
    <w:p w14:paraId="38C8354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在煤矿井口设立了“井口保健站”，安排专职医务人员负责矿井日常医疗服务。矿井发生事故后，根据事故性质是否决定医务人员下井急救遇险人员，同时备有急救药箱等相关应急救援设施和药品。</w:t>
      </w:r>
    </w:p>
    <w:p w14:paraId="471CF7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本矿与</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hint="eastAsia" w:ascii="仿宋_GB2312" w:hAnsi="仿宋_GB2312" w:eastAsia="仿宋_GB2312" w:cs="仿宋_GB2312"/>
          <w:color w:val="auto"/>
          <w:kern w:val="0"/>
          <w:sz w:val="28"/>
          <w:szCs w:val="28"/>
          <w:highlight w:val="none"/>
        </w:rPr>
        <w:t>签订有医疗救护协议。</w:t>
      </w:r>
      <w:bookmarkStart w:id="118" w:name="__RefHeading___Toc18932"/>
      <w:bookmarkEnd w:id="118"/>
      <w:r>
        <w:rPr>
          <w:rFonts w:hint="eastAsia" w:ascii="仿宋_GB2312" w:hAnsi="仿宋_GB2312" w:eastAsia="仿宋_GB2312" w:cs="仿宋_GB2312"/>
          <w:color w:val="auto"/>
          <w:kern w:val="0"/>
          <w:sz w:val="28"/>
          <w:szCs w:val="28"/>
          <w:highlight w:val="none"/>
        </w:rPr>
        <w:t>距离矿井1</w:t>
      </w:r>
      <w:r>
        <w:rPr>
          <w:rFonts w:hint="eastAsia" w:ascii="仿宋_GB2312" w:hAnsi="仿宋_GB2312" w:eastAsia="仿宋_GB2312" w:cs="仿宋_GB2312"/>
          <w:color w:val="auto"/>
          <w:kern w:val="0"/>
          <w:sz w:val="28"/>
          <w:szCs w:val="28"/>
          <w:highlight w:val="none"/>
          <w:lang w:val="en-US" w:eastAsia="zh-CN"/>
        </w:rPr>
        <w:t>7.5</w:t>
      </w:r>
      <w:r>
        <w:rPr>
          <w:rFonts w:hint="eastAsia" w:ascii="仿宋_GB2312" w:hAnsi="仿宋_GB2312" w:eastAsia="仿宋_GB2312" w:cs="仿宋_GB2312"/>
          <w:color w:val="auto"/>
          <w:kern w:val="0"/>
          <w:sz w:val="28"/>
          <w:szCs w:val="28"/>
          <w:highlight w:val="none"/>
        </w:rPr>
        <w:t>公里，一旦发生事故，医护人员及相应设施在30分钟内赶到</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能够快速</w:t>
      </w:r>
      <w:r>
        <w:rPr>
          <w:rFonts w:hint="eastAsia" w:ascii="仿宋_GB2312" w:hAnsi="仿宋_GB2312" w:eastAsia="仿宋_GB2312" w:cs="仿宋_GB2312"/>
          <w:color w:val="auto"/>
          <w:kern w:val="0"/>
          <w:sz w:val="28"/>
          <w:szCs w:val="28"/>
          <w:highlight w:val="none"/>
          <w:lang w:eastAsia="zh-CN"/>
        </w:rPr>
        <w:t>到达事故现场</w:t>
      </w:r>
      <w:r>
        <w:rPr>
          <w:rFonts w:ascii="仿宋_GB2312" w:hAnsi="仿宋_GB2312" w:eastAsia="仿宋_GB2312" w:cs="仿宋_GB2312"/>
          <w:color w:val="auto"/>
          <w:kern w:val="0"/>
          <w:sz w:val="28"/>
          <w:szCs w:val="28"/>
          <w:highlight w:val="none"/>
        </w:rPr>
        <w:t>，提供</w:t>
      </w:r>
      <w:r>
        <w:rPr>
          <w:rFonts w:hint="eastAsia" w:ascii="仿宋_GB2312" w:hAnsi="仿宋_GB2312" w:eastAsia="仿宋_GB2312" w:cs="仿宋_GB2312"/>
          <w:color w:val="auto"/>
          <w:kern w:val="0"/>
          <w:sz w:val="28"/>
          <w:szCs w:val="28"/>
          <w:highlight w:val="none"/>
        </w:rPr>
        <w:t>医疗救护</w:t>
      </w:r>
      <w:r>
        <w:rPr>
          <w:rFonts w:ascii="仿宋_GB2312" w:hAnsi="仿宋_GB2312" w:eastAsia="仿宋_GB2312" w:cs="仿宋_GB2312"/>
          <w:color w:val="auto"/>
          <w:kern w:val="0"/>
          <w:sz w:val="28"/>
          <w:szCs w:val="28"/>
          <w:highlight w:val="none"/>
        </w:rPr>
        <w:t>服务。</w:t>
      </w:r>
    </w:p>
    <w:p w14:paraId="3285A4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协议医院救护力量不足时，请求新矿内蒙古能源</w:t>
      </w:r>
      <w:r>
        <w:rPr>
          <w:rFonts w:ascii="仿宋_GB2312" w:hAnsi="仿宋_GB2312" w:eastAsia="仿宋_GB2312" w:cs="仿宋_GB2312"/>
          <w:color w:val="auto"/>
          <w:kern w:val="0"/>
          <w:sz w:val="28"/>
          <w:szCs w:val="28"/>
          <w:highlight w:val="none"/>
        </w:rPr>
        <w:t>公司</w:t>
      </w:r>
      <w:r>
        <w:rPr>
          <w:rFonts w:hint="eastAsia" w:ascii="仿宋_GB2312" w:hAnsi="仿宋_GB2312" w:eastAsia="仿宋_GB2312" w:cs="仿宋_GB2312"/>
          <w:color w:val="auto"/>
          <w:kern w:val="0"/>
          <w:sz w:val="28"/>
          <w:szCs w:val="28"/>
          <w:highlight w:val="none"/>
        </w:rPr>
        <w:t>、新矿集团和地方政府协调医疗救护力量。</w:t>
      </w:r>
    </w:p>
    <w:p w14:paraId="02B70A65">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5.4.7 后勤保障</w:t>
      </w:r>
    </w:p>
    <w:p w14:paraId="7A766CE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事故应急救援期间和结束后，由后勤保障组长、财务管理部</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机电管理部</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综合办公室</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山能服务等部门负责人组成善后处理和后勤保障组，负责伤亡人员家属安抚、抚恤、理赔、食宿接待、车辆调度等善后处理工作。</w:t>
      </w:r>
    </w:p>
    <w:p w14:paraId="037CBCF2">
      <w:pPr>
        <w:spacing w:line="520" w:lineRule="exact"/>
        <w:ind w:firstLine="602" w:firstLineChars="200"/>
        <w:outlineLvl w:val="3"/>
        <w:rPr>
          <w:rFonts w:ascii="仿宋_GB2312" w:hAnsi="仿宋_GB2312" w:eastAsia="仿宋_GB2312" w:cs="仿宋_GB2312"/>
          <w:b/>
          <w:bCs/>
          <w:color w:val="auto"/>
          <w:sz w:val="30"/>
          <w:szCs w:val="30"/>
          <w:highlight w:val="none"/>
        </w:rPr>
      </w:pPr>
      <w:r>
        <w:rPr>
          <w:rFonts w:ascii="仿宋_GB2312" w:hAnsi="仿宋_GB2312" w:eastAsia="仿宋_GB2312" w:cs="仿宋_GB2312"/>
          <w:b/>
          <w:bCs/>
          <w:color w:val="auto"/>
          <w:sz w:val="30"/>
          <w:szCs w:val="30"/>
          <w:highlight w:val="none"/>
        </w:rPr>
        <w:t>5.4.8</w:t>
      </w:r>
      <w:r>
        <w:rPr>
          <w:rFonts w:hint="eastAsia" w:ascii="仿宋_GB2312" w:hAnsi="仿宋_GB2312" w:eastAsia="仿宋_GB2312" w:cs="仿宋_GB2312"/>
          <w:b/>
          <w:bCs/>
          <w:color w:val="auto"/>
          <w:sz w:val="30"/>
          <w:szCs w:val="30"/>
          <w:highlight w:val="none"/>
        </w:rPr>
        <w:t xml:space="preserve"> </w:t>
      </w:r>
      <w:r>
        <w:rPr>
          <w:rFonts w:ascii="仿宋_GB2312" w:hAnsi="仿宋_GB2312" w:eastAsia="仿宋_GB2312" w:cs="仿宋_GB2312"/>
          <w:b/>
          <w:bCs/>
          <w:color w:val="auto"/>
          <w:sz w:val="30"/>
          <w:szCs w:val="30"/>
          <w:highlight w:val="none"/>
        </w:rPr>
        <w:t>救援信号保障</w:t>
      </w:r>
    </w:p>
    <w:p w14:paraId="03FFDDD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当事故发生后，救援人员和被困人员在采取防爆安全措施的情况下，可利用坚硬物体敲击管路、铁轨、钻杆等发出“5432”救援联络信号。联络信号有四组：五声“呼救”、四声“报数”、三声“收到”、二声“停止”。联络信号具体内容如下。</w:t>
      </w:r>
    </w:p>
    <w:p w14:paraId="4216609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五声--寻求联络（被困人员敲击5声为求救信号；救援人员敲击5声为寻求联络信号）。</w:t>
      </w:r>
    </w:p>
    <w:p w14:paraId="6BD5F02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四声--询问被困人员数量（救援人员敲击4声为询问信号，被困人员确认收到后，按被困人数敲击为回复信号）。</w:t>
      </w:r>
    </w:p>
    <w:p w14:paraId="2734B06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三声--收到（敲击3声表示“收到”对方信号和意图）。</w:t>
      </w:r>
    </w:p>
    <w:p w14:paraId="3CA8C8E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二声--停止（被困人员敲击2声为“停止”，表示停止给养补给或遇突发情况需停止行动）。</w:t>
      </w:r>
    </w:p>
    <w:p w14:paraId="14260A6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每次敲击间隔1秒，分组发出信号，每组信号间隔30秒。明白意图后敲击3声回复“收到”，未“收到”回复可重复敲击发出信号。</w:t>
      </w:r>
    </w:p>
    <w:p w14:paraId="601F37FC">
      <w:pPr>
        <w:spacing w:line="520" w:lineRule="exact"/>
        <w:ind w:firstLine="600" w:firstLineChars="200"/>
        <w:jc w:val="left"/>
        <w:outlineLvl w:val="0"/>
        <w:rPr>
          <w:rFonts w:ascii="黑体" w:hAnsi="黑体" w:eastAsia="黑体" w:cs="黑体"/>
          <w:bCs/>
          <w:color w:val="auto"/>
          <w:kern w:val="0"/>
          <w:sz w:val="30"/>
          <w:szCs w:val="30"/>
          <w:highlight w:val="none"/>
        </w:rPr>
      </w:pPr>
      <w:bookmarkStart w:id="119" w:name="_Toc20081"/>
      <w:bookmarkStart w:id="120" w:name="_Toc1934"/>
      <w:r>
        <w:rPr>
          <w:rFonts w:ascii="黑体" w:hAnsi="黑体" w:eastAsia="黑体" w:cs="黑体"/>
          <w:bCs/>
          <w:color w:val="auto"/>
          <w:kern w:val="0"/>
          <w:sz w:val="30"/>
          <w:szCs w:val="30"/>
          <w:highlight w:val="none"/>
        </w:rPr>
        <w:t>6 应急预案</w:t>
      </w:r>
      <w:r>
        <w:rPr>
          <w:rFonts w:hint="eastAsia" w:ascii="黑体" w:hAnsi="黑体" w:eastAsia="黑体" w:cs="黑体"/>
          <w:bCs/>
          <w:color w:val="auto"/>
          <w:kern w:val="0"/>
          <w:sz w:val="30"/>
          <w:szCs w:val="30"/>
          <w:highlight w:val="none"/>
        </w:rPr>
        <w:t>管理</w:t>
      </w:r>
      <w:bookmarkEnd w:id="119"/>
      <w:r>
        <w:rPr>
          <w:rFonts w:ascii="黑体" w:hAnsi="黑体" w:eastAsia="黑体" w:cs="黑体"/>
          <w:bCs/>
          <w:color w:val="auto"/>
          <w:kern w:val="0"/>
          <w:sz w:val="30"/>
          <w:szCs w:val="30"/>
          <w:highlight w:val="none"/>
        </w:rPr>
        <w:t xml:space="preserve"> </w:t>
      </w:r>
    </w:p>
    <w:p w14:paraId="545DF449">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21" w:name="_Toc3159"/>
      <w:r>
        <w:rPr>
          <w:rFonts w:hint="eastAsia" w:ascii="楷体_GB2312" w:hAnsi="楷体_GB2312" w:eastAsia="楷体_GB2312" w:cs="楷体_GB2312"/>
          <w:bCs/>
          <w:color w:val="auto"/>
          <w:sz w:val="30"/>
          <w:szCs w:val="30"/>
          <w:highlight w:val="none"/>
        </w:rPr>
        <w:t>6.1 应急预案备案</w:t>
      </w:r>
      <w:bookmarkEnd w:id="121"/>
    </w:p>
    <w:p w14:paraId="18F864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6.1.1本预案自公布之日起20个工作日内完成备案；并依法向社会公布。</w:t>
      </w:r>
    </w:p>
    <w:p w14:paraId="2CCFCB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6.1.2应急预案备案应当提交下列材料：</w:t>
      </w:r>
    </w:p>
    <w:p w14:paraId="3B7F23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（1）应急预案备案申报表；</w:t>
      </w:r>
    </w:p>
    <w:p w14:paraId="483469A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（2）应急预案评审意见书面纪要材料；</w:t>
      </w:r>
    </w:p>
    <w:p w14:paraId="016904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（3）应急预案文本或电子文档；</w:t>
      </w:r>
    </w:p>
    <w:p w14:paraId="364FDDC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（4）风险评估结果和应急资源调查结果。</w:t>
      </w:r>
    </w:p>
    <w:p w14:paraId="2FB40D70">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22" w:name="_Toc12326"/>
      <w:r>
        <w:rPr>
          <w:rFonts w:hint="eastAsia" w:ascii="楷体_GB2312" w:hAnsi="楷体_GB2312" w:eastAsia="楷体_GB2312" w:cs="楷体_GB2312"/>
          <w:bCs/>
          <w:color w:val="auto"/>
          <w:sz w:val="30"/>
          <w:szCs w:val="30"/>
          <w:highlight w:val="none"/>
        </w:rPr>
        <w:t>6.2 应急预案培训</w:t>
      </w:r>
      <w:bookmarkEnd w:id="122"/>
    </w:p>
    <w:p w14:paraId="357E5C0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将本单位的生产安全事故应急预案、应急知识、自救互救和避险逃生技能纳入年度安全生产教育培训计划，由调度室牵头组织实施相关培训活动，使有关人员了解应急预案内容，熟悉应急职责、应急处置程序和措施；</w:t>
      </w:r>
    </w:p>
    <w:p w14:paraId="2825F3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（2）应急培训的时间、地点、内容、师资、参加人员和考核结果等情况，应当如实记入本单位的安全生产的培训档案。</w:t>
      </w:r>
    </w:p>
    <w:p w14:paraId="0EF8FC98">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23" w:name="_Toc8676"/>
      <w:r>
        <w:rPr>
          <w:rFonts w:hint="eastAsia" w:ascii="楷体_GB2312" w:hAnsi="楷体_GB2312" w:eastAsia="楷体_GB2312" w:cs="楷体_GB2312"/>
          <w:bCs/>
          <w:color w:val="auto"/>
          <w:sz w:val="30"/>
          <w:szCs w:val="30"/>
          <w:highlight w:val="none"/>
        </w:rPr>
        <w:t>6.3应急预案演练</w:t>
      </w:r>
      <w:bookmarkEnd w:id="123"/>
    </w:p>
    <w:p w14:paraId="05CCBF5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6.3.1 演练组织</w:t>
      </w:r>
    </w:p>
    <w:p w14:paraId="4CCFFE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（1）编制应急演练规划和年度计划，并对演练实施情况留档；</w:t>
      </w:r>
    </w:p>
    <w:p w14:paraId="37018D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（2）演练形式：实战演练；</w:t>
      </w:r>
    </w:p>
    <w:p w14:paraId="0C164C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（3）演练内容：综合应急预案、专项应急预案、现场处置方案；</w:t>
      </w:r>
    </w:p>
    <w:p w14:paraId="2D6CC5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（4）演练频次：煤矿应在上级公司新矿集团的指导下每半年至少组织1次综合或者专项应急预案演练。每2年对所有专项应急预案至少组织1次演练。每半年对所有现场处置方案至少组织1次演练。</w:t>
      </w:r>
    </w:p>
    <w:p w14:paraId="64DF5A5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6.3.2 演练评估及总结</w:t>
      </w:r>
    </w:p>
    <w:p w14:paraId="6FD1D5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成立演练评估小组，每次应急预案演练结束后，应当参照《生产安全事故应急演练评估规范》，对应急预案演练效果进行评估，撰写应急预案演练评估报告，分析存在的问题，并对应急预案提出修订意见；</w:t>
      </w:r>
    </w:p>
    <w:p w14:paraId="1EFC45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（2）调度室将应急演练相关材料及演练情况报送行业安全监管部门。</w:t>
      </w:r>
    </w:p>
    <w:p w14:paraId="1E957CF3">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24" w:name="_Toc5145"/>
      <w:r>
        <w:rPr>
          <w:rFonts w:hint="eastAsia" w:ascii="楷体_GB2312" w:hAnsi="楷体_GB2312" w:eastAsia="楷体_GB2312" w:cs="楷体_GB2312"/>
          <w:bCs/>
          <w:color w:val="auto"/>
          <w:sz w:val="30"/>
          <w:szCs w:val="30"/>
          <w:highlight w:val="none"/>
        </w:rPr>
        <w:t>6.4 应急预案评估</w:t>
      </w:r>
      <w:bookmarkEnd w:id="124"/>
    </w:p>
    <w:p w14:paraId="41085B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（1）建立应急预案定期评估制度；</w:t>
      </w:r>
    </w:p>
    <w:p w14:paraId="5BABC3E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（2）每2年至少进行1次应急预案评估；</w:t>
      </w:r>
    </w:p>
    <w:p w14:paraId="00A663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（3）形成《应急预案评估报告》，对应急预案内容的针对性、实用性和可操作性进行分析，并对应急预案是否需要修订做出结论。</w:t>
      </w:r>
    </w:p>
    <w:p w14:paraId="4BF9B208">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25" w:name="_Toc2653"/>
      <w:r>
        <w:rPr>
          <w:rFonts w:hint="eastAsia" w:ascii="楷体_GB2312" w:hAnsi="楷体_GB2312" w:eastAsia="楷体_GB2312" w:cs="楷体_GB2312"/>
          <w:bCs/>
          <w:color w:val="auto"/>
          <w:sz w:val="30"/>
          <w:szCs w:val="30"/>
          <w:highlight w:val="none"/>
        </w:rPr>
        <w:t>6.5 应急预案修订</w:t>
      </w:r>
      <w:bookmarkEnd w:id="125"/>
    </w:p>
    <w:p w14:paraId="1AFBF8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6.5.1有下列情形之一的，应急预案应及时修订并归档。</w:t>
      </w:r>
    </w:p>
    <w:p w14:paraId="3E8E50F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（1）依据的法律、法规、规章、标准及上位预案中的有关规定发生重大变化的；</w:t>
      </w:r>
    </w:p>
    <w:p w14:paraId="5E3786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（2）应急指挥机构及其职责发生调整的；</w:t>
      </w:r>
    </w:p>
    <w:p w14:paraId="4861F9B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（3）安全生产面临的风险发生重大变化的；</w:t>
      </w:r>
    </w:p>
    <w:p w14:paraId="4BB1EF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（4）重要应急资源发生重大变化的；</w:t>
      </w:r>
    </w:p>
    <w:p w14:paraId="6C319C0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（5）在应急演练和事故应急救援中发现需要修订预案的重大问题的；</w:t>
      </w:r>
    </w:p>
    <w:p w14:paraId="0337B0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（6）编制单位认为应当修订的其他情况。</w:t>
      </w:r>
    </w:p>
    <w:p w14:paraId="00D6AC7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6.5.2应急预案修订涉及组织指挥体系与职责、应急处置程序、主要处置措施、应急响应分级等内容变更的，修订工作应当参照《生产安全事故应急预案管理办法》（应急管理部令第2号）规定的应急预案编制程序进行，并按照有关应急预案报备程序重新备案。</w:t>
      </w:r>
    </w:p>
    <w:p w14:paraId="0F1E73B7">
      <w:pPr>
        <w:spacing w:line="560" w:lineRule="exact"/>
        <w:ind w:firstLine="600" w:firstLineChars="200"/>
        <w:outlineLvl w:val="2"/>
        <w:rPr>
          <w:rFonts w:ascii="楷体_GB2312" w:hAnsi="楷体_GB2312" w:eastAsia="楷体_GB2312" w:cs="楷体_GB2312"/>
          <w:bCs/>
          <w:color w:val="auto"/>
          <w:sz w:val="30"/>
          <w:szCs w:val="30"/>
          <w:highlight w:val="none"/>
        </w:rPr>
      </w:pPr>
      <w:bookmarkStart w:id="126" w:name="_Toc5975"/>
      <w:r>
        <w:rPr>
          <w:rFonts w:hint="eastAsia" w:ascii="楷体_GB2312" w:hAnsi="楷体_GB2312" w:eastAsia="楷体_GB2312" w:cs="楷体_GB2312"/>
          <w:bCs/>
          <w:color w:val="auto"/>
          <w:sz w:val="30"/>
          <w:szCs w:val="30"/>
          <w:highlight w:val="none"/>
        </w:rPr>
        <w:t>6.6 应急预案实施</w:t>
      </w:r>
      <w:bookmarkEnd w:id="126"/>
    </w:p>
    <w:p w14:paraId="5F0CA47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（1）本预案由</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总经理签署后公布实施；</w:t>
      </w:r>
    </w:p>
    <w:p w14:paraId="307DF56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（2）按照应急预案的规定，落实应急指挥体系、应急救援队伍、应急物资及装备，建立应急物资、装备配备及其使用档案，并对应急物资、装备进行定期检测和维护，使其处于适用状态；</w:t>
      </w:r>
    </w:p>
    <w:p w14:paraId="391E05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（3）生产安全事故应急处置和应急救援结束后，应当对应急预案实施情况进行总结评估；</w:t>
      </w:r>
    </w:p>
    <w:p w14:paraId="31DF05F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（4）本预案由</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负责组织修订、解释。</w:t>
      </w:r>
      <w:r>
        <w:rPr>
          <w:rFonts w:ascii="仿宋_GB2312" w:hAnsi="仿宋_GB2312" w:eastAsia="仿宋_GB2312" w:cs="仿宋_GB2312"/>
          <w:color w:val="auto"/>
          <w:kern w:val="0"/>
          <w:sz w:val="28"/>
          <w:szCs w:val="28"/>
          <w:highlight w:val="none"/>
        </w:rPr>
        <w:br w:type="page"/>
      </w:r>
    </w:p>
    <w:bookmarkEnd w:id="120"/>
    <w:p w14:paraId="25BF6CCD">
      <w:pPr>
        <w:pStyle w:val="3"/>
        <w:spacing w:before="140" w:after="140" w:line="560" w:lineRule="exact"/>
        <w:jc w:val="center"/>
        <w:rPr>
          <w:rFonts w:ascii="方正小标宋简体" w:hAnsi="方正小标宋简体" w:eastAsia="方正小标宋简体" w:cs="方正小标宋简体"/>
          <w:color w:val="auto"/>
          <w:kern w:val="0"/>
          <w:sz w:val="52"/>
          <w:szCs w:val="52"/>
          <w:highlight w:val="none"/>
        </w:rPr>
      </w:pPr>
      <w:bookmarkStart w:id="127" w:name="_Toc24004"/>
      <w:bookmarkStart w:id="128" w:name="_Toc19950"/>
      <w:r>
        <w:rPr>
          <w:rFonts w:hint="eastAsia" w:ascii="方正小标宋简体" w:hAnsi="方正小标宋简体" w:eastAsia="方正小标宋简体" w:cs="方正小标宋简体"/>
          <w:color w:val="auto"/>
          <w:kern w:val="0"/>
          <w:sz w:val="52"/>
          <w:szCs w:val="52"/>
          <w:highlight w:val="none"/>
        </w:rPr>
        <w:t>第二部分 专项应急预案</w:t>
      </w:r>
      <w:bookmarkEnd w:id="127"/>
      <w:bookmarkEnd w:id="128"/>
    </w:p>
    <w:p w14:paraId="452D01E3">
      <w:pPr>
        <w:spacing w:line="520" w:lineRule="exact"/>
        <w:ind w:firstLine="600" w:firstLineChars="200"/>
        <w:outlineLvl w:val="1"/>
        <w:rPr>
          <w:rFonts w:ascii="黑体" w:hAnsi="黑体" w:eastAsia="黑体" w:cs="黑体"/>
          <w:color w:val="auto"/>
          <w:sz w:val="30"/>
          <w:szCs w:val="30"/>
          <w:highlight w:val="none"/>
        </w:rPr>
      </w:pPr>
      <w:bookmarkStart w:id="129" w:name="_Toc14910"/>
      <w:bookmarkStart w:id="130" w:name="_Toc19553"/>
      <w:bookmarkStart w:id="131" w:name="_Toc2674"/>
      <w:bookmarkStart w:id="132" w:name="_Toc20939"/>
      <w:bookmarkStart w:id="133" w:name="_Toc25367"/>
      <w:bookmarkStart w:id="134" w:name="_Toc16417"/>
      <w:bookmarkStart w:id="135" w:name="_Toc209"/>
      <w:bookmarkStart w:id="136" w:name="_Toc18008"/>
      <w:bookmarkStart w:id="137" w:name="_Toc23401"/>
      <w:bookmarkStart w:id="138" w:name="_Toc13367"/>
      <w:bookmarkStart w:id="139" w:name="_Toc18597"/>
      <w:bookmarkStart w:id="140" w:name="_Toc19876"/>
      <w:bookmarkStart w:id="141" w:name="_Toc32426"/>
      <w:bookmarkStart w:id="142" w:name="_Toc997"/>
      <w:bookmarkStart w:id="143" w:name="_Toc22593"/>
      <w:bookmarkStart w:id="144" w:name="_Toc30710"/>
      <w:bookmarkStart w:id="145" w:name="_Toc11759"/>
      <w:bookmarkStart w:id="146" w:name="_Toc15104"/>
      <w:bookmarkStart w:id="147" w:name="_Toc4416"/>
      <w:r>
        <w:rPr>
          <w:rFonts w:hint="eastAsia" w:ascii="黑体" w:hAnsi="黑体" w:eastAsia="黑体" w:cs="黑体"/>
          <w:color w:val="auto"/>
          <w:sz w:val="30"/>
          <w:szCs w:val="30"/>
          <w:highlight w:val="none"/>
        </w:rPr>
        <w:t xml:space="preserve">1 </w:t>
      </w:r>
      <w:r>
        <w:rPr>
          <w:rFonts w:hint="eastAsia" w:ascii="黑体" w:hAnsi="黑体" w:eastAsia="黑体" w:cs="黑体"/>
          <w:color w:val="auto"/>
          <w:sz w:val="30"/>
          <w:szCs w:val="30"/>
          <w:highlight w:val="none"/>
          <w:lang w:val="en-US" w:eastAsia="zh-CN"/>
        </w:rPr>
        <w:t>瓦斯</w:t>
      </w:r>
      <w:r>
        <w:rPr>
          <w:rFonts w:hint="eastAsia" w:ascii="黑体" w:hAnsi="黑体" w:eastAsia="黑体" w:cs="黑体"/>
          <w:color w:val="auto"/>
          <w:sz w:val="30"/>
          <w:szCs w:val="30"/>
          <w:highlight w:val="none"/>
        </w:rPr>
        <w:t>事故专项应急预案</w:t>
      </w:r>
      <w:bookmarkEnd w:id="129"/>
      <w:bookmarkEnd w:id="130"/>
    </w:p>
    <w:p w14:paraId="5B902311">
      <w:pPr>
        <w:spacing w:line="520" w:lineRule="exact"/>
        <w:ind w:firstLine="600" w:firstLineChars="200"/>
        <w:outlineLvl w:val="2"/>
        <w:rPr>
          <w:rFonts w:ascii="楷体_GB2312" w:hAnsi="楷体_GB2312" w:eastAsia="楷体_GB2312" w:cs="楷体_GB2312"/>
          <w:color w:val="auto"/>
          <w:sz w:val="30"/>
          <w:szCs w:val="30"/>
          <w:highlight w:val="none"/>
        </w:rPr>
      </w:pPr>
      <w:bookmarkStart w:id="148" w:name="_Toc23826"/>
      <w:bookmarkStart w:id="149" w:name="_Toc1814"/>
      <w:r>
        <w:rPr>
          <w:rFonts w:hint="eastAsia" w:ascii="楷体_GB2312" w:hAnsi="楷体_GB2312" w:eastAsia="楷体_GB2312" w:cs="楷体_GB2312"/>
          <w:color w:val="auto"/>
          <w:sz w:val="30"/>
          <w:szCs w:val="30"/>
          <w:highlight w:val="none"/>
        </w:rPr>
        <w:t>1.1 适用范围</w:t>
      </w:r>
      <w:bookmarkEnd w:id="148"/>
      <w:bookmarkEnd w:id="149"/>
    </w:p>
    <w:p w14:paraId="35C4DF9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本专项应急预案适用于矿井生产过程中，可能发生或已经发生瓦斯（窒息、火灾、中毒、可燃气体爆炸）等需要启动Ⅱ级及以上应急响应的瓦斯事故（包括涉险事故）的应急救援工作。</w:t>
      </w:r>
    </w:p>
    <w:p w14:paraId="388C82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事故专项应急预案是综合应急预案的细化与延伸，综合应急预案是矿井</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专项应急预案的支持性方案。</w:t>
      </w:r>
    </w:p>
    <w:p w14:paraId="13D7380B">
      <w:pPr>
        <w:spacing w:line="520" w:lineRule="exact"/>
        <w:ind w:firstLine="600" w:firstLineChars="200"/>
        <w:outlineLvl w:val="2"/>
        <w:rPr>
          <w:rFonts w:ascii="楷体_GB2312" w:hAnsi="楷体_GB2312" w:eastAsia="楷体_GB2312" w:cs="楷体_GB2312"/>
          <w:color w:val="auto"/>
          <w:sz w:val="30"/>
          <w:szCs w:val="30"/>
          <w:highlight w:val="none"/>
        </w:rPr>
      </w:pPr>
      <w:bookmarkStart w:id="150" w:name="_Toc18919"/>
      <w:bookmarkStart w:id="151" w:name="_Toc28376"/>
      <w:r>
        <w:rPr>
          <w:rFonts w:hint="eastAsia" w:ascii="楷体_GB2312" w:hAnsi="楷体_GB2312" w:eastAsia="楷体_GB2312" w:cs="楷体_GB2312"/>
          <w:color w:val="auto"/>
          <w:sz w:val="30"/>
          <w:szCs w:val="30"/>
          <w:highlight w:val="none"/>
        </w:rPr>
        <w:t>1.2 应急组织机构及职责</w:t>
      </w:r>
      <w:bookmarkEnd w:id="150"/>
      <w:bookmarkEnd w:id="151"/>
    </w:p>
    <w:p w14:paraId="468EC4D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lang w:val="en-US" w:eastAsia="zh-CN"/>
        </w:rPr>
        <w:t>瓦斯</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6E0BE6E4">
      <w:pPr>
        <w:spacing w:line="520" w:lineRule="exact"/>
        <w:ind w:firstLine="600" w:firstLineChars="200"/>
        <w:outlineLvl w:val="2"/>
        <w:rPr>
          <w:rFonts w:ascii="楷体_GB2312" w:hAnsi="楷体_GB2312" w:eastAsia="楷体_GB2312" w:cs="楷体_GB2312"/>
          <w:color w:val="auto"/>
          <w:sz w:val="30"/>
          <w:szCs w:val="30"/>
          <w:highlight w:val="none"/>
        </w:rPr>
      </w:pPr>
      <w:bookmarkStart w:id="152" w:name="_Toc8617"/>
      <w:bookmarkStart w:id="153" w:name="_Toc10586"/>
      <w:r>
        <w:rPr>
          <w:rFonts w:hint="eastAsia" w:ascii="楷体_GB2312" w:hAnsi="楷体_GB2312" w:eastAsia="楷体_GB2312" w:cs="楷体_GB2312"/>
          <w:color w:val="auto"/>
          <w:sz w:val="30"/>
          <w:szCs w:val="30"/>
          <w:highlight w:val="none"/>
        </w:rPr>
        <w:t>1.3 响应启动</w:t>
      </w:r>
      <w:bookmarkEnd w:id="152"/>
      <w:bookmarkEnd w:id="153"/>
      <w:r>
        <w:rPr>
          <w:rFonts w:hint="eastAsia" w:ascii="楷体_GB2312" w:hAnsi="楷体_GB2312" w:eastAsia="楷体_GB2312" w:cs="楷体_GB2312"/>
          <w:color w:val="auto"/>
          <w:sz w:val="30"/>
          <w:szCs w:val="30"/>
          <w:highlight w:val="none"/>
        </w:rPr>
        <w:t xml:space="preserve"> </w:t>
      </w:r>
    </w:p>
    <w:p w14:paraId="76AA80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1.矿井</w:t>
      </w:r>
      <w:r>
        <w:rPr>
          <w:rFonts w:hint="eastAsia" w:ascii="仿宋_GB2312" w:hAnsi="仿宋_GB2312" w:eastAsia="仿宋_GB2312" w:cs="仿宋_GB2312"/>
          <w:color w:val="auto"/>
          <w:kern w:val="0"/>
          <w:sz w:val="28"/>
          <w:szCs w:val="28"/>
          <w:highlight w:val="none"/>
          <w:lang w:val="en-US" w:eastAsia="zh-CN"/>
        </w:rPr>
        <w:t>可能</w:t>
      </w:r>
      <w:r>
        <w:rPr>
          <w:rFonts w:hint="eastAsia" w:ascii="仿宋_GB2312" w:hAnsi="仿宋_GB2312" w:eastAsia="仿宋_GB2312" w:cs="仿宋_GB2312"/>
          <w:color w:val="auto"/>
          <w:kern w:val="0"/>
          <w:sz w:val="28"/>
          <w:szCs w:val="28"/>
          <w:highlight w:val="none"/>
        </w:rPr>
        <w:t>发生瓦斯（窒息、中毒）事故启动Ⅱ级应急响应；当窒息、中毒事故造成人员伤亡达到Ⅰ级应急响应条件的，启动Ⅰ级应急响应；瓦斯（火灾、可燃气体爆炸）事故直接启动Ⅰ级应急响应。</w:t>
      </w:r>
    </w:p>
    <w:p w14:paraId="6190B455">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w:t>
      </w:r>
      <w:r>
        <w:rPr>
          <w:rFonts w:ascii="仿宋_GB2312" w:hAnsi="仿宋_GB2312" w:eastAsia="仿宋_GB2312" w:cs="仿宋_GB2312"/>
          <w:b/>
          <w:bCs/>
          <w:color w:val="auto"/>
          <w:sz w:val="30"/>
          <w:szCs w:val="30"/>
          <w:highlight w:val="none"/>
        </w:rPr>
        <w:t>3.1 召开应急会议</w:t>
      </w:r>
    </w:p>
    <w:p w14:paraId="474EDAD3">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瓦斯事故应急会议由总指挥主持召开。启动Ⅱ级响应的瓦斯事故由第一副总指挥根据事故严重程度和救援难度确定，抽调综合协调组、抢险救灾组、技术专家组、安全监督组、医疗救护组有关成员参加应急会议，安排部署现场应急处置和救援工作。第一副总指挥根据事故现场的救援需要及人员伤害情况，必要时通知物资供应组、警戒保卫组、后勤保障组、信息发布组、善后处理组等应急救援工作组有关成员参加后续应急会议，并参加应急救援工作</w:t>
      </w:r>
      <w:r>
        <w:rPr>
          <w:rFonts w:hint="eastAsia" w:ascii="仿宋_GB2312" w:hAnsi="仿宋_GB2312" w:eastAsia="仿宋_GB2312" w:cs="仿宋_GB2312"/>
          <w:color w:val="auto"/>
          <w:kern w:val="0"/>
          <w:sz w:val="28"/>
          <w:szCs w:val="28"/>
          <w:highlight w:val="none"/>
          <w:lang w:eastAsia="zh-CN"/>
        </w:rPr>
        <w:t>。</w:t>
      </w:r>
    </w:p>
    <w:p w14:paraId="5D4AB9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（1）调度室根据事故性质和领导指令，立即通知指挥部成员、各救援专业组相关人员及有关单位、部门人员到调度室会议室参加应急会议（不能到达现场的可以通过视频等形式参加）。</w:t>
      </w:r>
    </w:p>
    <w:p w14:paraId="538C7E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（2）会议内容包括但不限于：</w:t>
      </w:r>
    </w:p>
    <w:p w14:paraId="0CCD69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①通报生产安全事故情况；</w:t>
      </w:r>
    </w:p>
    <w:p w14:paraId="7BD950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②确定现场应急救援方案和应急处置措施；</w:t>
      </w:r>
    </w:p>
    <w:p w14:paraId="2E5C6F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③确定各应急救援专业组工作任务；</w:t>
      </w:r>
    </w:p>
    <w:p w14:paraId="1432D16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④判断所需调配的内外部应急资源；</w:t>
      </w:r>
    </w:p>
    <w:p w14:paraId="70CB25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⑤确定应急上报的有关部门和内容。</w:t>
      </w:r>
    </w:p>
    <w:p w14:paraId="078E6F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（3）总指挥（授权人）根据事态发展及现场处置情况，适时召开后续应急会议。</w:t>
      </w:r>
    </w:p>
    <w:p w14:paraId="2F281C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（4）各应急救援专业组适时召开组内会议，落实组内工作任务，及时将会议情况及决定事项报告现场应急指挥部。</w:t>
      </w:r>
    </w:p>
    <w:p w14:paraId="1035D53E">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w:t>
      </w:r>
      <w:r>
        <w:rPr>
          <w:rFonts w:ascii="仿宋_GB2312" w:hAnsi="仿宋_GB2312" w:eastAsia="仿宋_GB2312" w:cs="仿宋_GB2312"/>
          <w:b/>
          <w:bCs/>
          <w:color w:val="auto"/>
          <w:sz w:val="30"/>
          <w:szCs w:val="30"/>
          <w:highlight w:val="none"/>
        </w:rPr>
        <w:t>3.2 信息上报</w:t>
      </w:r>
    </w:p>
    <w:p w14:paraId="0368AA1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信息上报按综合应急预案“3.</w:t>
      </w: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 xml:space="preserve"> 信息上报”部分的要求执行。</w:t>
      </w:r>
    </w:p>
    <w:p w14:paraId="7EE5062F">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w:t>
      </w:r>
      <w:r>
        <w:rPr>
          <w:rFonts w:ascii="仿宋_GB2312" w:hAnsi="仿宋_GB2312" w:eastAsia="仿宋_GB2312" w:cs="仿宋_GB2312"/>
          <w:b/>
          <w:bCs/>
          <w:color w:val="auto"/>
          <w:sz w:val="30"/>
          <w:szCs w:val="30"/>
          <w:highlight w:val="none"/>
        </w:rPr>
        <w:t>3.3 资源协调</w:t>
      </w:r>
    </w:p>
    <w:p w14:paraId="3EEFA72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1441E2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w:t>
      </w:r>
      <w:r>
        <w:rPr>
          <w:rFonts w:hint="eastAsia" w:ascii="仿宋_GB2312" w:hAnsi="仿宋_GB2312" w:eastAsia="仿宋_GB2312" w:cs="仿宋_GB2312"/>
          <w:color w:val="auto"/>
          <w:kern w:val="0"/>
          <w:sz w:val="28"/>
          <w:szCs w:val="28"/>
          <w:highlight w:val="none"/>
          <w:lang w:val="en-US" w:eastAsia="zh-CN"/>
        </w:rPr>
        <w:t>瓦斯</w:t>
      </w:r>
      <w:r>
        <w:rPr>
          <w:rFonts w:ascii="仿宋_GB2312" w:hAnsi="仿宋_GB2312" w:eastAsia="仿宋_GB2312" w:cs="仿宋_GB2312"/>
          <w:color w:val="auto"/>
          <w:kern w:val="0"/>
          <w:sz w:val="28"/>
          <w:szCs w:val="28"/>
          <w:highlight w:val="none"/>
        </w:rPr>
        <w:t>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5597380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w:t>
      </w:r>
      <w:r>
        <w:rPr>
          <w:rFonts w:hint="eastAsia" w:ascii="仿宋_GB2312" w:hAnsi="仿宋_GB2312" w:eastAsia="仿宋_GB2312" w:cs="仿宋_GB2312"/>
          <w:color w:val="auto"/>
          <w:kern w:val="0"/>
          <w:sz w:val="28"/>
          <w:szCs w:val="28"/>
          <w:highlight w:val="none"/>
          <w:lang w:val="en-US" w:eastAsia="zh-CN"/>
        </w:rPr>
        <w:t>瓦斯</w:t>
      </w:r>
      <w:r>
        <w:rPr>
          <w:rFonts w:ascii="仿宋_GB2312" w:hAnsi="仿宋_GB2312" w:eastAsia="仿宋_GB2312" w:cs="仿宋_GB2312"/>
          <w:color w:val="auto"/>
          <w:kern w:val="0"/>
          <w:sz w:val="28"/>
          <w:szCs w:val="28"/>
          <w:highlight w:val="none"/>
        </w:rPr>
        <w:t>事故应急救援技术专家，研究制定应急救援方案。</w:t>
      </w:r>
    </w:p>
    <w:p w14:paraId="66AB7D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w:t>
      </w:r>
      <w:r>
        <w:rPr>
          <w:rFonts w:hint="eastAsia" w:ascii="仿宋_GB2312" w:hAnsi="仿宋_GB2312" w:eastAsia="仿宋_GB2312" w:cs="仿宋_GB2312"/>
          <w:color w:val="auto"/>
          <w:kern w:val="0"/>
          <w:sz w:val="28"/>
          <w:szCs w:val="28"/>
          <w:highlight w:val="none"/>
          <w:lang w:val="en-US" w:eastAsia="zh-CN"/>
        </w:rPr>
        <w:t>瓦斯</w:t>
      </w:r>
      <w:r>
        <w:rPr>
          <w:rFonts w:ascii="仿宋_GB2312" w:hAnsi="仿宋_GB2312" w:eastAsia="仿宋_GB2312" w:cs="仿宋_GB2312"/>
          <w:color w:val="auto"/>
          <w:kern w:val="0"/>
          <w:sz w:val="28"/>
          <w:szCs w:val="28"/>
          <w:highlight w:val="none"/>
        </w:rPr>
        <w:t>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机电工区、运输工区</w:t>
      </w:r>
      <w:r>
        <w:rPr>
          <w:rFonts w:ascii="仿宋_GB2312" w:hAnsi="仿宋_GB2312" w:eastAsia="仿宋_GB2312" w:cs="仿宋_GB2312"/>
          <w:color w:val="auto"/>
          <w:kern w:val="0"/>
          <w:sz w:val="28"/>
          <w:szCs w:val="28"/>
          <w:highlight w:val="none"/>
        </w:rPr>
        <w:t>做好应急物资调配、运输准备。</w:t>
      </w:r>
    </w:p>
    <w:p w14:paraId="2390626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7855FB3B">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w:t>
      </w:r>
      <w:r>
        <w:rPr>
          <w:rFonts w:ascii="仿宋_GB2312" w:hAnsi="仿宋_GB2312" w:eastAsia="仿宋_GB2312" w:cs="仿宋_GB2312"/>
          <w:b/>
          <w:bCs/>
          <w:color w:val="auto"/>
          <w:sz w:val="30"/>
          <w:szCs w:val="30"/>
          <w:highlight w:val="none"/>
        </w:rPr>
        <w:t>3.4 信息公开</w:t>
      </w:r>
    </w:p>
    <w:p w14:paraId="0646D55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信息发布组组长或授权专人，统一通报事故及救援等有关信息</w:t>
      </w:r>
      <w:r>
        <w:rPr>
          <w:rFonts w:ascii="仿宋_GB2312" w:hAnsi="仿宋_GB2312" w:eastAsia="仿宋_GB2312" w:cs="仿宋_GB2312"/>
          <w:color w:val="auto"/>
          <w:kern w:val="0"/>
          <w:sz w:val="28"/>
          <w:szCs w:val="28"/>
          <w:highlight w:val="none"/>
        </w:rPr>
        <w:t>。</w:t>
      </w:r>
    </w:p>
    <w:p w14:paraId="23F3D26E">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w:t>
      </w:r>
      <w:r>
        <w:rPr>
          <w:rFonts w:ascii="仿宋_GB2312" w:hAnsi="仿宋_GB2312" w:eastAsia="仿宋_GB2312" w:cs="仿宋_GB2312"/>
          <w:b/>
          <w:bCs/>
          <w:color w:val="auto"/>
          <w:sz w:val="30"/>
          <w:szCs w:val="30"/>
          <w:highlight w:val="none"/>
        </w:rPr>
        <w:t>3.5 后勤及财力保障</w:t>
      </w:r>
    </w:p>
    <w:p w14:paraId="6DEDC6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后勤保障组与物资供应组应根据应急会议工作安排及事故救援工作开展情况，做好后勤保障工作。做好救援人员生活、救援期间办公设施和车辆调度相关工作事宜，提前调集救援所需物资设备；做好伤亡或被困人员家属接待、食宿、车辆保障等工作。必要时，报请新矿内蒙古能源、新矿集团</w:t>
      </w:r>
      <w:r>
        <w:rPr>
          <w:rFonts w:hint="eastAsia" w:ascii="仿宋_GB2312" w:hAnsi="仿宋_GB2312" w:eastAsia="仿宋_GB2312" w:cs="仿宋_GB2312"/>
          <w:color w:val="auto"/>
          <w:kern w:val="0"/>
          <w:sz w:val="28"/>
          <w:szCs w:val="28"/>
          <w:highlight w:val="none"/>
          <w:lang w:val="en-US" w:eastAsia="zh-CN"/>
        </w:rPr>
        <w:t>公司</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山东</w:t>
      </w:r>
      <w:r>
        <w:rPr>
          <w:rFonts w:hint="eastAsia" w:ascii="仿宋_GB2312" w:hAnsi="仿宋_GB2312" w:eastAsia="仿宋_GB2312" w:cs="仿宋_GB2312"/>
          <w:color w:val="auto"/>
          <w:kern w:val="0"/>
          <w:sz w:val="28"/>
          <w:szCs w:val="28"/>
          <w:highlight w:val="none"/>
        </w:rPr>
        <w:t>能源集团或上级政府协调接待服务机构承担紧急接待任务和其它后勤保障工作</w:t>
      </w:r>
      <w:r>
        <w:rPr>
          <w:rFonts w:ascii="仿宋_GB2312" w:hAnsi="仿宋_GB2312" w:eastAsia="仿宋_GB2312" w:cs="仿宋_GB2312"/>
          <w:color w:val="auto"/>
          <w:kern w:val="0"/>
          <w:sz w:val="28"/>
          <w:szCs w:val="28"/>
          <w:highlight w:val="none"/>
        </w:rPr>
        <w:t>。</w:t>
      </w:r>
    </w:p>
    <w:p w14:paraId="78E87B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后勤保障组根据事故应急救援工作需要，紧急调拔应急资金，保障应急救援资金及时到位。遇到资金困难应及时上报新矿内蒙古能源公司、新矿集团、能源集团进行协调解决。</w:t>
      </w:r>
    </w:p>
    <w:p w14:paraId="504C1893">
      <w:pPr>
        <w:spacing w:line="520" w:lineRule="exact"/>
        <w:ind w:firstLine="600" w:firstLineChars="200"/>
        <w:outlineLvl w:val="2"/>
        <w:rPr>
          <w:rFonts w:ascii="楷体_GB2312" w:hAnsi="楷体_GB2312" w:eastAsia="楷体_GB2312" w:cs="楷体_GB2312"/>
          <w:color w:val="auto"/>
          <w:sz w:val="30"/>
          <w:szCs w:val="30"/>
          <w:highlight w:val="none"/>
        </w:rPr>
      </w:pPr>
      <w:bookmarkStart w:id="154" w:name="_Toc23323"/>
      <w:bookmarkStart w:id="155" w:name="_Toc30136"/>
      <w:r>
        <w:rPr>
          <w:rFonts w:hint="eastAsia" w:ascii="楷体_GB2312" w:hAnsi="楷体_GB2312" w:eastAsia="楷体_GB2312" w:cs="楷体_GB2312"/>
          <w:color w:val="auto"/>
          <w:sz w:val="30"/>
          <w:szCs w:val="30"/>
          <w:highlight w:val="none"/>
        </w:rPr>
        <w:t>1.4 处置措施</w:t>
      </w:r>
      <w:bookmarkEnd w:id="154"/>
      <w:bookmarkEnd w:id="155"/>
    </w:p>
    <w:p w14:paraId="2DB6149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lang w:val="en-US" w:eastAsia="zh-CN"/>
        </w:rPr>
        <w:t>瓦斯</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窒息、火灾、中毒、可燃气体爆炸</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lang w:val="en-US" w:eastAsia="zh-CN"/>
        </w:rPr>
        <w:t>重大</w:t>
      </w:r>
      <w:r>
        <w:rPr>
          <w:rFonts w:ascii="仿宋_GB2312" w:hAnsi="仿宋_GB2312" w:eastAsia="仿宋_GB2312" w:cs="仿宋_GB2312"/>
          <w:color w:val="auto"/>
          <w:kern w:val="0"/>
          <w:sz w:val="28"/>
          <w:szCs w:val="28"/>
          <w:highlight w:val="none"/>
        </w:rPr>
        <w:t>风险。</w:t>
      </w:r>
    </w:p>
    <w:p w14:paraId="5C82D5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事故危害程度和影响范围：</w:t>
      </w:r>
      <w:r>
        <w:rPr>
          <w:rFonts w:hint="eastAsia" w:ascii="仿宋_GB2312" w:hAnsi="仿宋_GB2312" w:eastAsia="仿宋_GB2312" w:cs="仿宋_GB2312"/>
          <w:color w:val="auto"/>
          <w:kern w:val="0"/>
          <w:sz w:val="28"/>
          <w:szCs w:val="28"/>
          <w:highlight w:val="none"/>
          <w:lang w:val="en-US" w:eastAsia="zh-CN"/>
        </w:rPr>
        <w:t>瓦斯</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窒息、火灾、中毒、可燃气体爆炸</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事故</w:t>
      </w:r>
      <w:r>
        <w:rPr>
          <w:rFonts w:hint="eastAsia" w:ascii="仿宋_GB2312" w:hAnsi="仿宋_GB2312" w:eastAsia="仿宋_GB2312" w:cs="仿宋_GB2312"/>
          <w:color w:val="auto"/>
          <w:kern w:val="0"/>
          <w:sz w:val="28"/>
          <w:szCs w:val="28"/>
          <w:highlight w:val="none"/>
        </w:rPr>
        <w:t>爆炸时会产生高温、高压、有毒有害气体，造成人员伤亡、机械设备和巷道的破坏，强大的冲击波会造成风流逆转，通风系统紊乱，可能引起其它地点连续爆炸。采掘工作面及其回风巷发生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爆炸事故时将影响本采区内，当引起连续爆炸时将扩大影响范围，直至影响整个矿井。进风井及井底车场等主要进风巷道发生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事故时，反风不及时将影响整个矿井。</w:t>
      </w:r>
    </w:p>
    <w:p w14:paraId="6D6BF23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1.4.1 应急处置原则</w:t>
      </w:r>
    </w:p>
    <w:p w14:paraId="788CE0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090687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65F209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5E24F3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13B9EDA3">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1.4.2 处置措施</w:t>
      </w:r>
    </w:p>
    <w:p w14:paraId="6725B9CF">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1.4.2.1.基本应急处置措施</w:t>
      </w:r>
    </w:p>
    <w:p w14:paraId="3EB957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1.在发生险情或事故后，现场负责人立即启动现场处置措施，停止作业、组织危险区域人员佩戴自救器撤离至安全区域，同时向调度室和本单位值班人员汇报；积极采取自救互救措施。</w:t>
      </w:r>
    </w:p>
    <w:p w14:paraId="7BAE11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2.当调度室接到事故报告后，迅速了解事故的发生位置、波及范围，人员伤亡情况，下达停产撤人命令，准确统计井下人数，通知</w:t>
      </w:r>
      <w:r>
        <w:rPr>
          <w:rFonts w:hint="eastAsia" w:ascii="仿宋_GB2312" w:hAnsi="仿宋_GB2312" w:eastAsia="仿宋_GB2312" w:cs="仿宋_GB2312"/>
          <w:color w:val="auto"/>
          <w:kern w:val="0"/>
          <w:sz w:val="28"/>
          <w:szCs w:val="28"/>
          <w:highlight w:val="none"/>
          <w:lang w:eastAsia="zh-CN"/>
        </w:rPr>
        <w:t>安全监察部</w:t>
      </w:r>
      <w:r>
        <w:rPr>
          <w:rFonts w:hint="eastAsia" w:ascii="仿宋_GB2312" w:hAnsi="仿宋_GB2312" w:eastAsia="仿宋_GB2312" w:cs="仿宋_GB2312"/>
          <w:color w:val="auto"/>
          <w:kern w:val="0"/>
          <w:sz w:val="28"/>
          <w:szCs w:val="28"/>
          <w:highlight w:val="none"/>
        </w:rPr>
        <w:t>严格控制入井人数。立即通知矿值班领导、井下带班领导、矿主要负责人。</w:t>
      </w:r>
    </w:p>
    <w:p w14:paraId="046468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3.根据事故危害程度由总指挥决定是否（或授权值班领导、分管领导）启动矿井</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事故专项应急预案响应，应急救援指挥部立即下达抢险救灾命令，通知山能救护二大队内蒙古</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、井口保健站和内蒙能源医院，调度室通知指挥部各工作组应按各自职责，积极行动，尽职尽责做好抢险救灾工作。</w:t>
      </w:r>
    </w:p>
    <w:p w14:paraId="55FDFD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4.生产技术部、调度室、地质测量部提供救援需要的图纸和技术资料；信息中心相关人员利用安全监控系统不间断监测矿井各地点环境参数等情况，对监测数据进行分析，发生异常立即报告指挥部。</w:t>
      </w:r>
    </w:p>
    <w:p w14:paraId="7F5819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5.指挥部根据灾情分析判断巷道通风、供水等系统破坏程度及发生二次事故的可能性，积极研究制定救灾方案，并根据灾情发展及时调整优化方案，组织人力、调配装备和物资参加抢险救援，做好后勤保障工作。</w:t>
      </w:r>
    </w:p>
    <w:p w14:paraId="5D797D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山能救护二大队按照救援方案携带必要技术装备入井，按照《矿山救援规程》有关规定进行探查，主要负责灾区侦查、抢救遇险遇难人员、清理巷道、恢复巷道通风等。在进入灾区前，必须先检查有害气体浓度。救护队要分队进入，一小队负责查找遇险、受伤人员并积极组织抢救；在救援过程中救护队必须随时将灾情和救援情况汇报应急救援指挥部。</w:t>
      </w:r>
    </w:p>
    <w:p w14:paraId="39ED45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伤员时，必须判断伤势轻重，按照“三先三后”的原则处理，即先复苏后搬运、先止血后搬运、先固定后搬运。在抢救处理中必须专人检查和监护顶板情况，加强支护防止发生顶板冒顶。抢救遇险人员时，首先应通过电话、喊话或敲打管子、人员精确定位系统、生命探测仪等手段与遇险人员取得联系，探明遇险人数及位置。</w:t>
      </w:r>
    </w:p>
    <w:p w14:paraId="761D68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8.救出的人员全部运送到有新鲜风流的安全地点，医疗救护组要及时到达井下救治现场，对抢救出的受伤人员进行紧急医疗救治或护送上井救治。</w:t>
      </w:r>
    </w:p>
    <w:p w14:paraId="103F608A">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 xml:space="preserve">1.4.2.2 </w:t>
      </w:r>
      <w:r>
        <w:rPr>
          <w:rFonts w:hint="eastAsia" w:ascii="仿宋_GB2312" w:hAnsi="仿宋_GB2312" w:eastAsia="仿宋_GB2312" w:cs="仿宋_GB2312"/>
          <w:b/>
          <w:bCs/>
          <w:color w:val="auto"/>
          <w:sz w:val="30"/>
          <w:szCs w:val="30"/>
          <w:highlight w:val="none"/>
          <w:lang w:val="en-US" w:eastAsia="zh-CN"/>
        </w:rPr>
        <w:t>瓦斯</w:t>
      </w:r>
      <w:r>
        <w:rPr>
          <w:rFonts w:hint="eastAsia" w:ascii="仿宋_GB2312" w:hAnsi="仿宋_GB2312" w:eastAsia="仿宋_GB2312" w:cs="仿宋_GB2312"/>
          <w:b/>
          <w:bCs/>
          <w:color w:val="auto"/>
          <w:sz w:val="30"/>
          <w:szCs w:val="30"/>
          <w:highlight w:val="none"/>
        </w:rPr>
        <w:t>燃烧、爆炸事故处置措施</w:t>
      </w:r>
    </w:p>
    <w:p w14:paraId="790B3D0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1.现场人员在突然感觉到风流停滞、震荡，耳鼓膜有压力或者含尘气流冲击等爆炸冲击波传播迹象时，为减小随后燃烧波的威胁，应迅速采取以下自救措施：</w:t>
      </w:r>
    </w:p>
    <w:p w14:paraId="218579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（1）立即屏住呼吸就地卧倒，用湿毛巾快速捂住口鼻，并戴好自救器；</w:t>
      </w:r>
    </w:p>
    <w:p w14:paraId="39F977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（2）用衣物盖住身体裸露部分，使身体露出部分尽量减少，以防止爆炸瞬间产生的高温灼伤身体；</w:t>
      </w:r>
    </w:p>
    <w:p w14:paraId="2C4DDE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（3）在爆炸冲击波过后，按照避灾路线迅速撤离现场，并向调度室报告。</w:t>
      </w:r>
    </w:p>
    <w:p w14:paraId="7826BD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在发现爆炸事故发生迹象时，如听到爆炸声响、看到含尘烟流等，要立即屏住呼吸佩戴自救器，按照最短的安全避灾路线，尽可能避免进入有毒有害气体入侵巷道，迅速撤至安全地点直至地面，并向调度室报告。</w:t>
      </w:r>
    </w:p>
    <w:p w14:paraId="5199275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带班领导和班组长负责组织撤离和自救互救工作，安排现场人员及时外运伤员，在撤离受阻时可以先到新鲜风流或支护较完整的地点躲避等待救援。在安全情况下，采取断电等措施，控制事故的危害和危险源，防止事故扩大。</w:t>
      </w:r>
    </w:p>
    <w:p w14:paraId="1909AC0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调度室接到爆炸事故报告后，立即通知撤出井下受威胁区域人员，按规定切断灾区及其影响范围内的电源（掘进工作面局部通风机电源除外），防止再次爆炸。严格执行抢险救援期间入井、升井制度，安排专人清点升井人数，确认未升井人数。</w:t>
      </w:r>
    </w:p>
    <w:p w14:paraId="0F5CB1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通知相关单位，报告事故情况。第一时间通知矿山救护队出动救援，通知当地医疗机构进行医疗救护，通知矿井主要负责人、技术负责人及各有关部门相关人员开展救援，通知可能波及的相邻矿井和有关单位，按规定向上级有关部门和领导报告。</w:t>
      </w:r>
    </w:p>
    <w:p w14:paraId="14AD2A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采取有效措施，组织开展救援。矿井应保证主要通风机正常运转。矿井负责人要根据事故情况，调集企业救援力量，在确保安全的情况下，采取一切可能的措施，迅速组织开展救援工作，积极抢救被困遇险人员，防止事故扩大。</w:t>
      </w:r>
    </w:p>
    <w:p w14:paraId="43EB54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分析恢复通风的安全性，采取相应措施。在矿井主要通风机已停止运行情况下，必须分析重启矿井通风对灾区影响及诱发再次爆炸的危险性。在无法判断灾区是否存在再次爆炸危险性的情况下，应隔离灾区后再重启矿井主要通风机；在灾区局部通风机已停止运行情况下，应检查灾区是否残存火源并分析恢复通风供氧引发</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爆炸的危险性，恢复通风可能导致爆炸的危险未能排除时，不得随意开启风机。在矿井、灾区通风机尚未停止运行情况下，不得随意停风，避免</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积聚引发</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w:t>
      </w:r>
    </w:p>
    <w:p w14:paraId="235879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迅速恢复灾区通风。采取一切可能的措施，迅速恢复灾区的通风，排除爆炸产生的烟雾和有毒气体，让新鲜空气不断供给灾区，是抢救遇险人员最有效的方法，但在恢复通风前，必须查明有无火源存在，否则会再次引起爆炸。恢复掘进巷道的通风，建议采用一次恢复，远距离启动”的办法，具体操作是</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由救护队员戴机在巷道内接好风筒(由于巷道内缺氧，即使有高浓度</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存在、有火源存在，也不会爆炸)，然后，所有人员撤至安全区域，实行远距离启动局部通风机</w:t>
      </w:r>
      <w:r>
        <w:rPr>
          <w:rFonts w:hint="eastAsia" w:ascii="仿宋_GB2312" w:hAnsi="仿宋_GB2312" w:eastAsia="仿宋_GB2312" w:cs="仿宋_GB2312"/>
          <w:color w:val="auto"/>
          <w:kern w:val="0"/>
          <w:sz w:val="28"/>
          <w:szCs w:val="28"/>
          <w:highlight w:val="none"/>
          <w:lang w:val="en-US" w:eastAsia="zh-CN"/>
        </w:rPr>
        <w:t>恢复</w:t>
      </w:r>
      <w:r>
        <w:rPr>
          <w:rFonts w:hint="eastAsia" w:ascii="仿宋_GB2312" w:hAnsi="仿宋_GB2312" w:eastAsia="仿宋_GB2312" w:cs="仿宋_GB2312"/>
          <w:color w:val="auto"/>
          <w:kern w:val="0"/>
          <w:sz w:val="28"/>
          <w:szCs w:val="28"/>
          <w:highlight w:val="none"/>
        </w:rPr>
        <w:t>通风，</w:t>
      </w:r>
      <w:r>
        <w:rPr>
          <w:rFonts w:hint="eastAsia" w:ascii="仿宋_GB2312" w:hAnsi="仿宋_GB2312" w:eastAsia="仿宋_GB2312" w:cs="仿宋_GB2312"/>
          <w:color w:val="auto"/>
          <w:kern w:val="0"/>
          <w:sz w:val="28"/>
          <w:szCs w:val="28"/>
          <w:highlight w:val="none"/>
          <w:lang w:eastAsia="zh-CN"/>
        </w:rPr>
        <w:t>即使</w:t>
      </w:r>
      <w:r>
        <w:rPr>
          <w:rFonts w:hint="eastAsia" w:ascii="仿宋_GB2312" w:hAnsi="仿宋_GB2312" w:eastAsia="仿宋_GB2312" w:cs="仿宋_GB2312"/>
          <w:color w:val="auto"/>
          <w:kern w:val="0"/>
          <w:sz w:val="28"/>
          <w:szCs w:val="28"/>
          <w:highlight w:val="none"/>
        </w:rPr>
        <w:t>有再次爆炸的可能，也能确保救灾人员的安全。</w:t>
      </w:r>
    </w:p>
    <w:p w14:paraId="1945B75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9.选择最短的路线，以最快的速度到达人员最多的地方进行侦察、抢救。其方法:一是沿回风方向进入灾区;二是沿进风方向</w:t>
      </w:r>
      <w:r>
        <w:rPr>
          <w:rFonts w:hint="eastAsia" w:ascii="仿宋_GB2312" w:hAnsi="仿宋_GB2312" w:eastAsia="仿宋_GB2312" w:cs="仿宋_GB2312"/>
          <w:color w:val="auto"/>
          <w:kern w:val="0"/>
          <w:sz w:val="28"/>
          <w:szCs w:val="28"/>
          <w:highlight w:val="none"/>
          <w:lang w:eastAsia="zh-CN"/>
        </w:rPr>
        <w:t>进入</w:t>
      </w:r>
      <w:r>
        <w:rPr>
          <w:rFonts w:hint="eastAsia" w:ascii="仿宋_GB2312" w:hAnsi="仿宋_GB2312" w:eastAsia="仿宋_GB2312" w:cs="仿宋_GB2312"/>
          <w:color w:val="auto"/>
          <w:kern w:val="0"/>
          <w:sz w:val="28"/>
          <w:szCs w:val="28"/>
          <w:highlight w:val="none"/>
        </w:rPr>
        <w:t>灾区。选择哪条路线进入灾区要根据实际情况来判断。如果</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后，进风巷道塌、冒顶和堵塞，一时难以清理、维修，也可沿回风方向进入灾区，但在回风中行进，有烟雾和有毒气体的威胁，救护队员的行进速度较慢，但是回风往往也是遇险人员较集中的地点，救护力量多时，可以同时从进、回风两侧派人进入。</w:t>
      </w:r>
    </w:p>
    <w:p w14:paraId="2575854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10.扑灭爆炸引起的火灾。为了抢救遇险人员，防止事故蔓延和扩大，在灾区内发现火灾或残留火源，应立即扑灭，火势很大，一时难以扑灭时，应制止火焰向遇险人员所在地点蔓延，特别是火源地点附近有</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积聚的盲巷，待遇险人员全部救出后，再进行灭火工作，火区内有遇险人员时，应全力灭火。火势特大，并有引起</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爆炸危险，用直接灭火法不能扑灭，并确认火区内遇险人员已死亡无法救出时，可</w:t>
      </w:r>
      <w:r>
        <w:rPr>
          <w:rFonts w:hint="eastAsia" w:ascii="仿宋_GB2312" w:hAnsi="仿宋_GB2312" w:eastAsia="仿宋_GB2312" w:cs="仿宋_GB2312"/>
          <w:color w:val="auto"/>
          <w:kern w:val="0"/>
          <w:sz w:val="28"/>
          <w:szCs w:val="28"/>
          <w:highlight w:val="none"/>
          <w:lang w:eastAsia="zh-CN"/>
        </w:rPr>
        <w:t>考虑</w:t>
      </w:r>
      <w:r>
        <w:rPr>
          <w:rFonts w:hint="eastAsia" w:ascii="仿宋_GB2312" w:hAnsi="仿宋_GB2312" w:eastAsia="仿宋_GB2312" w:cs="仿宋_GB2312"/>
          <w:color w:val="auto"/>
          <w:kern w:val="0"/>
          <w:sz w:val="28"/>
          <w:szCs w:val="28"/>
          <w:highlight w:val="none"/>
        </w:rPr>
        <w:t>先对火区进行封闭，控制火势，待火灾熄灭后，再寻找遇难人员尸体。</w:t>
      </w:r>
    </w:p>
    <w:p w14:paraId="09ACE5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11.井下发生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爆炸事故后，首先到达的</w:t>
      </w:r>
      <w:r>
        <w:rPr>
          <w:rFonts w:hint="eastAsia" w:ascii="仿宋_GB2312" w:hAnsi="仿宋_GB2312" w:eastAsia="仿宋_GB2312" w:cs="仿宋_GB2312"/>
          <w:color w:val="auto"/>
          <w:kern w:val="0"/>
          <w:sz w:val="28"/>
          <w:szCs w:val="28"/>
          <w:highlight w:val="none"/>
          <w:lang w:eastAsia="zh-CN"/>
        </w:rPr>
        <w:t>救护队</w:t>
      </w:r>
      <w:r>
        <w:rPr>
          <w:rFonts w:hint="eastAsia" w:ascii="仿宋_GB2312" w:hAnsi="仿宋_GB2312" w:eastAsia="仿宋_GB2312" w:cs="仿宋_GB2312"/>
          <w:color w:val="auto"/>
          <w:kern w:val="0"/>
          <w:sz w:val="28"/>
          <w:szCs w:val="28"/>
          <w:highlight w:val="none"/>
        </w:rPr>
        <w:t>员在详细了解情况后，按照《矿山救援规程 》有关规定应立即对灾区进行全面侦察，侦察工作由矿山救护队担任。侦察前，侦察小队和待机小队必须做好战前检查工作，侦察时，井下基地必须设待机小队，并用灾区电话与侦察小队保持不断联系，侦察小队和待机小队都不少于6人；在救援过程中救护队必须随时将灾情和救援情况汇报应急救援指挥部，以便采取下一步行动措施。</w:t>
      </w:r>
    </w:p>
    <w:p w14:paraId="4EE74AAF">
      <w:pPr>
        <w:spacing w:line="440" w:lineRule="exact"/>
        <w:ind w:firstLine="560" w:firstLineChars="200"/>
        <w:rPr>
          <w:color w:val="auto"/>
          <w:highlight w:val="none"/>
        </w:rPr>
      </w:pPr>
      <w:r>
        <w:rPr>
          <w:rFonts w:hint="eastAsia" w:ascii="仿宋_GB2312" w:hAnsi="仿宋_GB2312" w:eastAsia="仿宋_GB2312" w:cs="仿宋_GB2312"/>
          <w:color w:val="auto"/>
          <w:kern w:val="0"/>
          <w:sz w:val="28"/>
          <w:szCs w:val="28"/>
          <w:highlight w:val="none"/>
        </w:rPr>
        <w:t>12.如果有害气体严重威胁回风流方向的人员，在进风方向的人员已安全撤退的情况下，可采取区域反风，救护队进入原回风侧引导人员撤离灾区，采取反风措施要慎重进行，未经周密研究不允许行动。</w:t>
      </w:r>
    </w:p>
    <w:p w14:paraId="4E28E659">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1.4.2.3 人员烧伤应急处置措施</w:t>
      </w:r>
    </w:p>
    <w:p w14:paraId="429F32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1.烧伤急救要采用各种有效的措施灭火，使伤员尽快脱离热源，尽量缩短烧伤时间。</w:t>
      </w:r>
    </w:p>
    <w:p w14:paraId="74571F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2.对已灭火而未脱衣服的伤员必须仔细检查全身情况，保持伤口清洁。伤员的衣服鞋袜用剪刀剪开后除去，伤口全部用清洁布片覆盖，防止污染。</w:t>
      </w:r>
    </w:p>
    <w:p w14:paraId="7E2ADD3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3.四肢烧伤时，先用清洁冷水冲洗，然后用清洁布片、消毒纱布覆盖并送往医院。</w:t>
      </w:r>
    </w:p>
    <w:p w14:paraId="3D52E3A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4.对爆炸冲击波烧伤的伤员要注意有无脑颅损伤，腹腔损伤和呼吸道损伤。</w:t>
      </w:r>
    </w:p>
    <w:p w14:paraId="286F872B">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 xml:space="preserve">1.4.2.4 </w:t>
      </w:r>
      <w:r>
        <w:rPr>
          <w:rFonts w:hint="eastAsia" w:ascii="仿宋_GB2312" w:hAnsi="仿宋_GB2312" w:eastAsia="仿宋_GB2312" w:cs="仿宋_GB2312"/>
          <w:b/>
          <w:bCs/>
          <w:color w:val="auto"/>
          <w:sz w:val="30"/>
          <w:szCs w:val="30"/>
          <w:highlight w:val="none"/>
          <w:lang w:val="en-US" w:eastAsia="zh-CN"/>
        </w:rPr>
        <w:t>瓦斯</w:t>
      </w:r>
      <w:r>
        <w:rPr>
          <w:rFonts w:hint="eastAsia" w:ascii="仿宋_GB2312" w:hAnsi="仿宋_GB2312" w:eastAsia="仿宋_GB2312" w:cs="仿宋_GB2312"/>
          <w:b/>
          <w:bCs/>
          <w:color w:val="auto"/>
          <w:sz w:val="30"/>
          <w:szCs w:val="30"/>
          <w:highlight w:val="none"/>
        </w:rPr>
        <w:t>等有害气体的中毒、窒息处置措施</w:t>
      </w:r>
    </w:p>
    <w:p w14:paraId="1807F69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1.对于有害气体中毒人员，应立即将遇难者抬到新鲜风流的巷道或地面，根据中毒情况采取急救措施： </w:t>
      </w:r>
    </w:p>
    <w:p w14:paraId="5EB511A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（1）在救护中，急救人员一定要沉着，动作要迅速，在进行急救的同时，等待专业医护人员救治。</w:t>
      </w:r>
    </w:p>
    <w:p w14:paraId="6569EF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一氧化碳中毒。一氧化碳中毒，呼吸浅而急促，失去知觉时面颊及身上有红斑，嘴唇呈桃红色。如果是一氧化碳中毒，中毒者还没有停止呼吸或呼吸虽已停止但心脏还有跳动，要立即解开衣服，搓摩他的皮肤，使他温暖以后，立即进行人工呼吸。如果心跳也停止了，就要迅速进行体外心脏按摩，同时进行人工呼吸。条件允许时可用苏生器输氧，输氧时可渗入5％～7％的二氧化碳，以兴奋呼吸中枢，促进恢复呼吸机能。</w:t>
      </w:r>
    </w:p>
    <w:p w14:paraId="6929D2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（3）如果是因二氧化碳窒息，情况也不太严重，只要把他抬到新鲜风流中稍作休息后，就会苏醒的。假如窒息时间较长，在进行人工呼吸前，先要搓擦他的皮肤。</w:t>
      </w:r>
    </w:p>
    <w:p w14:paraId="258B0F3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（4）硫化氢中毒。硫化氢中毒除施行人工呼吸或苏生器输氧外，可将浸以氯水溶液的棉花团、手帕等放入口腔内，氯是硫化氢的良好解毒物。 </w:t>
      </w:r>
    </w:p>
    <w:p w14:paraId="751A177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（5）二氧化硫中毒。由于二氧化硫遇水生成硫酸，对呼吸系统有强烈的刺激作用，严重时可能灼伤，所以除了施行人工呼吸或苏生器输氧外，应给中毒伤员</w:t>
      </w:r>
      <w:r>
        <w:rPr>
          <w:rFonts w:hint="eastAsia" w:ascii="仿宋_GB2312" w:hAnsi="仿宋_GB2312" w:eastAsia="仿宋_GB2312" w:cs="仿宋_GB2312"/>
          <w:color w:val="auto"/>
          <w:kern w:val="0"/>
          <w:sz w:val="28"/>
          <w:szCs w:val="28"/>
          <w:highlight w:val="none"/>
          <w:lang w:eastAsia="zh-CN"/>
        </w:rPr>
        <w:t>服用</w:t>
      </w:r>
      <w:r>
        <w:rPr>
          <w:rFonts w:hint="eastAsia" w:ascii="仿宋_GB2312" w:hAnsi="仿宋_GB2312" w:eastAsia="仿宋_GB2312" w:cs="仿宋_GB2312"/>
          <w:color w:val="auto"/>
          <w:kern w:val="0"/>
          <w:sz w:val="28"/>
          <w:szCs w:val="28"/>
          <w:highlight w:val="none"/>
        </w:rPr>
        <w:t>牛奶、蜂蜜或用苏打溶液漱口，以减轻刺激。</w:t>
      </w:r>
    </w:p>
    <w:p w14:paraId="67AE8B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（6）二氧化氮中毒。二氧化氮中毒最突出的</w:t>
      </w:r>
      <w:r>
        <w:rPr>
          <w:rFonts w:hint="eastAsia" w:ascii="仿宋_GB2312" w:hAnsi="仿宋_GB2312" w:eastAsia="仿宋_GB2312" w:cs="仿宋_GB2312"/>
          <w:color w:val="auto"/>
          <w:kern w:val="0"/>
          <w:sz w:val="28"/>
          <w:szCs w:val="28"/>
          <w:highlight w:val="none"/>
          <w:lang w:eastAsia="zh-CN"/>
        </w:rPr>
        <w:t>特征</w:t>
      </w:r>
      <w:r>
        <w:rPr>
          <w:rFonts w:hint="eastAsia" w:ascii="仿宋_GB2312" w:hAnsi="仿宋_GB2312" w:eastAsia="仿宋_GB2312" w:cs="仿宋_GB2312"/>
          <w:color w:val="auto"/>
          <w:kern w:val="0"/>
          <w:sz w:val="28"/>
          <w:szCs w:val="28"/>
          <w:highlight w:val="none"/>
        </w:rPr>
        <w:t>是指尖、头发变黄</w:t>
      </w:r>
      <w:r>
        <w:rPr>
          <w:rFonts w:hint="eastAsia" w:ascii="仿宋_GB2312" w:hAnsi="仿宋_GB2312" w:eastAsia="仿宋_GB2312" w:cs="仿宋_GB2312"/>
          <w:color w:val="auto"/>
          <w:kern w:val="0"/>
          <w:sz w:val="28"/>
          <w:szCs w:val="28"/>
          <w:highlight w:val="none"/>
          <w:lang w:eastAsia="zh-CN"/>
        </w:rPr>
        <w:t>，还有</w:t>
      </w:r>
      <w:r>
        <w:rPr>
          <w:rFonts w:hint="eastAsia" w:ascii="仿宋_GB2312" w:hAnsi="仿宋_GB2312" w:eastAsia="仿宋_GB2312" w:cs="仿宋_GB2312"/>
          <w:color w:val="auto"/>
          <w:kern w:val="0"/>
          <w:sz w:val="28"/>
          <w:szCs w:val="28"/>
          <w:highlight w:val="none"/>
        </w:rPr>
        <w:t xml:space="preserve">咳嗽、恶心、呕吐等症状。因为二氧化氮中毒时，会使伤员发生肺浮肿，因而不能采用人工呼吸，若必须用苏生器苏生时，在纯氧中不能掺二氧化碳，避免刺激伤员肺脏。最好是在苏生器供氧的情况下，使伤员能进行自主呼吸。 </w:t>
      </w:r>
    </w:p>
    <w:p w14:paraId="4A0DD4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因通风不畅引发的中毒事故除采取上述措施救护外，还必须给患者输氧，同时，立即送往医院抢救。因火灾引发中毒事故时，作业人员须采取自救措施：用湿毛巾捂住口鼻或佩戴自救器尽快撤离到新鲜风流中。</w:t>
      </w:r>
    </w:p>
    <w:p w14:paraId="529CC7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2.对窒息者的急救措施：</w:t>
      </w:r>
    </w:p>
    <w:p w14:paraId="42C505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（1）当进入通风的老巷等地区抢救窒息者时，因上述地区氧浓度低，一定要佩戴隔离式自救器或氧气呼吸器而不能佩戴过滤式自救器，进入险区后迅速将窒息者运送出灾区。</w:t>
      </w:r>
    </w:p>
    <w:p w14:paraId="46D78E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（2）井下除缺氧窒息外，其它各种有害气体中毒严重者都有窒息的可能，且窒息一旦发生，伤员的生命就处于危急状态，因此对上述人员的抢救，必须迅速及时争分夺秒的进行。</w:t>
      </w:r>
    </w:p>
    <w:p w14:paraId="41D12A0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对中毒性窒息应迅速把伤员运到空气新鲜的地方，给予氧气吸入，必要时可作口对口人工呼吸，对昏迷的伤员，一定要取侧俯卧位，使口中的分泌物流出，防止舌根后坠，如伤员出现脉搏微弱,血压下降循环衰竭</w:t>
      </w:r>
      <w:r>
        <w:rPr>
          <w:rFonts w:hint="eastAsia" w:ascii="仿宋_GB2312" w:hAnsi="仿宋_GB2312" w:eastAsia="仿宋_GB2312" w:cs="仿宋_GB2312"/>
          <w:color w:val="auto"/>
          <w:kern w:val="0"/>
          <w:sz w:val="28"/>
          <w:szCs w:val="28"/>
          <w:highlight w:val="none"/>
          <w:lang w:eastAsia="zh-CN"/>
        </w:rPr>
        <w:t>状态</w:t>
      </w:r>
      <w:r>
        <w:rPr>
          <w:rFonts w:hint="eastAsia" w:ascii="仿宋_GB2312" w:hAnsi="仿宋_GB2312" w:eastAsia="仿宋_GB2312" w:cs="仿宋_GB2312"/>
          <w:color w:val="auto"/>
          <w:kern w:val="0"/>
          <w:sz w:val="28"/>
          <w:szCs w:val="28"/>
          <w:highlight w:val="none"/>
        </w:rPr>
        <w:t>时，可注射强心剂，再送往医院进一步救治。</w:t>
      </w:r>
    </w:p>
    <w:p w14:paraId="7BCE688C">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1.4.2.5</w:t>
      </w:r>
      <w:r>
        <w:rPr>
          <w:rFonts w:hint="eastAsia" w:ascii="仿宋_GB2312" w:hAnsi="仿宋_GB2312" w:eastAsia="仿宋_GB2312" w:cs="仿宋_GB2312"/>
          <w:b/>
          <w:bCs/>
          <w:color w:val="auto"/>
          <w:sz w:val="30"/>
          <w:szCs w:val="30"/>
          <w:highlight w:val="none"/>
          <w:lang w:val="en-US" w:eastAsia="zh-CN"/>
        </w:rPr>
        <w:t>瓦斯</w:t>
      </w:r>
      <w:r>
        <w:rPr>
          <w:rFonts w:hint="eastAsia" w:ascii="仿宋_GB2312" w:hAnsi="仿宋_GB2312" w:eastAsia="仿宋_GB2312" w:cs="仿宋_GB2312"/>
          <w:b/>
          <w:bCs/>
          <w:color w:val="auto"/>
          <w:sz w:val="30"/>
          <w:szCs w:val="30"/>
          <w:highlight w:val="none"/>
        </w:rPr>
        <w:t>超限事故处置措施</w:t>
      </w:r>
    </w:p>
    <w:p w14:paraId="3D3C7E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超限报告的程序及要求</w:t>
      </w:r>
    </w:p>
    <w:p w14:paraId="5F0949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检查员发现井下</w:t>
      </w:r>
      <w:r>
        <w:rPr>
          <w:rFonts w:hint="eastAsia" w:ascii="仿宋_GB2312" w:hAnsi="仿宋_GB2312" w:eastAsia="仿宋_GB2312" w:cs="仿宋_GB2312"/>
          <w:color w:val="auto"/>
          <w:kern w:val="0"/>
          <w:sz w:val="28"/>
          <w:szCs w:val="28"/>
          <w:highlight w:val="none"/>
          <w:lang w:val="en-US" w:eastAsia="zh-CN"/>
        </w:rPr>
        <w:t>瓦斯超限</w:t>
      </w:r>
      <w:r>
        <w:rPr>
          <w:rFonts w:hint="eastAsia" w:ascii="仿宋_GB2312" w:hAnsi="仿宋_GB2312" w:eastAsia="仿宋_GB2312" w:cs="仿宋_GB2312"/>
          <w:color w:val="auto"/>
          <w:kern w:val="0"/>
          <w:sz w:val="28"/>
          <w:szCs w:val="28"/>
          <w:highlight w:val="none"/>
        </w:rPr>
        <w:t>，应立即报告有关人员查明</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超限的原因，及时进行现场处理，不能及时处理的，应立即撤出该地点工作的人员和受威胁区域的人员，并切断电源立即汇报调度室，</w:t>
      </w:r>
      <w:r>
        <w:rPr>
          <w:rFonts w:hint="eastAsia" w:ascii="仿宋_GB2312" w:hAnsi="仿宋_GB2312" w:eastAsia="仿宋_GB2312" w:cs="仿宋_GB2312"/>
          <w:color w:val="auto"/>
          <w:kern w:val="0"/>
          <w:sz w:val="28"/>
          <w:szCs w:val="28"/>
          <w:highlight w:val="none"/>
          <w:lang w:eastAsia="zh-CN"/>
        </w:rPr>
        <w:t>调度室</w:t>
      </w:r>
      <w:r>
        <w:rPr>
          <w:rFonts w:hint="eastAsia" w:ascii="仿宋_GB2312" w:hAnsi="仿宋_GB2312" w:eastAsia="仿宋_GB2312" w:cs="仿宋_GB2312"/>
          <w:color w:val="auto"/>
          <w:kern w:val="0"/>
          <w:sz w:val="28"/>
          <w:szCs w:val="28"/>
          <w:highlight w:val="none"/>
        </w:rPr>
        <w:t>按照程序汇报值班领导、跟班领导、总工程师、总经理。</w:t>
      </w:r>
    </w:p>
    <w:p w14:paraId="4379B6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超限的应急通知及处理程序</w:t>
      </w:r>
    </w:p>
    <w:p w14:paraId="76C950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发现</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超限，应立即按照程序汇报，必须坚持“</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超限就是事故”的原则，应立即查明</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超限的原因，由总工程师组织制定切实可行的</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超限排放或治理措施，经会审和贯彻学习后，必须有矿山救护队员参加排放和处理，未参加学习的人员不得参加，受</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超限威胁的地点，必须派人站岗，站岗人员及参加处理人员必须</w:t>
      </w:r>
      <w:r>
        <w:rPr>
          <w:rFonts w:hint="eastAsia" w:ascii="仿宋_GB2312" w:hAnsi="仿宋_GB2312" w:eastAsia="仿宋_GB2312" w:cs="仿宋_GB2312"/>
          <w:color w:val="auto"/>
          <w:kern w:val="0"/>
          <w:sz w:val="28"/>
          <w:szCs w:val="28"/>
          <w:highlight w:val="none"/>
          <w:lang w:eastAsia="zh-CN"/>
        </w:rPr>
        <w:t>佩戴</w:t>
      </w:r>
      <w:r>
        <w:rPr>
          <w:rFonts w:hint="eastAsia" w:ascii="仿宋_GB2312" w:hAnsi="仿宋_GB2312" w:eastAsia="仿宋_GB2312" w:cs="仿宋_GB2312"/>
          <w:color w:val="auto"/>
          <w:kern w:val="0"/>
          <w:sz w:val="28"/>
          <w:szCs w:val="28"/>
          <w:highlight w:val="none"/>
        </w:rPr>
        <w:t>自救器，矿灯必须经过机电管理部检查，完好后方能入井参加作业。</w:t>
      </w:r>
    </w:p>
    <w:p w14:paraId="0BD98B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排放措施</w:t>
      </w:r>
    </w:p>
    <w:p w14:paraId="3600F1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超限的地点主要为采面的上</w:t>
      </w:r>
      <w:r>
        <w:rPr>
          <w:rFonts w:hint="eastAsia" w:ascii="仿宋_GB2312" w:hAnsi="仿宋_GB2312" w:eastAsia="仿宋_GB2312" w:cs="仿宋_GB2312"/>
          <w:color w:val="auto"/>
          <w:kern w:val="0"/>
          <w:sz w:val="28"/>
          <w:szCs w:val="28"/>
          <w:highlight w:val="none"/>
          <w:lang w:eastAsia="zh-CN"/>
        </w:rPr>
        <w:t>隅角</w:t>
      </w:r>
      <w:r>
        <w:rPr>
          <w:rFonts w:hint="eastAsia" w:ascii="仿宋_GB2312" w:hAnsi="仿宋_GB2312" w:eastAsia="仿宋_GB2312" w:cs="仿宋_GB2312"/>
          <w:color w:val="auto"/>
          <w:kern w:val="0"/>
          <w:sz w:val="28"/>
          <w:szCs w:val="28"/>
          <w:highlight w:val="none"/>
        </w:rPr>
        <w:t>微风，通风不畅通在地点及停电停风的独头巷道，盲巷，</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涌出量超过该地点通风能力所能释放的地点。</w:t>
      </w:r>
    </w:p>
    <w:p w14:paraId="66C542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时应有计划排放，落实具体组织负责人参和参加排放人员及站岗人员。</w:t>
      </w:r>
    </w:p>
    <w:p w14:paraId="1CBD77D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（3）确保排放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流经的路线，确定站岗人员位置，以及停电撤人范围。</w:t>
      </w:r>
    </w:p>
    <w:p w14:paraId="28C6FDF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（4）凡参加处理</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超限的人员必须携带自救器，并严守岗位，听从指挥者的指令，严禁任何人进入排放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影响的范围内，在未</w:t>
      </w:r>
      <w:r>
        <w:rPr>
          <w:rFonts w:hint="eastAsia" w:ascii="仿宋_GB2312" w:hAnsi="仿宋_GB2312" w:eastAsia="仿宋_GB2312" w:cs="仿宋_GB2312"/>
          <w:color w:val="auto"/>
          <w:kern w:val="0"/>
          <w:sz w:val="28"/>
          <w:szCs w:val="28"/>
          <w:highlight w:val="none"/>
          <w:lang w:eastAsia="zh-CN"/>
        </w:rPr>
        <w:t>接到</w:t>
      </w:r>
      <w:r>
        <w:rPr>
          <w:rFonts w:hint="eastAsia" w:ascii="仿宋_GB2312" w:hAnsi="仿宋_GB2312" w:eastAsia="仿宋_GB2312" w:cs="仿宋_GB2312"/>
          <w:color w:val="auto"/>
          <w:kern w:val="0"/>
          <w:sz w:val="28"/>
          <w:szCs w:val="28"/>
          <w:highlight w:val="none"/>
        </w:rPr>
        <w:t>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完毕的通知前，站岗人员不得擅自离开岗位。</w:t>
      </w:r>
    </w:p>
    <w:p w14:paraId="132BAE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（5）参加排放人员的矿灯必须经过机电负责人检查，严禁失爆矿灯入井。</w:t>
      </w:r>
    </w:p>
    <w:p w14:paraId="753B77A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（6）排放时应根据</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浓度采取具体控制风量的方法，使排出的风流和全风压风流混合处混合后的甲烷浓度不超过1%,严禁“一风吹”排放。</w:t>
      </w:r>
    </w:p>
    <w:p w14:paraId="35E93C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（7）在混合风流处监测检查</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的瓦查员必须</w:t>
      </w:r>
      <w:r>
        <w:rPr>
          <w:rFonts w:hint="eastAsia" w:ascii="仿宋_GB2312" w:hAnsi="仿宋_GB2312" w:eastAsia="仿宋_GB2312" w:cs="仿宋_GB2312"/>
          <w:color w:val="auto"/>
          <w:kern w:val="0"/>
          <w:sz w:val="28"/>
          <w:szCs w:val="28"/>
          <w:highlight w:val="none"/>
          <w:lang w:eastAsia="zh-CN"/>
        </w:rPr>
        <w:t>佩戴</w:t>
      </w:r>
      <w:r>
        <w:rPr>
          <w:rFonts w:hint="eastAsia" w:ascii="仿宋_GB2312" w:hAnsi="仿宋_GB2312" w:eastAsia="仿宋_GB2312" w:cs="仿宋_GB2312"/>
          <w:color w:val="auto"/>
          <w:kern w:val="0"/>
          <w:sz w:val="28"/>
          <w:szCs w:val="28"/>
          <w:highlight w:val="none"/>
        </w:rPr>
        <w:t>自救器，随时检查</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，甲烷浓度超过1％时，立即通知排放人员控制风流、风量。</w:t>
      </w:r>
    </w:p>
    <w:p w14:paraId="0A94950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（8）独头巷道排放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时，应逐节排放，严禁“大处理”或“一风吹”。</w:t>
      </w:r>
    </w:p>
    <w:p w14:paraId="4C3E3A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必须有救护队参加，按《煤矿安全规程》的规定，携带必需的仪表、仪器、工具、材料。</w:t>
      </w:r>
    </w:p>
    <w:p w14:paraId="5FA2078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（10）在高浓度</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（甲烷浓度大于3%)淹没区域的电气设备，在排放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结束后，要把电气设备开关盖打开，排除内部积聚的</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后，方可人工复电。</w:t>
      </w:r>
    </w:p>
    <w:p w14:paraId="6CC62DD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（11）如需进入停风区内检查</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lang w:eastAsia="zh-CN"/>
        </w:rPr>
        <w:t>体</w:t>
      </w:r>
      <w:r>
        <w:rPr>
          <w:rFonts w:hint="eastAsia" w:ascii="仿宋_GB2312" w:hAnsi="仿宋_GB2312" w:eastAsia="仿宋_GB2312" w:cs="仿宋_GB2312"/>
          <w:color w:val="auto"/>
          <w:kern w:val="0"/>
          <w:sz w:val="28"/>
          <w:szCs w:val="28"/>
          <w:highlight w:val="none"/>
        </w:rPr>
        <w:t>，必须由两名以上瓦检员进行，检查时，两人前后相距5米，并携带氧气浓度检查仪表和甲烷检定器等气体检定器具，当氧气浓度低于18％或</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、二氧化碳浓度达到3％或</w:t>
      </w:r>
      <w:r>
        <w:rPr>
          <w:rFonts w:hint="eastAsia" w:ascii="仿宋_GB2312" w:hAnsi="仿宋_GB2312" w:eastAsia="仿宋_GB2312" w:cs="仿宋_GB2312"/>
          <w:color w:val="auto"/>
          <w:kern w:val="0"/>
          <w:sz w:val="28"/>
          <w:szCs w:val="28"/>
          <w:highlight w:val="none"/>
          <w:lang w:eastAsia="zh-CN"/>
        </w:rPr>
        <w:t>其他有害</w:t>
      </w:r>
      <w:r>
        <w:rPr>
          <w:rFonts w:hint="eastAsia" w:ascii="仿宋_GB2312" w:hAnsi="仿宋_GB2312" w:eastAsia="仿宋_GB2312" w:cs="仿宋_GB2312"/>
          <w:color w:val="auto"/>
          <w:kern w:val="0"/>
          <w:sz w:val="28"/>
          <w:szCs w:val="28"/>
          <w:highlight w:val="none"/>
        </w:rPr>
        <w:t>气体浓度超过《规程》规定时，应停止检查，立即撤除停风区域。</w:t>
      </w:r>
    </w:p>
    <w:p w14:paraId="0E5598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（12）排放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前必须检查局部通风机及机电设备附近10米内风流中的甲烷和二氧化碳浓度，确定其浓度均不超过0.5%确保通风机不产生循环风时，才可进行</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排放。</w:t>
      </w:r>
    </w:p>
    <w:p w14:paraId="4A028E0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（13）在通风不能解决、排除的</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超限区域，应在24小时内封闭完毕或实行抽放。</w:t>
      </w:r>
    </w:p>
    <w:p w14:paraId="590D4FA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（14）排放后设专人检查</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。在通风系统、供电系统及电气设备完好，而且排放区域的甲烷浓度低于1%和二氧化碳浓度不超过1.5%、氧气浓度不低于20%时，并要稳定30分钟后，</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浓度无变化时，排放才称结束，方可指定专人人工复电。</w:t>
      </w:r>
    </w:p>
    <w:p w14:paraId="236B2F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（15）排放结束后，由排放人员向排放组长汇报，由组长下达</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排放结束令，才能通知撤岗。</w:t>
      </w:r>
    </w:p>
    <w:p w14:paraId="60448FAD">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1.4.2.6 避灾路线</w:t>
      </w:r>
    </w:p>
    <w:p w14:paraId="5D34C8A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当发生</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事故时，采掘作业地点、主要硐室等避灾路线严格按《年度矿井灾害预防和处理计划》规定执行。</w:t>
      </w:r>
    </w:p>
    <w:p w14:paraId="5883422C">
      <w:pPr>
        <w:spacing w:line="520" w:lineRule="exact"/>
        <w:ind w:firstLine="600" w:firstLineChars="200"/>
        <w:outlineLvl w:val="2"/>
        <w:rPr>
          <w:rFonts w:ascii="楷体_GB2312" w:hAnsi="楷体_GB2312" w:eastAsia="楷体_GB2312" w:cs="楷体_GB2312"/>
          <w:color w:val="auto"/>
          <w:sz w:val="30"/>
          <w:szCs w:val="30"/>
          <w:highlight w:val="none"/>
        </w:rPr>
      </w:pPr>
      <w:bookmarkStart w:id="156" w:name="_Toc1332"/>
      <w:bookmarkStart w:id="157" w:name="_Toc27620"/>
      <w:r>
        <w:rPr>
          <w:rFonts w:hint="eastAsia" w:ascii="楷体_GB2312" w:hAnsi="楷体_GB2312" w:eastAsia="楷体_GB2312" w:cs="楷体_GB2312"/>
          <w:color w:val="auto"/>
          <w:sz w:val="30"/>
          <w:szCs w:val="30"/>
          <w:highlight w:val="none"/>
        </w:rPr>
        <w:t>1.5 应急保障</w:t>
      </w:r>
      <w:bookmarkEnd w:id="156"/>
      <w:bookmarkEnd w:id="157"/>
    </w:p>
    <w:p w14:paraId="547110A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ascii="仿宋" w:hAnsi="仿宋" w:eastAsia="仿宋" w:cs="仿宋"/>
          <w:b/>
          <w:bCs/>
          <w:color w:val="auto"/>
          <w:sz w:val="30"/>
          <w:szCs w:val="30"/>
          <w:highlight w:val="none"/>
        </w:rPr>
        <w:t>5.1 通信与信息保障</w:t>
      </w:r>
    </w:p>
    <w:p w14:paraId="00D8DC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4621C76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5DCFD0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w:t>
      </w:r>
      <w:r>
        <w:rPr>
          <w:rFonts w:hint="eastAsia" w:ascii="仿宋_GB2312" w:hAnsi="仿宋_GB2312" w:eastAsia="仿宋_GB2312" w:cs="仿宋_GB2312"/>
          <w:color w:val="auto"/>
          <w:kern w:val="0"/>
          <w:sz w:val="28"/>
          <w:szCs w:val="28"/>
          <w:highlight w:val="none"/>
          <w:lang w:val="en-US" w:eastAsia="zh-CN"/>
        </w:rPr>
        <w:t>6</w:t>
      </w:r>
      <w:r>
        <w:rPr>
          <w:rFonts w:hint="eastAsia" w:ascii="仿宋_GB2312" w:hAnsi="仿宋_GB2312" w:eastAsia="仿宋_GB2312" w:cs="仿宋_GB2312"/>
          <w:color w:val="auto"/>
          <w:kern w:val="0"/>
          <w:sz w:val="28"/>
          <w:szCs w:val="28"/>
          <w:highlight w:val="none"/>
          <w:lang w:eastAsia="zh-CN"/>
        </w:rPr>
        <w:t>年1月1日与</w:t>
      </w:r>
      <w:r>
        <w:rPr>
          <w:rFonts w:hint="eastAsia" w:ascii="仿宋_GB2312" w:hAnsi="仿宋_GB2312" w:eastAsia="仿宋_GB2312" w:cs="仿宋_GB2312"/>
          <w:color w:val="auto"/>
          <w:kern w:val="0"/>
          <w:sz w:val="28"/>
          <w:szCs w:val="28"/>
          <w:highlight w:val="none"/>
          <w:lang w:val="en-US" w:eastAsia="zh-CN"/>
        </w:rPr>
        <w:t>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09B43E4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2F6D2F4D">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3696FA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13A8D262">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05C70DF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bookmarkEnd w:id="131"/>
      <w:bookmarkEnd w:id="132"/>
      <w:bookmarkEnd w:id="133"/>
      <w:r>
        <w:rPr>
          <w:rFonts w:ascii="仿宋_GB2312" w:hAnsi="仿宋_GB2312" w:eastAsia="仿宋_GB2312" w:cs="仿宋_GB2312"/>
          <w:color w:val="auto"/>
          <w:kern w:val="0"/>
          <w:sz w:val="28"/>
          <w:szCs w:val="28"/>
          <w:highlight w:val="none"/>
        </w:rPr>
        <w:br w:type="page"/>
      </w:r>
    </w:p>
    <w:p w14:paraId="1AF98D17">
      <w:pPr>
        <w:spacing w:line="560" w:lineRule="exact"/>
        <w:ind w:firstLine="600" w:firstLineChars="200"/>
        <w:outlineLvl w:val="1"/>
        <w:rPr>
          <w:rFonts w:ascii="黑体" w:hAnsi="黑体" w:eastAsia="黑体" w:cs="黑体"/>
          <w:color w:val="auto"/>
          <w:sz w:val="30"/>
          <w:szCs w:val="30"/>
          <w:highlight w:val="none"/>
        </w:rPr>
      </w:pPr>
      <w:bookmarkStart w:id="158" w:name="_Toc21880"/>
      <w:bookmarkStart w:id="159" w:name="_Toc54"/>
      <w:r>
        <w:rPr>
          <w:rFonts w:hint="eastAsia" w:ascii="黑体" w:hAnsi="黑体" w:eastAsia="黑体" w:cs="黑体"/>
          <w:color w:val="auto"/>
          <w:sz w:val="30"/>
          <w:szCs w:val="30"/>
          <w:highlight w:val="none"/>
        </w:rPr>
        <w:t>2 煤尘爆炸事故专项应急预案</w:t>
      </w:r>
      <w:bookmarkEnd w:id="158"/>
      <w:bookmarkEnd w:id="159"/>
    </w:p>
    <w:p w14:paraId="684AEAF6">
      <w:pPr>
        <w:spacing w:line="560" w:lineRule="exact"/>
        <w:ind w:firstLine="600" w:firstLineChars="200"/>
        <w:outlineLvl w:val="2"/>
        <w:rPr>
          <w:rFonts w:ascii="楷体_GB2312" w:hAnsi="楷体_GB2312" w:eastAsia="楷体_GB2312" w:cs="楷体_GB2312"/>
          <w:color w:val="auto"/>
          <w:sz w:val="30"/>
          <w:szCs w:val="30"/>
          <w:highlight w:val="none"/>
        </w:rPr>
      </w:pPr>
      <w:bookmarkStart w:id="160" w:name="_Toc26657"/>
      <w:bookmarkStart w:id="161" w:name="_Toc28027"/>
      <w:r>
        <w:rPr>
          <w:rFonts w:hint="eastAsia" w:ascii="楷体_GB2312" w:hAnsi="楷体_GB2312" w:eastAsia="楷体_GB2312" w:cs="楷体_GB2312"/>
          <w:color w:val="auto"/>
          <w:sz w:val="30"/>
          <w:szCs w:val="30"/>
          <w:highlight w:val="none"/>
        </w:rPr>
        <w:t>2.1 适用范围</w:t>
      </w:r>
      <w:bookmarkEnd w:id="160"/>
      <w:bookmarkEnd w:id="161"/>
    </w:p>
    <w:p w14:paraId="650466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本专项应急预案适用于矿井在生产过程中，可能发生或已经发生的需要启动Ⅱ级及以上应急响应的煤尘爆炸（粉尘爆炸）事故（包括涉险事故）的应急救援工作。</w:t>
      </w:r>
    </w:p>
    <w:p w14:paraId="49B3C99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rPr>
        <w:t>煤尘爆炸</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66F876E7">
      <w:pPr>
        <w:spacing w:line="560" w:lineRule="exact"/>
        <w:ind w:firstLine="600" w:firstLineChars="200"/>
        <w:outlineLvl w:val="2"/>
        <w:rPr>
          <w:rFonts w:ascii="楷体_GB2312" w:hAnsi="楷体_GB2312" w:eastAsia="楷体_GB2312" w:cs="楷体_GB2312"/>
          <w:color w:val="auto"/>
          <w:sz w:val="30"/>
          <w:szCs w:val="30"/>
          <w:highlight w:val="none"/>
        </w:rPr>
      </w:pPr>
      <w:bookmarkStart w:id="162" w:name="_Toc15036"/>
      <w:bookmarkStart w:id="163" w:name="_Toc6254"/>
      <w:r>
        <w:rPr>
          <w:rFonts w:hint="eastAsia" w:ascii="楷体_GB2312" w:hAnsi="楷体_GB2312" w:eastAsia="楷体_GB2312" w:cs="楷体_GB2312"/>
          <w:color w:val="auto"/>
          <w:sz w:val="30"/>
          <w:szCs w:val="30"/>
          <w:highlight w:val="none"/>
        </w:rPr>
        <w:t>2.2 应急组织机构及职责</w:t>
      </w:r>
      <w:bookmarkEnd w:id="162"/>
      <w:bookmarkEnd w:id="163"/>
    </w:p>
    <w:p w14:paraId="1074DB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煤尘爆炸事故应急救援第一副总指挥由总工程师担任，</w:t>
      </w:r>
      <w:r>
        <w:rPr>
          <w:rFonts w:ascii="仿宋_GB2312" w:hAnsi="仿宋_GB2312" w:eastAsia="仿宋_GB2312" w:cs="仿宋_GB2312"/>
          <w:color w:val="auto"/>
          <w:kern w:val="0"/>
          <w:sz w:val="28"/>
          <w:szCs w:val="28"/>
          <w:highlight w:val="none"/>
        </w:rPr>
        <w:t>其他执行综合应急预案“2应急组织机构及职责”相关规定。</w:t>
      </w:r>
    </w:p>
    <w:p w14:paraId="58D39DBE">
      <w:pPr>
        <w:spacing w:line="560" w:lineRule="exact"/>
        <w:ind w:firstLine="600" w:firstLineChars="200"/>
        <w:outlineLvl w:val="2"/>
        <w:rPr>
          <w:rFonts w:ascii="楷体_GB2312" w:hAnsi="楷体_GB2312" w:eastAsia="楷体_GB2312" w:cs="楷体_GB2312"/>
          <w:color w:val="auto"/>
          <w:sz w:val="30"/>
          <w:szCs w:val="30"/>
          <w:highlight w:val="none"/>
        </w:rPr>
      </w:pPr>
      <w:bookmarkStart w:id="164" w:name="_Toc17406"/>
      <w:bookmarkStart w:id="165" w:name="_Toc2912"/>
      <w:r>
        <w:rPr>
          <w:rFonts w:hint="eastAsia" w:ascii="楷体_GB2312" w:hAnsi="楷体_GB2312" w:eastAsia="楷体_GB2312" w:cs="楷体_GB2312"/>
          <w:color w:val="auto"/>
          <w:sz w:val="30"/>
          <w:szCs w:val="30"/>
          <w:highlight w:val="none"/>
        </w:rPr>
        <w:t>2.3 响应启动</w:t>
      </w:r>
      <w:bookmarkEnd w:id="164"/>
      <w:bookmarkEnd w:id="165"/>
      <w:r>
        <w:rPr>
          <w:rFonts w:hint="eastAsia" w:ascii="楷体_GB2312" w:hAnsi="楷体_GB2312" w:eastAsia="楷体_GB2312" w:cs="楷体_GB2312"/>
          <w:color w:val="auto"/>
          <w:sz w:val="30"/>
          <w:szCs w:val="30"/>
          <w:highlight w:val="none"/>
        </w:rPr>
        <w:t xml:space="preserve"> </w:t>
      </w:r>
    </w:p>
    <w:p w14:paraId="0342676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发生煤尘爆炸事故后，直接启动Ⅰ级应急响应。</w:t>
      </w:r>
    </w:p>
    <w:p w14:paraId="6B338DBA">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3.1 召开现场应急会议</w:t>
      </w:r>
    </w:p>
    <w:p w14:paraId="67A88E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（1）调度室根据事故性质和领导指令，立即通知指挥部成员、各救援专业组相关人员及有关单位</w:t>
      </w:r>
      <w:r>
        <w:rPr>
          <w:rFonts w:hint="eastAsia" w:ascii="仿宋_GB2312" w:hAnsi="仿宋_GB2312" w:eastAsia="仿宋_GB2312" w:cs="仿宋_GB2312"/>
          <w:color w:val="auto"/>
          <w:kern w:val="0"/>
          <w:sz w:val="28"/>
          <w:szCs w:val="28"/>
          <w:highlight w:val="none"/>
          <w:lang w:eastAsia="zh-CN"/>
        </w:rPr>
        <w:t>、各</w:t>
      </w:r>
      <w:r>
        <w:rPr>
          <w:rFonts w:hint="eastAsia" w:ascii="仿宋_GB2312" w:hAnsi="仿宋_GB2312" w:eastAsia="仿宋_GB2312" w:cs="仿宋_GB2312"/>
          <w:color w:val="auto"/>
          <w:kern w:val="0"/>
          <w:sz w:val="28"/>
          <w:szCs w:val="28"/>
          <w:highlight w:val="none"/>
        </w:rPr>
        <w:t>部门人员到调度室会议室参加应急会议（不能到达现场的可以通过视频等形式参加）。</w:t>
      </w:r>
    </w:p>
    <w:p w14:paraId="73D1610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（2）应急会议由总指挥（授权人）主持召开，会议内容包括但不限于：</w:t>
      </w:r>
    </w:p>
    <w:p w14:paraId="22D39A9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①通报生产安全事故情况；</w:t>
      </w:r>
    </w:p>
    <w:p w14:paraId="66238E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②确定现场应急救援方案和应急处置措施；</w:t>
      </w:r>
    </w:p>
    <w:p w14:paraId="3A4292B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③确定各应急救援专业组工作任务；</w:t>
      </w:r>
    </w:p>
    <w:p w14:paraId="2A6525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④判断所需调配的内外部应急资源；</w:t>
      </w:r>
    </w:p>
    <w:p w14:paraId="5210B6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⑤确定应急上报的有关部门和内容。</w:t>
      </w:r>
    </w:p>
    <w:p w14:paraId="19DF9B7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（3）总指挥（授权人）根据事态发展及现场处置情况，适时召开后续应急会议。</w:t>
      </w:r>
    </w:p>
    <w:p w14:paraId="6ED284E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（4）各应急救援专业组适时召开组内会议，落实组内工作任务，及时将会议情况及决定事项报告现场应急指挥部。</w:t>
      </w:r>
    </w:p>
    <w:p w14:paraId="0F979E17">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3.2 信息上报</w:t>
      </w:r>
    </w:p>
    <w:p w14:paraId="24D470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2621C4A6">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2.</w:t>
      </w:r>
      <w:r>
        <w:rPr>
          <w:rFonts w:ascii="仿宋_GB2312" w:hAnsi="仿宋_GB2312" w:eastAsia="仿宋_GB2312" w:cs="仿宋_GB2312"/>
          <w:b/>
          <w:bCs/>
          <w:color w:val="auto"/>
          <w:sz w:val="30"/>
          <w:szCs w:val="30"/>
          <w:highlight w:val="none"/>
        </w:rPr>
        <w:t>3.3 资源协调</w:t>
      </w:r>
    </w:p>
    <w:p w14:paraId="7D6E15B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52EEE7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1999A84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w:t>
      </w:r>
      <w:r>
        <w:rPr>
          <w:rFonts w:hint="eastAsia" w:ascii="仿宋_GB2312" w:hAnsi="仿宋_GB2312" w:eastAsia="仿宋_GB2312" w:cs="仿宋_GB2312"/>
          <w:color w:val="auto"/>
          <w:kern w:val="0"/>
          <w:sz w:val="28"/>
          <w:szCs w:val="28"/>
          <w:highlight w:val="none"/>
        </w:rPr>
        <w:t>煤尘</w:t>
      </w:r>
      <w:r>
        <w:rPr>
          <w:rFonts w:ascii="仿宋_GB2312" w:hAnsi="仿宋_GB2312" w:eastAsia="仿宋_GB2312" w:cs="仿宋_GB2312"/>
          <w:color w:val="auto"/>
          <w:kern w:val="0"/>
          <w:sz w:val="28"/>
          <w:szCs w:val="28"/>
          <w:highlight w:val="none"/>
        </w:rPr>
        <w:t>事故应急救援技术专家，研究制定应急救援方案。</w:t>
      </w:r>
    </w:p>
    <w:p w14:paraId="28B1F5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w:t>
      </w:r>
      <w:r>
        <w:rPr>
          <w:rFonts w:hint="eastAsia" w:ascii="仿宋_GB2312" w:hAnsi="仿宋_GB2312" w:eastAsia="仿宋_GB2312" w:cs="仿宋_GB2312"/>
          <w:color w:val="auto"/>
          <w:kern w:val="0"/>
          <w:sz w:val="28"/>
          <w:szCs w:val="28"/>
          <w:highlight w:val="none"/>
        </w:rPr>
        <w:t>煤尘</w:t>
      </w:r>
      <w:r>
        <w:rPr>
          <w:rFonts w:ascii="仿宋_GB2312" w:hAnsi="仿宋_GB2312" w:eastAsia="仿宋_GB2312" w:cs="仿宋_GB2312"/>
          <w:color w:val="auto"/>
          <w:kern w:val="0"/>
          <w:sz w:val="28"/>
          <w:szCs w:val="28"/>
          <w:highlight w:val="none"/>
        </w:rPr>
        <w:t>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706BB2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4C50854B">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2.</w:t>
      </w:r>
      <w:r>
        <w:rPr>
          <w:rFonts w:ascii="仿宋_GB2312" w:hAnsi="仿宋_GB2312" w:eastAsia="仿宋_GB2312" w:cs="仿宋_GB2312"/>
          <w:b/>
          <w:bCs/>
          <w:color w:val="auto"/>
          <w:sz w:val="30"/>
          <w:szCs w:val="30"/>
          <w:highlight w:val="none"/>
        </w:rPr>
        <w:t>3.4 信息公开</w:t>
      </w:r>
    </w:p>
    <w:p w14:paraId="0F834E4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信息发布组组长或授权专人，统一通报事故及救援等有关信息</w:t>
      </w:r>
      <w:r>
        <w:rPr>
          <w:rFonts w:ascii="仿宋_GB2312" w:hAnsi="仿宋_GB2312" w:eastAsia="仿宋_GB2312" w:cs="仿宋_GB2312"/>
          <w:color w:val="auto"/>
          <w:kern w:val="0"/>
          <w:sz w:val="28"/>
          <w:szCs w:val="28"/>
          <w:highlight w:val="none"/>
        </w:rPr>
        <w:t>。</w:t>
      </w:r>
    </w:p>
    <w:p w14:paraId="74E41E6E">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2.</w:t>
      </w:r>
      <w:r>
        <w:rPr>
          <w:rFonts w:ascii="仿宋_GB2312" w:hAnsi="仿宋_GB2312" w:eastAsia="仿宋_GB2312" w:cs="仿宋_GB2312"/>
          <w:b/>
          <w:bCs/>
          <w:color w:val="auto"/>
          <w:sz w:val="30"/>
          <w:szCs w:val="30"/>
          <w:highlight w:val="none"/>
        </w:rPr>
        <w:t>3.5 后勤及财力保障</w:t>
      </w:r>
    </w:p>
    <w:p w14:paraId="4DD371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后勤保障组与物资供应组应根据应急会议工作安排及事故救援工作开展情况，做好后勤保障工作。做好救援人员生活、救援期间办公设施和车辆调度相关工作事宜，提前调集救援所需物资设备；做好伤亡或被困人员家属接待、食宿、车辆保障等工作。必要时，报请新矿内蒙古能源、新矿集团、能源集团或上级政府协调接待服务机构承担紧急接待任务和其它后勤保障工作。</w:t>
      </w:r>
    </w:p>
    <w:p w14:paraId="5DC7BB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后勤保障组根据事故应急救援工作需要，紧急调拔应急资金，保障应急救援资金及时到位。遇到资金困难应及时上报新矿内蒙古能源公司、新矿集团、能源集团进行协调解决。</w:t>
      </w:r>
    </w:p>
    <w:p w14:paraId="7A7F760A">
      <w:pPr>
        <w:spacing w:line="560" w:lineRule="exact"/>
        <w:ind w:firstLine="600" w:firstLineChars="200"/>
        <w:outlineLvl w:val="2"/>
        <w:rPr>
          <w:rFonts w:ascii="楷体_GB2312" w:hAnsi="楷体_GB2312" w:eastAsia="楷体_GB2312" w:cs="楷体_GB2312"/>
          <w:color w:val="auto"/>
          <w:sz w:val="30"/>
          <w:szCs w:val="30"/>
          <w:highlight w:val="none"/>
        </w:rPr>
      </w:pPr>
      <w:bookmarkStart w:id="166" w:name="_Toc12525"/>
      <w:bookmarkStart w:id="167" w:name="_Toc1176"/>
      <w:r>
        <w:rPr>
          <w:rFonts w:hint="eastAsia" w:ascii="楷体_GB2312" w:hAnsi="楷体_GB2312" w:eastAsia="楷体_GB2312" w:cs="楷体_GB2312"/>
          <w:color w:val="auto"/>
          <w:sz w:val="30"/>
          <w:szCs w:val="30"/>
          <w:highlight w:val="none"/>
        </w:rPr>
        <w:t>2.4 处置措施</w:t>
      </w:r>
      <w:bookmarkEnd w:id="166"/>
      <w:bookmarkEnd w:id="167"/>
    </w:p>
    <w:p w14:paraId="0C13E5C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根据《生产安全事故风险评估报告》评估结果，煤尘爆炸风险为重大风险。</w:t>
      </w:r>
    </w:p>
    <w:p w14:paraId="77019D55">
      <w:pPr>
        <w:spacing w:line="440" w:lineRule="exact"/>
        <w:ind w:firstLine="560" w:firstLineChars="200"/>
        <w:rPr>
          <w:rFonts w:ascii="仿宋" w:hAnsi="仿宋" w:eastAsia="仿宋" w:cs="仿宋"/>
          <w:b/>
          <w:bCs/>
          <w:color w:val="auto"/>
          <w:sz w:val="30"/>
          <w:szCs w:val="30"/>
          <w:highlight w:val="none"/>
        </w:rPr>
      </w:pPr>
      <w:r>
        <w:rPr>
          <w:rFonts w:hint="eastAsia" w:ascii="仿宋_GB2312" w:hAnsi="仿宋_GB2312" w:eastAsia="仿宋_GB2312" w:cs="仿宋_GB2312"/>
          <w:color w:val="auto"/>
          <w:kern w:val="0"/>
          <w:sz w:val="28"/>
          <w:szCs w:val="28"/>
          <w:highlight w:val="none"/>
        </w:rPr>
        <w:t>事故危害程度和影响范围：煤尘爆炸时会产生高温、高压、有毒有害气体，造成人员伤亡、机械设备和巷道的破坏，强大的冲击波会造成风流逆转，通风系统紊乱，可能引起其它地点连续爆炸。采掘工作面及其回风巷发生煤尘爆炸事故时将影响本采区内，当引起连续爆炸时将扩大影响范围，直至影响整个矿井。进风井及井底车场等主要进风巷道发生煤尘事故时，反风不及时将影响整个矿井。</w:t>
      </w:r>
    </w:p>
    <w:p w14:paraId="2650DD22">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2.4.1 应急处置原则</w:t>
      </w:r>
    </w:p>
    <w:p w14:paraId="76F3AF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667727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7899C5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1392FC9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1FC6DFDB">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2.4.2 处置措施</w:t>
      </w:r>
    </w:p>
    <w:p w14:paraId="2DD81E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1.现场人员在突然感觉到风流停滞、震荡，耳鼓膜有压力或者含尘气流冲击等爆炸冲击波传播迹象时，为减小随后燃烧波的威胁，应迅速采取以下自救措施：</w:t>
      </w:r>
    </w:p>
    <w:p w14:paraId="3910C8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（1）立即屏住呼吸就地卧倒，用湿毛巾快速捂住口鼻，并戴好自救器；</w:t>
      </w:r>
    </w:p>
    <w:p w14:paraId="38D9A2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（2）用衣物盖住身体裸露部分，使身体露出部分尽量减少，以防止爆炸瞬间产生的高温灼伤身体；</w:t>
      </w:r>
    </w:p>
    <w:p w14:paraId="71AFA7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（3）在爆炸冲击波过后，按照避灾路线迅速撤离现场，并向调度室报告。</w:t>
      </w:r>
    </w:p>
    <w:p w14:paraId="509F47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在发现爆炸事故发生迹象时，如听到爆炸声响、看到含尘烟流等，要立即屏住呼吸佩戴自救器，按照最短的安全避灾路线，尽可能避免进入有毒有害气体入侵巷道，迅速撤至安全地点直至地面，并向调度室报告。</w:t>
      </w:r>
    </w:p>
    <w:p w14:paraId="1D20C2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带班领导和班组长负责组织撤离和自救互救工作，安排现场人员及时外运伤员，在撤离受阻时可以先到新鲜风流或支护较完整的地点躲避等待救援。在安全情况下，采取断电等措施，控制事故的危害和危险源，防止事故扩大。</w:t>
      </w:r>
    </w:p>
    <w:p w14:paraId="18C9C96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调度室接到爆炸事故报告后，立即通知撤出井下受威胁区域人员，按规定切断灾区及其影响范围内的电源（掘进工作面局部通风机电源除外），防止再次爆炸。严格执行抢险救援期间入井、升井制度，安排专人清点升井人数，确认未升井人数。</w:t>
      </w:r>
    </w:p>
    <w:p w14:paraId="6592F7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通知相关单位，报告事故情况。第一时间通知矿山救护队出动救援，通知当地医疗机构进行医疗救护，通知矿井主要负责人、技术负责人及各有关部门相关人员开展救援，通知可能波及的相邻矿井和有关单位，按规定向上级有关部门和领导报告。</w:t>
      </w:r>
    </w:p>
    <w:p w14:paraId="45D7ABC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应急指挥部根据灾情分析判断通风系统破坏程度及发生连续爆炸、火灾的可能性，积极研究制定救灾方案，防止局部火灾或煤尘爆炸点燃被扬起的沉积煤尘或积聚的瓦斯，引起二次爆炸，严格停送电措施，防止事故扩大，并根据灾情发展及时调整优化方案。</w:t>
      </w:r>
    </w:p>
    <w:p w14:paraId="4B7CD47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采取有效措施，组织开展救援。矿井应保证主要通风机正常运转。矿井负责人要根据事故情况，调集企业救援力量，在确保安全的情况下，采取一切可能的措施，迅速组织开展救援工作，积极抢救被困遇险人员，防止事故扩大。</w:t>
      </w:r>
    </w:p>
    <w:p w14:paraId="69B420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8.选择最短的路线，以最快的速度到达人员最多的地方进行侦察、抢救。其方法:一是沿回风方向进入灾区;二是沿进风方向</w:t>
      </w:r>
      <w:r>
        <w:rPr>
          <w:rFonts w:hint="eastAsia" w:ascii="仿宋_GB2312" w:hAnsi="仿宋_GB2312" w:eastAsia="仿宋_GB2312" w:cs="仿宋_GB2312"/>
          <w:color w:val="auto"/>
          <w:kern w:val="0"/>
          <w:sz w:val="28"/>
          <w:szCs w:val="28"/>
          <w:highlight w:val="none"/>
          <w:lang w:eastAsia="zh-CN"/>
        </w:rPr>
        <w:t>进入</w:t>
      </w:r>
      <w:r>
        <w:rPr>
          <w:rFonts w:hint="eastAsia" w:ascii="仿宋_GB2312" w:hAnsi="仿宋_GB2312" w:eastAsia="仿宋_GB2312" w:cs="仿宋_GB2312"/>
          <w:color w:val="auto"/>
          <w:kern w:val="0"/>
          <w:sz w:val="28"/>
          <w:szCs w:val="28"/>
          <w:highlight w:val="none"/>
        </w:rPr>
        <w:t>灾区。选择哪条路线进入灾区要根据实际情况来判断。如果煤尘爆炸后，进风巷道塌、冒顶和堵塞，一时难以清理、维修，也可沿回风方向进入灾区，但在回风中行进，有烟雾和有毒气体的威胁，救护队员的行进速度较慢，但是回风往往也是遇险人员较集中的地点，救护力量多时，可以同时从进、回风两侧派人进入。</w:t>
      </w:r>
    </w:p>
    <w:p w14:paraId="219F15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迅速恢复灾区通风。采取一切可能的措施，迅速恢复灾区的通风，排除爆炸产生的烟雾和有毒气体，让新鲜空气不断供给灾区，是抢救遇险人员最有效的方法，但在恢复通风前，必须查明有无火源存在，否则会再次引起爆炸。恢复掘进巷道的通风，建议采用一次恢复，远距离启动”的办法，具体操作是:由救护队员戴机在巷道内接好风筒(由于巷道内缺氧，即使有高浓度瓦斯存在、有火源存在，也不会爆炸)，然后，所有人员撤至安全区域，实行远距离启动局部通风机恹复通风，</w:t>
      </w:r>
      <w:r>
        <w:rPr>
          <w:rFonts w:hint="eastAsia" w:ascii="仿宋_GB2312" w:hAnsi="仿宋_GB2312" w:eastAsia="仿宋_GB2312" w:cs="仿宋_GB2312"/>
          <w:color w:val="auto"/>
          <w:kern w:val="0"/>
          <w:sz w:val="28"/>
          <w:szCs w:val="28"/>
          <w:highlight w:val="none"/>
          <w:lang w:eastAsia="zh-CN"/>
        </w:rPr>
        <w:t>即使</w:t>
      </w:r>
      <w:r>
        <w:rPr>
          <w:rFonts w:hint="eastAsia" w:ascii="仿宋_GB2312" w:hAnsi="仿宋_GB2312" w:eastAsia="仿宋_GB2312" w:cs="仿宋_GB2312"/>
          <w:color w:val="auto"/>
          <w:kern w:val="0"/>
          <w:sz w:val="28"/>
          <w:szCs w:val="28"/>
          <w:highlight w:val="none"/>
        </w:rPr>
        <w:t>有再次爆炸的可能，也能确保救灾人员的安全。</w:t>
      </w:r>
    </w:p>
    <w:p w14:paraId="54407A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扑灭爆炸引起的火灾。为了抢救遇险人员，防止事故蔓延和扩大，在灾区内发现火灾或残留火源，应立即扑灭，火势很大，一时难以扑灭时，应制止火焰向遇险人员所在地点蔓延，特别是火源地点附近有瓦斯积聚的盲巷，待遇险人员全部救出后，再进行灭火工作，火区内有遇险人员时，应全力灭火。火势特大，并有引起瓦斯爆炸危险，用直接灭火法不能扑灭，并确认火区内遇险人员已死亡无法救出时，可</w:t>
      </w:r>
      <w:r>
        <w:rPr>
          <w:rFonts w:hint="eastAsia" w:ascii="仿宋_GB2312" w:hAnsi="仿宋_GB2312" w:eastAsia="仿宋_GB2312" w:cs="仿宋_GB2312"/>
          <w:color w:val="auto"/>
          <w:kern w:val="0"/>
          <w:sz w:val="28"/>
          <w:szCs w:val="28"/>
          <w:highlight w:val="none"/>
          <w:lang w:eastAsia="zh-CN"/>
        </w:rPr>
        <w:t>考虑</w:t>
      </w:r>
      <w:r>
        <w:rPr>
          <w:rFonts w:hint="eastAsia" w:ascii="仿宋_GB2312" w:hAnsi="仿宋_GB2312" w:eastAsia="仿宋_GB2312" w:cs="仿宋_GB2312"/>
          <w:color w:val="auto"/>
          <w:kern w:val="0"/>
          <w:sz w:val="28"/>
          <w:szCs w:val="28"/>
          <w:highlight w:val="none"/>
        </w:rPr>
        <w:t>先对火区进行封闭，控制火势，待火灾熄灭后，再寻找遇难人员。</w:t>
      </w:r>
    </w:p>
    <w:p w14:paraId="34ABEF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11.井下发生煤尘爆炸事故后，首先到达的</w:t>
      </w:r>
      <w:r>
        <w:rPr>
          <w:rFonts w:hint="eastAsia" w:ascii="仿宋_GB2312" w:hAnsi="仿宋_GB2312" w:eastAsia="仿宋_GB2312" w:cs="仿宋_GB2312"/>
          <w:color w:val="auto"/>
          <w:kern w:val="0"/>
          <w:sz w:val="28"/>
          <w:szCs w:val="28"/>
          <w:highlight w:val="none"/>
          <w:lang w:eastAsia="zh-CN"/>
        </w:rPr>
        <w:t>救护队</w:t>
      </w:r>
      <w:r>
        <w:rPr>
          <w:rFonts w:hint="eastAsia" w:ascii="仿宋_GB2312" w:hAnsi="仿宋_GB2312" w:eastAsia="仿宋_GB2312" w:cs="仿宋_GB2312"/>
          <w:color w:val="auto"/>
          <w:kern w:val="0"/>
          <w:sz w:val="28"/>
          <w:szCs w:val="28"/>
          <w:highlight w:val="none"/>
        </w:rPr>
        <w:t>员在详细了解情况后，按照《矿山救援规程 》有关规定应立即对灾区进行全面侦察，侦察工作由矿山救护队担任。侦察前，侦察小队和待机小队必须做好战前检查工作，侦察时，井下基地必须设待机小队，并用灾区电话与侦察小队保持不断联系，侦察小队和待机小队都不少于6人；在救援过程中救护队必须随时将灾情和救援情况汇报应急救援指挥部，以便采取下一步行动措施。</w:t>
      </w:r>
    </w:p>
    <w:p w14:paraId="361F21E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12.安全监测监控中心对监测数据进行分析，发生异常立即报告指挥部。</w:t>
      </w:r>
    </w:p>
    <w:p w14:paraId="66C46D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掘进巷道发生煤尘爆炸事故，在一般情况下，通风设施通常被破坏，灾区处于停止供风状态，救护队伍到达现场后，要全面侦察，查明火源、温度、有害气体、支护情况。如果需要开动局部通风机供风时，必须请示总指挥后再确定，不得贸然行事。</w:t>
      </w:r>
    </w:p>
    <w:p w14:paraId="77729FD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采煤工作面及其附近巷道煤尘爆炸事故。如果风流畅通非救护队员应在进风侧配合救护队抢险救灾；如果通风系统遭到破坏时，抢险救灾工作要由救护队员进行。如果爆炸引起火灾事故时，救护队员必须在救人的同时，用灭火器材对火源彻底扑灭。火灾扑灭不了时，要立即请示指挥部，决定是否采取封闭火区措施。</w:t>
      </w:r>
    </w:p>
    <w:p w14:paraId="3BBF85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15.如果有害气体严重威胁回风流方向的人员，在进风方向的人员已安全撤退的情况下，可采取区域反风，救护队进入原回风侧引导人员撤离灾区，采取反风措施要慎重进行，未经周密研究不允许行动。</w:t>
      </w:r>
    </w:p>
    <w:p w14:paraId="617AAC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16.避灾路线</w:t>
      </w:r>
    </w:p>
    <w:p w14:paraId="73D9E7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当发生煤尘爆炸事故时，采掘作业地点、主要硐室等避灾路线严格按《年度矿井灾害预防和处理计划》规定执行。</w:t>
      </w:r>
    </w:p>
    <w:p w14:paraId="00C2ED9D">
      <w:pPr>
        <w:spacing w:line="560" w:lineRule="exact"/>
        <w:ind w:firstLine="600" w:firstLineChars="200"/>
        <w:outlineLvl w:val="2"/>
        <w:rPr>
          <w:rFonts w:ascii="楷体_GB2312" w:hAnsi="楷体_GB2312" w:eastAsia="楷体_GB2312" w:cs="楷体_GB2312"/>
          <w:color w:val="auto"/>
          <w:sz w:val="30"/>
          <w:szCs w:val="30"/>
          <w:highlight w:val="none"/>
        </w:rPr>
      </w:pPr>
      <w:bookmarkStart w:id="168" w:name="_Toc26444"/>
      <w:bookmarkStart w:id="169" w:name="_Toc24409"/>
      <w:r>
        <w:rPr>
          <w:rFonts w:hint="eastAsia" w:ascii="楷体_GB2312" w:hAnsi="楷体_GB2312" w:eastAsia="楷体_GB2312" w:cs="楷体_GB2312"/>
          <w:color w:val="auto"/>
          <w:sz w:val="30"/>
          <w:szCs w:val="30"/>
          <w:highlight w:val="none"/>
        </w:rPr>
        <w:t>2.5 应急保障</w:t>
      </w:r>
      <w:bookmarkEnd w:id="168"/>
      <w:bookmarkEnd w:id="169"/>
    </w:p>
    <w:p w14:paraId="3D44151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5.1 通信与信息保障</w:t>
      </w:r>
    </w:p>
    <w:p w14:paraId="4EF97E6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2B4CE87C">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5AB705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030368C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7834C09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5CC1E0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084BEFC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7DA90BA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570A469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7007C660">
      <w:pPr>
        <w:spacing w:line="560" w:lineRule="exact"/>
        <w:ind w:firstLine="600" w:firstLineChars="200"/>
        <w:outlineLvl w:val="1"/>
        <w:rPr>
          <w:rFonts w:ascii="黑体" w:hAnsi="黑体" w:eastAsia="黑体" w:cs="黑体"/>
          <w:color w:val="auto"/>
          <w:sz w:val="30"/>
          <w:szCs w:val="30"/>
          <w:highlight w:val="none"/>
        </w:rPr>
      </w:pPr>
      <w:bookmarkStart w:id="170" w:name="_Toc9306"/>
      <w:bookmarkStart w:id="171" w:name="_Toc10376"/>
      <w:r>
        <w:rPr>
          <w:rFonts w:hint="eastAsia" w:ascii="黑体" w:hAnsi="黑体" w:eastAsia="黑体" w:cs="黑体"/>
          <w:color w:val="auto"/>
          <w:sz w:val="30"/>
          <w:szCs w:val="30"/>
          <w:highlight w:val="none"/>
        </w:rPr>
        <w:t xml:space="preserve">3 </w:t>
      </w:r>
      <w:r>
        <w:rPr>
          <w:rFonts w:hint="eastAsia" w:ascii="黑体" w:hAnsi="黑体" w:eastAsia="黑体" w:cs="黑体"/>
          <w:color w:val="auto"/>
          <w:sz w:val="30"/>
          <w:szCs w:val="30"/>
          <w:highlight w:val="none"/>
          <w:lang w:val="en-US" w:eastAsia="zh-CN"/>
        </w:rPr>
        <w:t>矿井</w:t>
      </w:r>
      <w:r>
        <w:rPr>
          <w:rFonts w:hint="eastAsia" w:ascii="黑体" w:hAnsi="黑体" w:eastAsia="黑体" w:cs="黑体"/>
          <w:color w:val="auto"/>
          <w:sz w:val="30"/>
          <w:szCs w:val="30"/>
          <w:highlight w:val="none"/>
        </w:rPr>
        <w:t>火灾事故专项应急预案</w:t>
      </w:r>
      <w:bookmarkEnd w:id="170"/>
      <w:bookmarkEnd w:id="171"/>
    </w:p>
    <w:p w14:paraId="6E42F895">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172" w:name="_Toc27513"/>
      <w:bookmarkStart w:id="173" w:name="_Toc5301"/>
      <w:r>
        <w:rPr>
          <w:rFonts w:hint="eastAsia" w:ascii="楷体_GB2312" w:hAnsi="楷体_GB2312" w:eastAsia="楷体_GB2312" w:cs="楷体_GB2312"/>
          <w:b/>
          <w:bCs/>
          <w:color w:val="auto"/>
          <w:sz w:val="30"/>
          <w:szCs w:val="30"/>
          <w:highlight w:val="none"/>
        </w:rPr>
        <w:t>3.1 适用范围</w:t>
      </w:r>
      <w:bookmarkEnd w:id="172"/>
      <w:bookmarkEnd w:id="173"/>
    </w:p>
    <w:p w14:paraId="0EECD4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w:t>
      </w:r>
      <w:r>
        <w:rPr>
          <w:rFonts w:hint="eastAsia" w:ascii="仿宋_GB2312" w:hAnsi="仿宋_GB2312" w:eastAsia="仿宋_GB2312" w:cs="仿宋_GB2312"/>
          <w:color w:val="auto"/>
          <w:kern w:val="0"/>
          <w:sz w:val="28"/>
          <w:szCs w:val="28"/>
          <w:highlight w:val="none"/>
          <w:lang w:val="en-US" w:eastAsia="zh-CN"/>
        </w:rPr>
        <w:t>长城一矿井上下作业地点</w:t>
      </w:r>
      <w:r>
        <w:rPr>
          <w:rFonts w:hint="eastAsia" w:ascii="仿宋_GB2312" w:hAnsi="仿宋_GB2312" w:eastAsia="仿宋_GB2312" w:cs="仿宋_GB2312"/>
          <w:color w:val="auto"/>
          <w:kern w:val="0"/>
          <w:sz w:val="28"/>
          <w:szCs w:val="28"/>
          <w:highlight w:val="none"/>
        </w:rPr>
        <w:t>在生产过程中，可能发生或已经发生的需要启动Ⅱ级及以上应急响应的火灾事故（包括涉险事故）的应急救援工作。</w:t>
      </w:r>
    </w:p>
    <w:p w14:paraId="2DF3DF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矿井</w:t>
      </w:r>
      <w:r>
        <w:rPr>
          <w:rFonts w:hint="eastAsia" w:ascii="仿宋_GB2312" w:hAnsi="仿宋_GB2312" w:eastAsia="仿宋_GB2312" w:cs="仿宋_GB2312"/>
          <w:color w:val="auto"/>
          <w:kern w:val="0"/>
          <w:sz w:val="28"/>
          <w:szCs w:val="28"/>
          <w:highlight w:val="none"/>
        </w:rPr>
        <w:t>火灾</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p>
    <w:p w14:paraId="2776D829">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174" w:name="_Toc2044"/>
      <w:bookmarkStart w:id="175" w:name="_Toc13226"/>
      <w:r>
        <w:rPr>
          <w:rFonts w:hint="eastAsia" w:ascii="楷体_GB2312" w:hAnsi="楷体_GB2312" w:eastAsia="楷体_GB2312" w:cs="楷体_GB2312"/>
          <w:b/>
          <w:bCs/>
          <w:color w:val="auto"/>
          <w:sz w:val="30"/>
          <w:szCs w:val="30"/>
          <w:highlight w:val="none"/>
        </w:rPr>
        <w:t>3.2 应急组织机构及职责</w:t>
      </w:r>
      <w:bookmarkEnd w:id="174"/>
      <w:bookmarkEnd w:id="175"/>
    </w:p>
    <w:p w14:paraId="3248716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lang w:val="en-US" w:eastAsia="zh-CN"/>
        </w:rPr>
        <w:t>矿井</w:t>
      </w:r>
      <w:r>
        <w:rPr>
          <w:rFonts w:hint="eastAsia" w:ascii="仿宋_GB2312" w:hAnsi="仿宋_GB2312" w:eastAsia="仿宋_GB2312" w:cs="仿宋_GB2312"/>
          <w:color w:val="auto"/>
          <w:kern w:val="0"/>
          <w:sz w:val="28"/>
          <w:szCs w:val="28"/>
          <w:highlight w:val="none"/>
        </w:rPr>
        <w:t>火灾</w:t>
      </w:r>
      <w:r>
        <w:rPr>
          <w:rFonts w:ascii="仿宋_GB2312" w:hAnsi="仿宋_GB2312" w:eastAsia="仿宋_GB2312" w:cs="仿宋_GB2312"/>
          <w:color w:val="auto"/>
          <w:kern w:val="0"/>
          <w:sz w:val="28"/>
          <w:szCs w:val="28"/>
          <w:highlight w:val="none"/>
        </w:rPr>
        <w:t>事故应急救援指挥部，负责组织指挥应急救援工作，</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4DB29286">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176" w:name="_Toc6611"/>
      <w:bookmarkStart w:id="177" w:name="_Toc31038"/>
      <w:r>
        <w:rPr>
          <w:rFonts w:hint="eastAsia" w:ascii="楷体_GB2312" w:hAnsi="楷体_GB2312" w:eastAsia="楷体_GB2312" w:cs="楷体_GB2312"/>
          <w:b/>
          <w:bCs/>
          <w:color w:val="auto"/>
          <w:sz w:val="30"/>
          <w:szCs w:val="30"/>
          <w:highlight w:val="none"/>
        </w:rPr>
        <w:t>3.3 响应启动</w:t>
      </w:r>
      <w:bookmarkEnd w:id="176"/>
      <w:bookmarkEnd w:id="177"/>
      <w:r>
        <w:rPr>
          <w:rFonts w:hint="eastAsia" w:ascii="楷体_GB2312" w:hAnsi="楷体_GB2312" w:eastAsia="楷体_GB2312" w:cs="楷体_GB2312"/>
          <w:b/>
          <w:bCs/>
          <w:color w:val="auto"/>
          <w:sz w:val="30"/>
          <w:szCs w:val="30"/>
          <w:highlight w:val="none"/>
        </w:rPr>
        <w:t xml:space="preserve"> </w:t>
      </w:r>
    </w:p>
    <w:p w14:paraId="3984714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发生火灾事故，</w:t>
      </w:r>
      <w:r>
        <w:rPr>
          <w:rFonts w:hint="eastAsia" w:ascii="仿宋_GB2312" w:hAnsi="仿宋_GB2312" w:eastAsia="仿宋_GB2312" w:cs="仿宋_GB2312"/>
          <w:color w:val="auto"/>
          <w:kern w:val="0"/>
          <w:sz w:val="28"/>
          <w:szCs w:val="28"/>
          <w:highlight w:val="none"/>
          <w:lang w:val="en-US" w:eastAsia="zh-CN"/>
        </w:rPr>
        <w:t>利用现场应急物资无法有效处置，威胁现场作业人员安全时，</w:t>
      </w:r>
      <w:r>
        <w:rPr>
          <w:rFonts w:hint="eastAsia" w:ascii="仿宋_GB2312" w:hAnsi="仿宋_GB2312" w:eastAsia="仿宋_GB2312" w:cs="仿宋_GB2312"/>
          <w:color w:val="auto"/>
          <w:kern w:val="0"/>
          <w:sz w:val="28"/>
          <w:szCs w:val="28"/>
          <w:highlight w:val="none"/>
        </w:rPr>
        <w:t>立即启动Ⅱ级应急响应，按本预案组织开展应急救援行动。若事故不能得到控制，有扩大趋势，</w:t>
      </w:r>
      <w:r>
        <w:rPr>
          <w:rFonts w:hint="eastAsia" w:ascii="仿宋_GB2312" w:hAnsi="仿宋_GB2312" w:eastAsia="仿宋_GB2312" w:cs="仿宋_GB2312"/>
          <w:color w:val="auto"/>
          <w:kern w:val="0"/>
          <w:sz w:val="28"/>
          <w:szCs w:val="28"/>
          <w:highlight w:val="none"/>
          <w:lang w:val="en-US" w:eastAsia="zh-CN"/>
        </w:rPr>
        <w:t>立即</w:t>
      </w:r>
      <w:r>
        <w:rPr>
          <w:rFonts w:hint="eastAsia" w:ascii="仿宋_GB2312" w:hAnsi="仿宋_GB2312" w:eastAsia="仿宋_GB2312" w:cs="仿宋_GB2312"/>
          <w:color w:val="auto"/>
          <w:kern w:val="0"/>
          <w:sz w:val="28"/>
          <w:szCs w:val="28"/>
          <w:highlight w:val="none"/>
        </w:rPr>
        <w:t>启动Ⅰ级响应。</w:t>
      </w:r>
    </w:p>
    <w:p w14:paraId="0F7F8533">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w:t>
      </w:r>
      <w:r>
        <w:rPr>
          <w:rFonts w:ascii="仿宋_GB2312" w:hAnsi="仿宋_GB2312" w:eastAsia="仿宋_GB2312" w:cs="仿宋_GB2312"/>
          <w:b/>
          <w:bCs/>
          <w:color w:val="auto"/>
          <w:sz w:val="30"/>
          <w:szCs w:val="30"/>
          <w:highlight w:val="none"/>
        </w:rPr>
        <w:t>3.1 召开现场应急会议</w:t>
      </w:r>
    </w:p>
    <w:p w14:paraId="1CF35A9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指挥部根据事故性质，通知各指挥部成员、救援专业组，单位负责人，参加现场应急会议，通报事故情况，制定现场应急救援方案，明确各应急救援工作组的任务。根据事态发展情况，随时召开应急会议。</w:t>
      </w:r>
    </w:p>
    <w:p w14:paraId="5E71499D">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w:t>
      </w:r>
      <w:r>
        <w:rPr>
          <w:rFonts w:ascii="仿宋_GB2312" w:hAnsi="仿宋_GB2312" w:eastAsia="仿宋_GB2312" w:cs="仿宋_GB2312"/>
          <w:b/>
          <w:bCs/>
          <w:color w:val="auto"/>
          <w:sz w:val="30"/>
          <w:szCs w:val="30"/>
          <w:highlight w:val="none"/>
        </w:rPr>
        <w:t>3.2 信息上报</w:t>
      </w:r>
    </w:p>
    <w:p w14:paraId="45EE882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1A5EA274">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w:t>
      </w:r>
      <w:r>
        <w:rPr>
          <w:rFonts w:ascii="仿宋_GB2312" w:hAnsi="仿宋_GB2312" w:eastAsia="仿宋_GB2312" w:cs="仿宋_GB2312"/>
          <w:b/>
          <w:bCs/>
          <w:color w:val="auto"/>
          <w:sz w:val="30"/>
          <w:szCs w:val="30"/>
          <w:highlight w:val="none"/>
        </w:rPr>
        <w:t>3.3 资源协调</w:t>
      </w:r>
    </w:p>
    <w:p w14:paraId="2BDBA6F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101AEDC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6B9A85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6A82369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602E08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3104BF09">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w:t>
      </w:r>
      <w:r>
        <w:rPr>
          <w:rFonts w:ascii="仿宋_GB2312" w:hAnsi="仿宋_GB2312" w:eastAsia="仿宋_GB2312" w:cs="仿宋_GB2312"/>
          <w:b/>
          <w:bCs/>
          <w:color w:val="auto"/>
          <w:sz w:val="30"/>
          <w:szCs w:val="30"/>
          <w:highlight w:val="none"/>
        </w:rPr>
        <w:t>3.4 信息公开</w:t>
      </w:r>
    </w:p>
    <w:p w14:paraId="682237E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73DA8E91">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3.</w:t>
      </w:r>
      <w:r>
        <w:rPr>
          <w:rFonts w:ascii="仿宋_GB2312" w:hAnsi="仿宋_GB2312" w:eastAsia="仿宋_GB2312" w:cs="仿宋_GB2312"/>
          <w:b/>
          <w:bCs/>
          <w:color w:val="auto"/>
          <w:sz w:val="30"/>
          <w:szCs w:val="30"/>
          <w:highlight w:val="none"/>
        </w:rPr>
        <w:t>3.5 后勤及财力保障</w:t>
      </w:r>
    </w:p>
    <w:p w14:paraId="0B2F3C6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09C7E2F9">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178" w:name="_Toc30205"/>
      <w:bookmarkStart w:id="179" w:name="_Toc14135"/>
      <w:bookmarkStart w:id="180" w:name="_Toc19286"/>
      <w:bookmarkStart w:id="181" w:name="_Toc28633"/>
      <w:bookmarkStart w:id="182" w:name="_Toc6776"/>
      <w:bookmarkStart w:id="183" w:name="_Toc17846"/>
      <w:r>
        <w:rPr>
          <w:rFonts w:hint="eastAsia" w:ascii="楷体_GB2312" w:hAnsi="楷体_GB2312" w:eastAsia="楷体_GB2312" w:cs="楷体_GB2312"/>
          <w:b/>
          <w:bCs/>
          <w:color w:val="auto"/>
          <w:sz w:val="30"/>
          <w:szCs w:val="30"/>
          <w:highlight w:val="none"/>
        </w:rPr>
        <w:t>3.</w:t>
      </w:r>
      <w:r>
        <w:rPr>
          <w:rFonts w:ascii="楷体_GB2312" w:hAnsi="楷体_GB2312" w:eastAsia="楷体_GB2312" w:cs="楷体_GB2312"/>
          <w:b/>
          <w:bCs/>
          <w:color w:val="auto"/>
          <w:sz w:val="30"/>
          <w:szCs w:val="30"/>
          <w:highlight w:val="none"/>
        </w:rPr>
        <w:t>4 处置措施</w:t>
      </w:r>
      <w:bookmarkEnd w:id="178"/>
      <w:bookmarkEnd w:id="179"/>
      <w:bookmarkEnd w:id="180"/>
      <w:bookmarkEnd w:id="181"/>
      <w:bookmarkEnd w:id="182"/>
      <w:bookmarkEnd w:id="183"/>
    </w:p>
    <w:p w14:paraId="125C923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矿井火灾</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3EB64E88">
      <w:pPr>
        <w:spacing w:line="240" w:lineRule="auto"/>
        <w:ind w:firstLine="0" w:firstLineChars="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危害程度和影响范围：生产过程中，</w:t>
      </w:r>
      <w:r>
        <w:rPr>
          <w:rFonts w:hint="eastAsia" w:ascii="仿宋_GB2312" w:hAnsi="仿宋_GB2312" w:eastAsia="仿宋_GB2312" w:cs="仿宋_GB2312"/>
          <w:color w:val="auto"/>
          <w:kern w:val="0"/>
          <w:sz w:val="28"/>
          <w:szCs w:val="28"/>
          <w:highlight w:val="none"/>
          <w:lang w:val="en-US" w:eastAsia="zh-CN"/>
        </w:rPr>
        <w:t>洗煤厂煤的自燃</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储煤场</w:t>
      </w:r>
      <w:r>
        <w:rPr>
          <w:rFonts w:hint="eastAsia" w:ascii="仿宋_GB2312" w:hAnsi="仿宋_GB2312" w:eastAsia="仿宋_GB2312" w:cs="仿宋_GB2312"/>
          <w:color w:val="auto"/>
          <w:kern w:val="0"/>
          <w:sz w:val="28"/>
          <w:szCs w:val="28"/>
          <w:highlight w:val="none"/>
        </w:rPr>
        <w:t>使用明火或吸烟</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动火作业违规操作造成火灾</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电气设备、供电线路发生短路和过载；未配备消防设施设备、器材。集运站、储煤棚通风不畅、积尘未及时清理，造成爆炸性粉尘浓度超标。</w:t>
      </w:r>
      <w:r>
        <w:rPr>
          <w:rFonts w:hint="eastAsia" w:ascii="仿宋_GB2312" w:hAnsi="仿宋_GB2312" w:eastAsia="仿宋_GB2312" w:cs="仿宋_GB2312"/>
          <w:color w:val="auto"/>
          <w:kern w:val="0"/>
          <w:sz w:val="28"/>
          <w:szCs w:val="28"/>
          <w:highlight w:val="none"/>
        </w:rPr>
        <w:t>井下违规烧焊、违规使用高分子材料、电气设备失爆、电缆过负荷、短路、老化击穿、柴油单轨吊运行、充电硐室、井下油脂硐室、皮带磨支架，违规爆破等均可能造成外因火灾；矿井主井、副井、变电站（所）、通风机房、压风机房、</w:t>
      </w:r>
      <w:r>
        <w:rPr>
          <w:rFonts w:hint="eastAsia" w:ascii="仿宋_GB2312" w:hAnsi="仿宋_GB2312" w:eastAsia="仿宋_GB2312" w:cs="仿宋_GB2312"/>
          <w:color w:val="auto"/>
          <w:kern w:val="0"/>
          <w:sz w:val="28"/>
          <w:szCs w:val="28"/>
          <w:highlight w:val="none"/>
          <w:lang w:val="en-US" w:eastAsia="zh-CN"/>
        </w:rPr>
        <w:t>TDS车间</w:t>
      </w:r>
      <w:r>
        <w:rPr>
          <w:rFonts w:hint="eastAsia" w:ascii="仿宋_GB2312" w:hAnsi="仿宋_GB2312" w:eastAsia="仿宋_GB2312" w:cs="仿宋_GB2312"/>
          <w:color w:val="auto"/>
          <w:kern w:val="0"/>
          <w:sz w:val="28"/>
          <w:szCs w:val="28"/>
          <w:highlight w:val="none"/>
        </w:rPr>
        <w:t>、井口联合建筑等地点和人员密集办公场所，因动火作业、易燃物自燃、供电线路短路、电气设备故障、静电、雷击等存在外因火灾风险。地面煤堆长时间存煤吸热，煤体缓慢氧化蓄热，存煤时间超过自然发火期，存在自然发火风险。</w:t>
      </w:r>
    </w:p>
    <w:p w14:paraId="7CC8D7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产生有毒有害气体，造成人员中毒、窒息；引燃周边可燃物，形成大面积火灾；破坏通风系统，损毁设备与巷道，影响生产；诱发次生灾害，引燃积聚瓦斯、煤尘，引发爆炸。</w:t>
      </w:r>
    </w:p>
    <w:p w14:paraId="6B811A9A">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3.4.1 应急处置原则</w:t>
      </w:r>
    </w:p>
    <w:p w14:paraId="335E5D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262B58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2111F57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04DF3A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166D3504">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3.4.2 处置措施</w:t>
      </w:r>
    </w:p>
    <w:p w14:paraId="29A878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1.调度室迅速了解火灾事故的发生位置、波及范围，人员伤亡情况和主扇运行情况，根据灾情确定停电范围，下达停电撤人命令。</w:t>
      </w:r>
    </w:p>
    <w:p w14:paraId="0A9B1D3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2.通知</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，通知内蒙能源医院驻矿保健站做好伤员先期救护，情况紧急时联系内蒙能源医院到矿救援。立即报告值班矿领导和矿主要领导，通知有关部门和单位各负其责。</w:t>
      </w:r>
    </w:p>
    <w:p w14:paraId="16D0F6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3.通防管理部对监测数据进行分析，发生异常立即报告指挥部；通过安全监控中心观测的数据，随时掌握救灾地点气体等数据，对救援起指导作用，同时有效避免次生灾害的发生。</w:t>
      </w:r>
    </w:p>
    <w:p w14:paraId="2CA4B9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4.应急指挥部根据灾情分析判断通风系统破坏程度及发生连续爆炸、火灾的可能性，积极研究制定救灾方案，并根据灾情发展及时调整优化方案。</w:t>
      </w:r>
    </w:p>
    <w:p w14:paraId="6B85DC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按照救援方案携带必要技术装备入井，按照《矿山救援规程 》有关规定进行探查，主要负责灾区侦查、抢救遇险遇难人员，恢复巷道通风等。</w:t>
      </w:r>
    </w:p>
    <w:p w14:paraId="1C07D1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井下发生火灾，现场人员在尽可能判明事故地点及灾难程度、蔓延方向等情况的同时，迅速设法通知或协助撤出受火灾影响区域内的人员并及时切断灾区内的电源。火势不大时，在判断无爆炸危险的前提下，应根据现场条件立即组织力量将火直接扑灭。当现场人员无力抢救时，要立即进行自救和沿避灾路线组织人员撤出。处在火源上风侧的人员，应逆着风流撤退；处在火源下风侧的人员撤退时不可盲目跨过火区。</w:t>
      </w:r>
    </w:p>
    <w:p w14:paraId="6CD0BF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7.现场人员在有烟雾的巷道里，要立即戴好自救器，迅速脱离现场，撤到有新鲜风流的巷道。</w:t>
      </w:r>
    </w:p>
    <w:p w14:paraId="64E20B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8.抢救遇险人员。到达事故现场的救护小队应首先侦察火灾区域的情况，检查瓦斯、一氧化碳、二氧化碳及其他有害气体的含量；迅速抢救被困人员，遇有窒息或中毒人员应先为其戴好呼吸器或自救器再抬运。</w:t>
      </w:r>
    </w:p>
    <w:p w14:paraId="019D78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9.外因火灾应急处置措施</w:t>
      </w:r>
    </w:p>
    <w:p w14:paraId="75C884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接到井下火警报告后，应根据事故的地点、性质、规模等，立即通知灾区人员和受威胁区域的人员，尽快沿避灾路线撤离灾区。灾区人员首先判断自己所处的地点和风流方向，若位于事故地点进风侧，沿进风方向撤离；若位于回风侧，遇险人员要佩带好自救器，尽快绕最佳路线进入进风侧，再沿进风方向撤离。现场人员要组织自救、互救，尽量减少人员伤亡，如受现场条件限制不能升井时，进入距离最近的避难硐室，并利用电话立即与调度室取得联系，等待救援。</w:t>
      </w:r>
    </w:p>
    <w:p w14:paraId="2EA6C08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（2）外因火灾比较直观，初期火势较小，容易控制，现场人员应充分利用防尘供水管路、灭火器或其它可能利用的灭火工具直接灭火，营救人员。火势较大无法扑灭时，人员立即撤离。</w:t>
      </w:r>
    </w:p>
    <w:p w14:paraId="718E0D7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（3）救护队按照救援方案携带相关装备入井，按照《矿山救援规程 》有关规定进行，主要负责灾区侦查、抢救遇险遇难人员，扑灭火灾，恢复巷道通风，清理堵塞物等。应同时进行灭火和救人，派专人监测瓦斯，当甲烷浓度达到2％以上，并继续增加有爆炸危险时，必须把救护人员撤到安全地点。火灾事故发生在采煤工作面时，应沿进风侧进入救人，在此期间必须维持通风系统原状。如遇独头巷道距离较长、有害气体浓度大、支护损坏严重的情况，严禁冒险进入工作，在扑灭火源、恢复通风、打好支护后，方可搬运遇难人员。</w:t>
      </w:r>
    </w:p>
    <w:p w14:paraId="703507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（4）电气设备着火灭火时，必须首先切断电源，油类着火时，禁止用水灭火。</w:t>
      </w:r>
    </w:p>
    <w:p w14:paraId="759AA3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（5）根据已探明的火区地点、范围等情况，确定调整通风系统方案：</w:t>
      </w:r>
    </w:p>
    <w:p w14:paraId="6F08FA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①在进风井口附近、井筒、井底车场和井底车场直接相通的大巷发生火灾时，应采取全矿性反风措施；</w:t>
      </w:r>
    </w:p>
    <w:p w14:paraId="26152C1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②采区主要进风巷发生火灾时，可采取积极方法直接灭火或短路通风；</w:t>
      </w:r>
    </w:p>
    <w:p w14:paraId="729DB0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③采掘工作面发火，用积极方法扑灭不了时应用隔绝方法进行封闭。</w:t>
      </w:r>
    </w:p>
    <w:p w14:paraId="3DDE8F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④采区火灾要根据具体情况采取张挂风帘，减风或采用局部反风方法来处理。一般情况下主要通风机都要保持正常运转。</w:t>
      </w:r>
    </w:p>
    <w:p w14:paraId="3DD89FB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⑤在营救灾区人员和灭火过程中，要充分考虑火风压造成风流逆转的危害。</w:t>
      </w:r>
    </w:p>
    <w:p w14:paraId="162412C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当井下火灾规模较大，无法直接灭火或直接灭火无效时，必须采取封闭火区的灭火措施。封闭时应采取在火源的“进、回风侧同时封闭”；不具备同时封闭条件时，可以采用“先封闭火源进风侧，后封闭火源回风侧”的封闭顺序；一般不得采用“先回后进”的封闭顺序。封闭火区应采取措施，防止一氧化碳中毒、缺氧窒息和瓦斯爆炸事故。</w:t>
      </w:r>
    </w:p>
    <w:p w14:paraId="1A8CCE7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10.内因火灾应急处置措施</w:t>
      </w:r>
    </w:p>
    <w:p w14:paraId="391BA1A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接到井下煤层自燃火警报告后，应根据事故的地点、性质、规模等，立即通知灾区人员和受威胁区域的人员，尽快沿避灾路线撤离灾区。灾区人员首先判断自己所处的地点和风流方向，若位于事故地点进风侧，沿进风方向撤离；若位于回风侧，遇险人员要佩带好自救器，尽快绕最佳路线进入进风侧，再沿进风方向撤离。现场人员要组织自救、互救，尽量减少人员伤亡。</w:t>
      </w:r>
    </w:p>
    <w:p w14:paraId="1A113EB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（2）救护队按照救援方案携带相关装备入井，按照《矿山救援规程 》有关规定进行探查，主要负责灾区侦查、抢救遇险遇难人员、清理堵塞物等。派专人监测瓦斯，当甲烷浓度达到2％以上，并继续增加有爆炸危险时，必须把救护人员撤到安全地点。火灾事故发生在采煤工作面时，应沿进风侧进入救人，在此期间必须维持通风系统原状。如遇独头巷道距离较长、有害气体浓度大、支护损坏严重的情况，严禁冒险进入工作，在恢复通风、打好支护后，方可搬运遇难人员。</w:t>
      </w:r>
    </w:p>
    <w:p w14:paraId="6EE3486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（3）发现自燃后，必须及时采取措施，防止火灾范围的进一步扩大，并根据现场的实际情况，查找漏风通道，利用气体分析、红外探测、钻孔探测等手段，判断确定火源位置。</w:t>
      </w:r>
    </w:p>
    <w:p w14:paraId="68EF9C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（4）确定火源后，要采取消除火源、向高温点注浆、压注凝胶、注惰化气体等手段，使高温点得到控制，直至消除隐患。</w:t>
      </w:r>
    </w:p>
    <w:p w14:paraId="5C3A81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（5）对发火地点应采取均压措施，减少向发火地点供氧。</w:t>
      </w:r>
    </w:p>
    <w:p w14:paraId="080C13B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（6）自燃达到冒烟程度时，要有专人检查瓦斯情况，有防止瓦斯爆炸的措施。</w:t>
      </w:r>
    </w:p>
    <w:p w14:paraId="0CF42C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当其它措施无效时，应采取隔绝灭火法封闭火区。封闭时应采取在火源的“进、回风侧同时封闭”；不具备同时封闭条件时，可以采用“先封闭火源进风侧，后封闭火源回风侧”的封闭顺序；一般不得采用“先回后进”的封闭顺序。封闭火区应采取措施，防止一氧化碳中毒、缺氧窒息和瓦斯爆炸事故。</w:t>
      </w:r>
    </w:p>
    <w:p w14:paraId="4FE3BD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11.医疗救护措施</w:t>
      </w:r>
    </w:p>
    <w:p w14:paraId="4D444F4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（1）人员烧伤应急处置措施</w:t>
      </w:r>
    </w:p>
    <w:p w14:paraId="7842E6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①烧伤急救要采用各种有效的措施灭火，使伤员尽快脱离热源，尽量缩短烧伤时间；</w:t>
      </w:r>
    </w:p>
    <w:p w14:paraId="7641D5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②对已灭火而未脱衣服的伤员必须仔细检查全身情况，保持伤口清洁。伤员的衣服鞋袜用剪刀剪开后除去，伤口全部用清洁布片覆盖，防止污染；</w:t>
      </w:r>
    </w:p>
    <w:p w14:paraId="1214C2E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③四肢烧伤时，先用清洁冷水冲洗，然后用清洁布片、消毒纱布覆盖并送往医院；</w:t>
      </w:r>
    </w:p>
    <w:p w14:paraId="11EB15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④对爆炸冲击波烧伤的伤员要注意有无脑颅损伤，腹腔损伤和呼吸道损伤。</w:t>
      </w:r>
    </w:p>
    <w:p w14:paraId="6F4F8BF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（2）人员中毒或窒息应急处置措施</w:t>
      </w:r>
    </w:p>
    <w:p w14:paraId="6462BF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①迅速把受难者抬到新鲜风流和周围的支架完好安全的地方，将患者口中一切妨碍呼吸的东西如假牙、</w:t>
      </w:r>
      <w:r>
        <w:rPr>
          <w:rFonts w:hint="eastAsia" w:ascii="仿宋_GB2312" w:hAnsi="仿宋_GB2312" w:eastAsia="仿宋_GB2312" w:cs="仿宋_GB2312"/>
          <w:color w:val="auto"/>
          <w:kern w:val="0"/>
          <w:sz w:val="28"/>
          <w:szCs w:val="28"/>
          <w:highlight w:val="none"/>
          <w:lang w:eastAsia="zh-CN"/>
        </w:rPr>
        <w:t>黏液</w:t>
      </w:r>
      <w:r>
        <w:rPr>
          <w:rFonts w:hint="eastAsia" w:ascii="仿宋_GB2312" w:hAnsi="仿宋_GB2312" w:eastAsia="仿宋_GB2312" w:cs="仿宋_GB2312"/>
          <w:color w:val="auto"/>
          <w:kern w:val="0"/>
          <w:sz w:val="28"/>
          <w:szCs w:val="28"/>
          <w:highlight w:val="none"/>
        </w:rPr>
        <w:t>、泥土除去，将领及腰带松开，使患者保暖。</w:t>
      </w:r>
    </w:p>
    <w:p w14:paraId="330769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在进入事故地点或搬运途中，首先要测量有害气体浓度是否超标，如超标受到有害气体威胁，急救者要先采取通风方法降低浓度，并戴好自救器才允许进入抢救伤员。同时对被救人员也要戴好自救器。在救护中，急救人员一定要沉着，动作要迅速，在进行急救的同时，等待专业医护人员救治。</w:t>
      </w:r>
    </w:p>
    <w:p w14:paraId="559EC7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如果是一氧化碳中毒，中毒者还没有停止呼吸或呼吸虽已停止但心脏还有跳动，要立即解开衣服，搓摩他的皮肤，使他温暖以后，立即进行人工呼吸。如果心跳也停止了，就要迅速进行体外心脏按摩，同时进行人工呼吸。</w:t>
      </w:r>
    </w:p>
    <w:p w14:paraId="193DB3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④如果是因二氧化碳窒息，情况也不太严重，只要把他抬到新鲜风流中稍作休息后，就会苏醒的。假如窒息时间较长，在进行人工呼吸前，先要搓擦他的皮肤。</w:t>
      </w:r>
    </w:p>
    <w:p w14:paraId="2A97307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（3）现场医疗救护措施</w:t>
      </w:r>
    </w:p>
    <w:p w14:paraId="761F7EB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因通风不畅引发的中毒事故除采取上述措施救护外，还必须给患者输氧，同时，立即送往医院抢救。因火灾引发中毒事故时，作业人员须采取自救措施：用湿毛巾捂住口鼻或佩戴自救器尽快撤离到新鲜风流中。</w:t>
      </w:r>
    </w:p>
    <w:p w14:paraId="73A0F53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12.</w:t>
      </w:r>
      <w:r>
        <w:rPr>
          <w:rFonts w:hint="eastAsia" w:ascii="仿宋_GB2312" w:hAnsi="仿宋_GB2312" w:eastAsia="仿宋_GB2312" w:cs="仿宋_GB2312"/>
          <w:color w:val="auto"/>
          <w:kern w:val="0"/>
          <w:sz w:val="28"/>
          <w:szCs w:val="28"/>
          <w:highlight w:val="none"/>
        </w:rPr>
        <w:t>地面火灾处置措施</w:t>
      </w:r>
    </w:p>
    <w:p w14:paraId="7088DE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（1）调度室迅速了解火灾事故的发生位置、波及范围、人员伤亡情况，了解通风是否畅通、瓦斯浓度有无变化，根据火灾灾情确定停电范围，下达停电及人员疏散命令。</w:t>
      </w:r>
    </w:p>
    <w:p w14:paraId="3AA6DA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（2）通知鄂前旗消防队和内蒙能源医院驻矿保健站，并立即报告值班矿领导和总经理，通知有关部门和单位各负其责。</w:t>
      </w:r>
    </w:p>
    <w:p w14:paraId="54878DD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（3）应急指挥部根据火灾灾情，积极研究制定救灾方案，并根据灾情发展及时调整优化方案。</w:t>
      </w:r>
    </w:p>
    <w:p w14:paraId="2CF3B0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（4）专业消防队按照救援方案携带必要技术装备，按照有关规定进行探查，主要负责灾区侦查、抢救遇险遇难人员，扑灭火灾，清理火灾产生的堵塞物等。</w:t>
      </w:r>
    </w:p>
    <w:p w14:paraId="558ADF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13</w:t>
      </w:r>
      <w:r>
        <w:rPr>
          <w:rFonts w:hint="eastAsia" w:ascii="仿宋_GB2312" w:hAnsi="仿宋_GB2312" w:eastAsia="仿宋_GB2312" w:cs="仿宋_GB2312"/>
          <w:color w:val="auto"/>
          <w:kern w:val="0"/>
          <w:sz w:val="28"/>
          <w:szCs w:val="28"/>
          <w:highlight w:val="none"/>
        </w:rPr>
        <w:t>.井口联合建筑火灾处置措施</w:t>
      </w:r>
    </w:p>
    <w:p w14:paraId="4C46E6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（1）现场人员发现火情后，通过呼喊等方式，通知现场其他职工按照职责分工实施灭火、引导人员疏散。</w:t>
      </w:r>
    </w:p>
    <w:p w14:paraId="1D1818F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（2）现场人员发现或接到火情后，负责立即通知机电管理部对井口联合建筑供电进行停电，避免火灾烧坏电路或因电路损毁扩大事故。</w:t>
      </w:r>
    </w:p>
    <w:p w14:paraId="370D8E8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（3）在救援力量未到达火灾现场前，现场工作人员尽快打开所有通向外部的出口，对于被烟火熏倒昏迷的人员及时送往职工医院进行抢救。</w:t>
      </w:r>
    </w:p>
    <w:p w14:paraId="6C0119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（4）消防控制室值班人员接到火灾自动报警系统发出的火灾报警信号时，要通过单位内部电话立即通知报警区域的值班、工作人员，迅速赶往现场实地查看。</w:t>
      </w:r>
    </w:p>
    <w:p w14:paraId="741AE6B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（5）查看人员确认火情后，要通过报警按钮、分机电话立即向消防控制室反馈信息，通知有关单位切断受火灾波及区域的电源。按照职责分工，组织引导人员疏散，扑救初起火灾。</w:t>
      </w:r>
    </w:p>
    <w:p w14:paraId="3C80D3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（6）消防控制室接到查看人员确认的火情报告后：</w:t>
      </w:r>
    </w:p>
    <w:p w14:paraId="624463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①立即启动事故广播，发出火警处置指令，通知当班人员不要惊慌，迅速安全疏散；</w:t>
      </w:r>
    </w:p>
    <w:p w14:paraId="540179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②拨打“119”报警；</w:t>
      </w:r>
    </w:p>
    <w:p w14:paraId="163558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③向单位领导和调度室汇报。</w:t>
      </w:r>
    </w:p>
    <w:p w14:paraId="1DD9204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（7）扑救火灾时，应注意观察吊顶、房架等塌落的征兆，及时采取相应的措施，保证人员的安全。</w:t>
      </w:r>
    </w:p>
    <w:p w14:paraId="0E2D77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（8）烟气、明火进入副井井筒危及井下安全时，必须及时反风。</w:t>
      </w:r>
    </w:p>
    <w:p w14:paraId="5D56E2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14</w:t>
      </w:r>
      <w:r>
        <w:rPr>
          <w:rFonts w:hint="eastAsia" w:ascii="仿宋_GB2312" w:hAnsi="仿宋_GB2312" w:eastAsia="仿宋_GB2312" w:cs="仿宋_GB2312"/>
          <w:color w:val="auto"/>
          <w:kern w:val="0"/>
          <w:sz w:val="28"/>
          <w:szCs w:val="28"/>
          <w:highlight w:val="none"/>
        </w:rPr>
        <w:t>.地面电气火灾处置措施</w:t>
      </w:r>
    </w:p>
    <w:p w14:paraId="7BD45F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（1）断电灭火。当电器设备发生火灾或引燃附近可</w:t>
      </w:r>
      <w:r>
        <w:rPr>
          <w:rFonts w:hint="eastAsia" w:ascii="仿宋_GB2312" w:hAnsi="仿宋_GB2312" w:eastAsia="仿宋_GB2312" w:cs="仿宋_GB2312"/>
          <w:color w:val="auto"/>
          <w:kern w:val="0"/>
          <w:sz w:val="28"/>
          <w:szCs w:val="28"/>
          <w:highlight w:val="yellow"/>
        </w:rPr>
        <w:t>燃物时，首先要切断电源。室内发生电器火灾时，应尽快关闭总开关，并及时用二氧化碳（MT/MTT</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型灭火器材进行扑救。室外的高压输电线路起火</w:t>
      </w:r>
      <w:r>
        <w:rPr>
          <w:rFonts w:hint="eastAsia" w:ascii="仿宋_GB2312" w:hAnsi="仿宋_GB2312" w:eastAsia="仿宋_GB2312" w:cs="仿宋_GB2312"/>
          <w:color w:val="auto"/>
          <w:kern w:val="0"/>
          <w:sz w:val="28"/>
          <w:szCs w:val="28"/>
          <w:highlight w:val="none"/>
        </w:rPr>
        <w:t>时，要及时打电话给供电工区或机电管理科联系切断电源。</w:t>
      </w:r>
    </w:p>
    <w:p w14:paraId="06ED7EF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（2）带电灭火。当情况紧急必须带电灭火时，应注意以下事项：</w:t>
      </w:r>
    </w:p>
    <w:p w14:paraId="09B10B5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①带电灭火不能直接用导电的灭火器材(如喷射水流、泡沫灭火等)进行喷射，而要使用不导电的灭火器进行灭火，如二氧化碳、干粉灭火器等。</w:t>
      </w:r>
    </w:p>
    <w:p w14:paraId="61451C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②要注意周围环境，防止身体或使用的消防器材直接与带电部分接触，要穿好绝缘鞋，</w:t>
      </w:r>
      <w:r>
        <w:rPr>
          <w:rFonts w:hint="eastAsia" w:ascii="仿宋_GB2312" w:hAnsi="仿宋_GB2312" w:eastAsia="仿宋_GB2312" w:cs="仿宋_GB2312"/>
          <w:color w:val="auto"/>
          <w:kern w:val="0"/>
          <w:sz w:val="28"/>
          <w:szCs w:val="28"/>
          <w:highlight w:val="none"/>
          <w:lang w:eastAsia="zh-CN"/>
        </w:rPr>
        <w:t>戴</w:t>
      </w:r>
      <w:r>
        <w:rPr>
          <w:rFonts w:hint="eastAsia" w:ascii="仿宋_GB2312" w:hAnsi="仿宋_GB2312" w:eastAsia="仿宋_GB2312" w:cs="仿宋_GB2312"/>
          <w:color w:val="auto"/>
          <w:kern w:val="0"/>
          <w:sz w:val="28"/>
          <w:szCs w:val="28"/>
          <w:highlight w:val="none"/>
        </w:rPr>
        <w:t>好绝缘手套。</w:t>
      </w:r>
    </w:p>
    <w:p w14:paraId="0CD6E6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③扑救有油的带电电器设备的火灾，如变压器、油开关在带电情况下，应采用干燥黄沙盖住火焰，使火焰熄灭，也可用二氧化碳、干粉灭火器灭火。</w:t>
      </w:r>
    </w:p>
    <w:p w14:paraId="59E389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④扑救旋转电机设备的火灾时，可用二氧化碳、干粉灭火器扑救；但不能用黄沙扑救，以免损坏机件。</w:t>
      </w:r>
    </w:p>
    <w:p w14:paraId="5970D1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15</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TDS车间</w:t>
      </w:r>
      <w:r>
        <w:rPr>
          <w:rFonts w:hint="eastAsia" w:ascii="仿宋_GB2312" w:hAnsi="仿宋_GB2312" w:eastAsia="仿宋_GB2312" w:cs="仿宋_GB2312"/>
          <w:color w:val="auto"/>
          <w:kern w:val="0"/>
          <w:sz w:val="28"/>
          <w:szCs w:val="28"/>
          <w:highlight w:val="none"/>
        </w:rPr>
        <w:t>发生火灾现场应急处置措施</w:t>
      </w:r>
    </w:p>
    <w:p w14:paraId="5FC5F71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w:t>
      </w:r>
      <w:r>
        <w:rPr>
          <w:rFonts w:ascii="仿宋_GB2312" w:hAnsi="仿宋_GB2312" w:eastAsia="仿宋_GB2312" w:cs="仿宋_GB2312"/>
          <w:color w:val="auto"/>
          <w:kern w:val="0"/>
          <w:sz w:val="28"/>
          <w:szCs w:val="28"/>
          <w:highlight w:val="none"/>
        </w:rPr>
        <w:t>扑救初期火灾：在确保自身安全且火情可控的前提下，现场员工应立即使用最近的灭火器、消防栓进行扑救。</w:t>
      </w:r>
    </w:p>
    <w:p w14:paraId="22CAC54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电气火灾：首先切断电源，使用二氧化碳或干粉灭火器。</w:t>
      </w:r>
    </w:p>
    <w:p w14:paraId="100DB40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油脂类火灾：使用干粉灭火器或泡沫灭火器。</w:t>
      </w:r>
    </w:p>
    <w:p w14:paraId="1D37CE7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煤炭、皮带、木材等固体火灾：使用水、泡沫或干粉灭火器。</w:t>
      </w:r>
    </w:p>
    <w:p w14:paraId="4791FA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w:t>
      </w:r>
      <w:r>
        <w:rPr>
          <w:rFonts w:ascii="仿宋_GB2312" w:hAnsi="仿宋_GB2312" w:eastAsia="仿宋_GB2312" w:cs="仿宋_GB2312"/>
          <w:color w:val="auto"/>
          <w:kern w:val="0"/>
          <w:sz w:val="28"/>
          <w:szCs w:val="28"/>
          <w:highlight w:val="none"/>
        </w:rPr>
        <w:t>现场负责人或安全员立即组织着火区域及可能受威胁区域（如下风向、上层区域）的所有人员，沿最近的安全通道、紧急出口迅速撤离。疏散时用湿毛巾捂住口鼻，低姿弯腰前行。</w:t>
      </w:r>
    </w:p>
    <w:p w14:paraId="6A48DF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w:t>
      </w:r>
      <w:r>
        <w:rPr>
          <w:rFonts w:ascii="仿宋_GB2312" w:hAnsi="仿宋_GB2312" w:eastAsia="仿宋_GB2312" w:cs="仿宋_GB2312"/>
          <w:color w:val="auto"/>
          <w:kern w:val="0"/>
          <w:sz w:val="28"/>
          <w:szCs w:val="28"/>
          <w:highlight w:val="none"/>
        </w:rPr>
        <w:t>关</w:t>
      </w:r>
      <w:r>
        <w:rPr>
          <w:rFonts w:hint="eastAsia" w:ascii="仿宋_GB2312" w:hAnsi="仿宋_GB2312" w:eastAsia="仿宋_GB2312" w:cs="仿宋_GB2312"/>
          <w:color w:val="auto"/>
          <w:kern w:val="0"/>
          <w:sz w:val="28"/>
          <w:szCs w:val="28"/>
          <w:highlight w:val="none"/>
        </w:rPr>
        <w:t>键应急操作：</w:t>
      </w:r>
    </w:p>
    <w:p w14:paraId="4D3F114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切断电源：立即切断着火区域及相邻区域的动力和照明电源（防爆区域除外），防止触电和电火蔓延。</w:t>
      </w:r>
    </w:p>
    <w:p w14:paraId="66E3DBF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停止设备：紧急停止所有运行的皮带运输机、破碎机、</w:t>
      </w:r>
      <w:r>
        <w:rPr>
          <w:rFonts w:hint="eastAsia" w:ascii="仿宋_GB2312" w:hAnsi="仿宋_GB2312" w:eastAsia="仿宋_GB2312" w:cs="仿宋_GB2312"/>
          <w:color w:val="auto"/>
          <w:kern w:val="0"/>
          <w:sz w:val="28"/>
          <w:szCs w:val="28"/>
          <w:highlight w:val="none"/>
        </w:rPr>
        <w:t>筛分机等设备。</w:t>
      </w:r>
    </w:p>
    <w:p w14:paraId="7D571FC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关闭阀门：关闭通往着火区域的输煤管道、油脂管道阀门。</w:t>
      </w:r>
    </w:p>
    <w:p w14:paraId="2DE48D9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转移物资：在安全前提下，转移火场附近的易燃易爆物品（如</w:t>
      </w:r>
      <w:r>
        <w:rPr>
          <w:rFonts w:hint="eastAsia" w:ascii="仿宋_GB2312" w:hAnsi="仿宋_GB2312" w:eastAsia="仿宋_GB2312" w:cs="仿宋_GB2312"/>
          <w:color w:val="auto"/>
          <w:kern w:val="0"/>
          <w:sz w:val="28"/>
          <w:szCs w:val="28"/>
          <w:highlight w:val="none"/>
        </w:rPr>
        <w:t>润滑油、氧气乙炔瓶）、贵重物资和重要资料</w:t>
      </w:r>
      <w:r>
        <w:rPr>
          <w:rFonts w:ascii="仿宋_GB2312" w:hAnsi="仿宋_GB2312" w:eastAsia="仿宋_GB2312" w:cs="仿宋_GB2312"/>
          <w:color w:val="auto"/>
          <w:kern w:val="0"/>
          <w:sz w:val="28"/>
          <w:szCs w:val="28"/>
          <w:highlight w:val="none"/>
        </w:rPr>
        <w:t>。</w:t>
      </w:r>
    </w:p>
    <w:p w14:paraId="7BC356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16</w:t>
      </w:r>
      <w:r>
        <w:rPr>
          <w:rFonts w:hint="eastAsia" w:ascii="仿宋_GB2312" w:hAnsi="仿宋_GB2312" w:eastAsia="仿宋_GB2312" w:cs="仿宋_GB2312"/>
          <w:color w:val="auto"/>
          <w:kern w:val="0"/>
          <w:sz w:val="28"/>
          <w:szCs w:val="28"/>
          <w:highlight w:val="none"/>
        </w:rPr>
        <w:t>.现场的火警火灾急救</w:t>
      </w:r>
    </w:p>
    <w:p w14:paraId="71F3A9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（1）现场发生火灾火警事故时，应立即了解起火地点燃烧的物质等基本情况，采取有效措施实进行扑救，同时立即拨打报警电话向调度室、治安保障中心汇报。</w:t>
      </w:r>
    </w:p>
    <w:p w14:paraId="33CFBE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①扑救A类火灾应选用水、泡沫、磷酸铵盐干粉灭火剂。</w:t>
      </w:r>
    </w:p>
    <w:p w14:paraId="445DE6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②扑救B类火灾应选用干粉、泡沫灭火剂。扑救极性溶剂B类火灾不得选用化学泡沫灭火剂、抗溶性泡沫灭火剂。</w:t>
      </w:r>
    </w:p>
    <w:p w14:paraId="211FCD2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③扑救C类火灾应选用干粉、二氧化碳灭火剂。</w:t>
      </w:r>
    </w:p>
    <w:p w14:paraId="7B650A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④扑救D类火灾选用7150灭火剂以及砂、土等。</w:t>
      </w:r>
    </w:p>
    <w:p w14:paraId="20C9840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⑤扑救E类带电火灾可选择干粉灭火器、卤代烷灭火器、二氧化碳灭火器等。</w:t>
      </w:r>
    </w:p>
    <w:p w14:paraId="34CABBF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⑥扑救F类火灾可选择干粉灭火器。</w:t>
      </w:r>
    </w:p>
    <w:p w14:paraId="248DC1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（2）在消防部门到达前，对易燃易爆的物质采取正确有效的隔离。如切断电源撤离火场内的人员和周围易燃易爆物及一切贵重物品，根据火场情况，机动灵活的选择灭火器具。</w:t>
      </w:r>
    </w:p>
    <w:p w14:paraId="487F8C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（3）扑救现场应统一指挥调度采取行动，如火势扩大，一般扑救不可能时，应及时组织扑救人员撤退，避免不必要的伤亡。</w:t>
      </w:r>
    </w:p>
    <w:p w14:paraId="43028A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（4）在扑救的同时要注意：防止中毒、坍塌、触电、物体打击等二次事故的发生，在灭火后，应保护现场，以便事后调查起火原因。</w:t>
      </w:r>
    </w:p>
    <w:p w14:paraId="377E211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16</w:t>
      </w:r>
      <w:r>
        <w:rPr>
          <w:rFonts w:hint="eastAsia" w:ascii="仿宋_GB2312" w:hAnsi="仿宋_GB2312" w:eastAsia="仿宋_GB2312" w:cs="仿宋_GB2312"/>
          <w:color w:val="auto"/>
          <w:kern w:val="0"/>
          <w:sz w:val="28"/>
          <w:szCs w:val="28"/>
          <w:highlight w:val="none"/>
        </w:rPr>
        <w:t>.严重创伤出血伤员的急救</w:t>
      </w:r>
    </w:p>
    <w:p w14:paraId="5FCCCF7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在抢救过程中，遇到坠落、物体打击、机械伤害等引起的严重创伤出血伤员时根据现场现实条件及时正确的采取暂时性的止血、清洁、固定和运送等合理措施。</w:t>
      </w:r>
    </w:p>
    <w:p w14:paraId="299D6C7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7.急性中毒的现场抢救</w:t>
      </w:r>
    </w:p>
    <w:p w14:paraId="2E205A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（1）对于中毒窒息事故的措施主要有：急救、堵漏、疏散等。</w:t>
      </w:r>
    </w:p>
    <w:p w14:paraId="176697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（2）不论是轻度还是重度中毒人员，均应设法尽快使中毒人员远离中毒现场及中毒物源，采取合理施救。</w:t>
      </w:r>
    </w:p>
    <w:p w14:paraId="2D64CC4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（3）及时向医务人员报告，并初步讲明中毒原因、中毒状态。</w:t>
      </w:r>
    </w:p>
    <w:p w14:paraId="1C7CC31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（4）如发现中毒人员心跳、呼吸不规则或停止呼吸、心跳时间不长，由医护人员把中毒人员移至空气新鲜处，立即施行人工呼吸法和体外心脏挤压法进行现场抢救。</w:t>
      </w:r>
    </w:p>
    <w:p w14:paraId="531DD54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8.其他应急处置措施</w:t>
      </w:r>
    </w:p>
    <w:p w14:paraId="794ED1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（1）办公楼、公寓楼发生火灾时公寓楼值班人员应立即组织人员有序沿疏散</w:t>
      </w:r>
      <w:r>
        <w:rPr>
          <w:rFonts w:ascii="仿宋_GB2312" w:hAnsi="仿宋_GB2312" w:eastAsia="仿宋_GB2312" w:cs="仿宋_GB2312"/>
          <w:color w:val="auto"/>
          <w:kern w:val="0"/>
          <w:sz w:val="28"/>
          <w:szCs w:val="28"/>
          <w:highlight w:val="none"/>
        </w:rPr>
        <w:t xml:space="preserve">楼梯疏散，立即切断起火房间相应的总电源，使用灭火器、消防栓等消防设备对初期火灾进行扑救。 </w:t>
      </w:r>
    </w:p>
    <w:p w14:paraId="1ED1B13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 xml:space="preserve">餐厅发生火灾时应立即组织人员疏散、关闭餐厅操作电源、关闭进气阀门，使用灭火器对初期火灾进行扑救。 </w:t>
      </w:r>
    </w:p>
    <w:p w14:paraId="334329F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 xml:space="preserve">配电室、厂房电缆桥架、电缆沟发生火灾时应立即通知机电管理部切断事故现场地段电源，进入电缆地沟等狭小空间扑救火灾时，由于电缆内的浓烟有毒，活动场所有限，且有可能存在残留电压，应急处理专业人员必须佩带隔绝式氧气呼吸器，穿戴绝缘手套和橡胶绝缘靴，利用干粉灭火器扑救初起火灾。 </w:t>
      </w:r>
    </w:p>
    <w:p w14:paraId="0B709B5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油脂库发生火灾时应立即切断电源，利用消防沙对</w:t>
      </w:r>
      <w:r>
        <w:rPr>
          <w:rFonts w:hint="eastAsia" w:ascii="仿宋_GB2312" w:hAnsi="仿宋_GB2312" w:eastAsia="仿宋_GB2312" w:cs="仿宋_GB2312"/>
          <w:color w:val="auto"/>
          <w:kern w:val="0"/>
          <w:sz w:val="28"/>
          <w:szCs w:val="28"/>
          <w:highlight w:val="none"/>
          <w:lang w:eastAsia="zh-CN"/>
        </w:rPr>
        <w:t>泄漏</w:t>
      </w:r>
      <w:r>
        <w:rPr>
          <w:rFonts w:ascii="仿宋_GB2312" w:hAnsi="仿宋_GB2312" w:eastAsia="仿宋_GB2312" w:cs="仿宋_GB2312"/>
          <w:color w:val="auto"/>
          <w:kern w:val="0"/>
          <w:sz w:val="28"/>
          <w:szCs w:val="28"/>
          <w:highlight w:val="none"/>
        </w:rPr>
        <w:t xml:space="preserve">油品进行覆盖，在油脂库附近设立警戒线，禁止与抢险救援无关人员进入，利用灭火器扑救初起火灾。 </w:t>
      </w:r>
    </w:p>
    <w:p w14:paraId="184A3D1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5</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煤仓发生火灾时应立即向起火煤仓中灌水。降低煤仓中的煤尘与氧含量，最后应彻底清仓，消除复燃的可能性。</w:t>
      </w:r>
    </w:p>
    <w:p w14:paraId="565C66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.避灾路线</w:t>
      </w:r>
    </w:p>
    <w:p w14:paraId="273BDA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当发生火灾事故时，</w:t>
      </w:r>
      <w:r>
        <w:rPr>
          <w:rFonts w:hint="eastAsia" w:ascii="仿宋_GB2312" w:hAnsi="仿宋_GB2312" w:eastAsia="仿宋_GB2312" w:cs="仿宋_GB2312"/>
          <w:color w:val="auto"/>
          <w:kern w:val="0"/>
          <w:sz w:val="28"/>
          <w:szCs w:val="28"/>
          <w:highlight w:val="none"/>
          <w:lang w:val="en-US" w:eastAsia="zh-CN"/>
        </w:rPr>
        <w:t>井下</w:t>
      </w:r>
      <w:r>
        <w:rPr>
          <w:rFonts w:hint="eastAsia" w:ascii="仿宋_GB2312" w:hAnsi="仿宋_GB2312" w:eastAsia="仿宋_GB2312" w:cs="仿宋_GB2312"/>
          <w:color w:val="auto"/>
          <w:kern w:val="0"/>
          <w:sz w:val="28"/>
          <w:szCs w:val="28"/>
          <w:highlight w:val="none"/>
        </w:rPr>
        <w:t>采掘作业地点、主要硐室等避灾路线严格按《年度矿井灾害预防和处理计划》规定执行。</w:t>
      </w:r>
    </w:p>
    <w:p w14:paraId="038A84B1">
      <w:pPr>
        <w:spacing w:line="560" w:lineRule="exact"/>
        <w:ind w:firstLine="602" w:firstLineChars="200"/>
        <w:outlineLvl w:val="2"/>
        <w:rPr>
          <w:rFonts w:hint="eastAsia" w:ascii="楷体_GB2312" w:hAnsi="楷体_GB2312" w:eastAsia="楷体_GB2312" w:cs="楷体_GB2312"/>
          <w:b/>
          <w:bCs/>
          <w:color w:val="auto"/>
          <w:sz w:val="30"/>
          <w:szCs w:val="30"/>
          <w:highlight w:val="none"/>
        </w:rPr>
      </w:pPr>
      <w:bookmarkStart w:id="184" w:name="_Toc26863"/>
      <w:bookmarkStart w:id="185" w:name="_Toc20530"/>
      <w:bookmarkStart w:id="186" w:name="_Toc26465"/>
      <w:bookmarkStart w:id="187" w:name="_Toc25726"/>
      <w:bookmarkStart w:id="188" w:name="_Toc8507"/>
      <w:r>
        <w:rPr>
          <w:rFonts w:hint="eastAsia" w:ascii="楷体_GB2312" w:hAnsi="楷体_GB2312" w:eastAsia="楷体_GB2312" w:cs="楷体_GB2312"/>
          <w:b/>
          <w:bCs/>
          <w:color w:val="auto"/>
          <w:sz w:val="30"/>
          <w:szCs w:val="30"/>
          <w:highlight w:val="none"/>
        </w:rPr>
        <w:t>3.5 应急保障</w:t>
      </w:r>
      <w:bookmarkEnd w:id="184"/>
      <w:bookmarkEnd w:id="185"/>
      <w:bookmarkEnd w:id="186"/>
      <w:bookmarkEnd w:id="187"/>
      <w:bookmarkEnd w:id="188"/>
    </w:p>
    <w:p w14:paraId="5597DED2">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5.1 通信与信息保障</w:t>
      </w:r>
    </w:p>
    <w:p w14:paraId="18061F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7604CCA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287659A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7E5953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6D91A2B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7FB34E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7562D85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636EC3E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5BF963E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bookmarkEnd w:id="134"/>
    <w:bookmarkEnd w:id="135"/>
    <w:bookmarkEnd w:id="136"/>
    <w:bookmarkEnd w:id="137"/>
    <w:bookmarkEnd w:id="138"/>
    <w:bookmarkEnd w:id="139"/>
    <w:bookmarkEnd w:id="140"/>
    <w:p w14:paraId="3CB1C5F5">
      <w:pPr>
        <w:spacing w:line="560" w:lineRule="exact"/>
        <w:ind w:firstLine="600" w:firstLineChars="200"/>
        <w:outlineLvl w:val="1"/>
        <w:rPr>
          <w:rFonts w:ascii="黑体" w:hAnsi="黑体" w:eastAsia="黑体" w:cs="黑体"/>
          <w:color w:val="auto"/>
          <w:sz w:val="30"/>
          <w:szCs w:val="30"/>
          <w:highlight w:val="none"/>
        </w:rPr>
      </w:pPr>
      <w:bookmarkStart w:id="189" w:name="_Toc4547"/>
      <w:bookmarkStart w:id="190" w:name="_Toc30016"/>
      <w:bookmarkStart w:id="191" w:name="_Toc15254"/>
      <w:r>
        <w:rPr>
          <w:rFonts w:hint="eastAsia" w:ascii="黑体" w:hAnsi="黑体" w:eastAsia="黑体" w:cs="黑体"/>
          <w:color w:val="auto"/>
          <w:sz w:val="30"/>
          <w:szCs w:val="30"/>
          <w:highlight w:val="none"/>
        </w:rPr>
        <w:t>4 水害事故专项应急预案</w:t>
      </w:r>
      <w:bookmarkEnd w:id="189"/>
      <w:bookmarkEnd w:id="190"/>
      <w:bookmarkEnd w:id="191"/>
    </w:p>
    <w:p w14:paraId="3D0220CE">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192" w:name="_Toc18827"/>
      <w:bookmarkStart w:id="193" w:name="_Toc23130"/>
      <w:bookmarkStart w:id="194" w:name="_Toc73297298"/>
      <w:bookmarkStart w:id="195" w:name="_Toc31179"/>
      <w:bookmarkStart w:id="196" w:name="_Toc9311"/>
      <w:bookmarkStart w:id="197" w:name="_Toc15011"/>
      <w:bookmarkStart w:id="198" w:name="_Toc27771"/>
      <w:bookmarkStart w:id="199" w:name="_Toc79501408"/>
      <w:bookmarkStart w:id="200" w:name="_Toc24314"/>
      <w:bookmarkStart w:id="201" w:name="_Toc3748"/>
      <w:r>
        <w:rPr>
          <w:rFonts w:hint="eastAsia" w:ascii="楷体_GB2312" w:hAnsi="楷体_GB2312" w:eastAsia="楷体_GB2312" w:cs="楷体_GB2312"/>
          <w:b/>
          <w:bCs/>
          <w:color w:val="auto"/>
          <w:sz w:val="30"/>
          <w:szCs w:val="30"/>
          <w:highlight w:val="none"/>
        </w:rPr>
        <w:t>4.1 适用范围</w:t>
      </w:r>
      <w:bookmarkEnd w:id="192"/>
      <w:bookmarkEnd w:id="193"/>
      <w:bookmarkEnd w:id="194"/>
      <w:bookmarkEnd w:id="195"/>
      <w:bookmarkEnd w:id="196"/>
      <w:bookmarkEnd w:id="197"/>
      <w:bookmarkEnd w:id="198"/>
      <w:bookmarkEnd w:id="199"/>
      <w:bookmarkEnd w:id="200"/>
      <w:bookmarkEnd w:id="201"/>
    </w:p>
    <w:p w14:paraId="5130AC2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本专项应急预案适用于矿井生产过程中，可能发生或已经发生的需要启动Ⅱ级及以上应急响应的水害事故（包括涉险事故）的应急救援工作。</w:t>
      </w:r>
    </w:p>
    <w:p w14:paraId="103620F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rPr>
        <w:t>水害</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p>
    <w:p w14:paraId="37C2BCA6">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202" w:name="_Toc8988"/>
      <w:bookmarkStart w:id="203" w:name="_Toc21445"/>
      <w:bookmarkStart w:id="204" w:name="_Toc79"/>
      <w:bookmarkStart w:id="205" w:name="_Toc2736"/>
      <w:bookmarkStart w:id="206" w:name="_Toc27473"/>
      <w:bookmarkStart w:id="207" w:name="_Toc13631"/>
      <w:bookmarkStart w:id="208" w:name="_Toc16610"/>
      <w:bookmarkStart w:id="209" w:name="_Toc73297300"/>
      <w:r>
        <w:rPr>
          <w:rFonts w:hint="eastAsia" w:ascii="楷体_GB2312" w:hAnsi="楷体_GB2312" w:eastAsia="楷体_GB2312" w:cs="楷体_GB2312"/>
          <w:b/>
          <w:bCs/>
          <w:color w:val="auto"/>
          <w:sz w:val="30"/>
          <w:szCs w:val="30"/>
          <w:highlight w:val="none"/>
        </w:rPr>
        <w:t>4.2 应急组织机构及职责</w:t>
      </w:r>
      <w:bookmarkEnd w:id="202"/>
      <w:bookmarkEnd w:id="203"/>
      <w:bookmarkEnd w:id="204"/>
      <w:bookmarkEnd w:id="205"/>
      <w:bookmarkEnd w:id="206"/>
    </w:p>
    <w:p w14:paraId="181DD5C4">
      <w:pPr>
        <w:spacing w:line="440" w:lineRule="exact"/>
        <w:ind w:firstLine="560" w:firstLineChars="200"/>
        <w:rPr>
          <w:rFonts w:ascii="仿宋_GB2312" w:hAnsi="仿宋_GB2312" w:eastAsia="仿宋_GB2312" w:cs="仿宋_GB2312"/>
          <w:color w:val="auto"/>
          <w:kern w:val="0"/>
          <w:sz w:val="28"/>
          <w:szCs w:val="28"/>
          <w:highlight w:val="none"/>
        </w:rPr>
      </w:pPr>
      <w:bookmarkStart w:id="210" w:name="_Toc28158"/>
      <w:bookmarkStart w:id="211" w:name="_Toc15421"/>
      <w:bookmarkStart w:id="212" w:name="_Toc79501414"/>
      <w:bookmarkStart w:id="213" w:name="_Toc3365"/>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水害</w:t>
      </w:r>
      <w:r>
        <w:rPr>
          <w:rFonts w:ascii="仿宋_GB2312" w:hAnsi="仿宋_GB2312" w:eastAsia="仿宋_GB2312" w:cs="仿宋_GB2312"/>
          <w:color w:val="auto"/>
          <w:kern w:val="0"/>
          <w:sz w:val="28"/>
          <w:szCs w:val="28"/>
          <w:highlight w:val="none"/>
        </w:rPr>
        <w:t>事故应急救援指挥部，负责组织指挥应急救援工作，</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5AF22445">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214" w:name="_Toc31858"/>
      <w:bookmarkStart w:id="215" w:name="_Toc2105"/>
      <w:bookmarkStart w:id="216" w:name="_Toc9443"/>
      <w:r>
        <w:rPr>
          <w:rFonts w:hint="eastAsia" w:ascii="楷体_GB2312" w:hAnsi="楷体_GB2312" w:eastAsia="楷体_GB2312" w:cs="楷体_GB2312"/>
          <w:b/>
          <w:bCs/>
          <w:color w:val="auto"/>
          <w:sz w:val="30"/>
          <w:szCs w:val="30"/>
          <w:highlight w:val="none"/>
        </w:rPr>
        <w:t>4.3 响应启动</w:t>
      </w:r>
      <w:bookmarkEnd w:id="207"/>
      <w:bookmarkEnd w:id="208"/>
      <w:bookmarkEnd w:id="209"/>
      <w:bookmarkEnd w:id="210"/>
      <w:bookmarkEnd w:id="211"/>
      <w:bookmarkEnd w:id="212"/>
      <w:bookmarkEnd w:id="213"/>
      <w:bookmarkEnd w:id="214"/>
      <w:bookmarkEnd w:id="215"/>
      <w:bookmarkEnd w:id="216"/>
      <w:r>
        <w:rPr>
          <w:rFonts w:hint="eastAsia" w:ascii="楷体_GB2312" w:hAnsi="楷体_GB2312" w:eastAsia="楷体_GB2312" w:cs="楷体_GB2312"/>
          <w:b/>
          <w:bCs/>
          <w:color w:val="auto"/>
          <w:sz w:val="30"/>
          <w:szCs w:val="30"/>
          <w:highlight w:val="none"/>
        </w:rPr>
        <w:t xml:space="preserve"> </w:t>
      </w:r>
    </w:p>
    <w:p w14:paraId="6E3BAF32">
      <w:pPr>
        <w:spacing w:line="440" w:lineRule="exact"/>
        <w:ind w:firstLine="560" w:firstLineChars="200"/>
        <w:rPr>
          <w:rFonts w:ascii="仿宋_GB2312" w:hAnsi="仿宋_GB2312" w:eastAsia="仿宋_GB2312" w:cs="仿宋_GB2312"/>
          <w:color w:val="auto"/>
          <w:kern w:val="0"/>
          <w:sz w:val="28"/>
          <w:szCs w:val="28"/>
          <w:highlight w:val="none"/>
        </w:rPr>
      </w:pPr>
      <w:bookmarkStart w:id="217" w:name="_Toc32629"/>
      <w:bookmarkStart w:id="218" w:name="_Toc79501415"/>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发生井下水害事故，</w:t>
      </w:r>
      <w:r>
        <w:rPr>
          <w:rFonts w:hint="eastAsia" w:ascii="仿宋_GB2312" w:hAnsi="仿宋_GB2312" w:eastAsia="仿宋_GB2312" w:cs="仿宋_GB2312"/>
          <w:color w:val="auto"/>
          <w:kern w:val="0"/>
          <w:sz w:val="28"/>
          <w:szCs w:val="28"/>
          <w:highlight w:val="none"/>
        </w:rPr>
        <w:t>矿井水害事故直接启动Ⅰ级应急响应</w:t>
      </w:r>
      <w:r>
        <w:rPr>
          <w:rFonts w:ascii="仿宋_GB2312" w:hAnsi="仿宋_GB2312" w:eastAsia="仿宋_GB2312" w:cs="仿宋_GB2312"/>
          <w:color w:val="auto"/>
          <w:kern w:val="0"/>
          <w:sz w:val="28"/>
          <w:szCs w:val="28"/>
          <w:highlight w:val="none"/>
        </w:rPr>
        <w:t>。</w:t>
      </w:r>
    </w:p>
    <w:p w14:paraId="706ABB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2.矿井涌水量超过400m</w:t>
      </w:r>
      <w:r>
        <w:rPr>
          <w:rFonts w:hint="eastAsia" w:ascii="仿宋_GB2312" w:hAnsi="仿宋_GB2312" w:eastAsia="仿宋_GB2312" w:cs="仿宋_GB2312"/>
          <w:color w:val="auto"/>
          <w:kern w:val="0"/>
          <w:sz w:val="28"/>
          <w:szCs w:val="28"/>
          <w:highlight w:val="none"/>
          <w:vertAlign w:val="superscript"/>
        </w:rPr>
        <w:t>3</w:t>
      </w:r>
      <w:r>
        <w:rPr>
          <w:rFonts w:hint="eastAsia" w:ascii="仿宋_GB2312" w:hAnsi="仿宋_GB2312" w:eastAsia="仿宋_GB2312" w:cs="仿宋_GB2312"/>
          <w:color w:val="auto"/>
          <w:kern w:val="0"/>
          <w:sz w:val="28"/>
          <w:szCs w:val="28"/>
          <w:highlight w:val="none"/>
        </w:rPr>
        <w:t>/h，突水点水量超过60m</w:t>
      </w:r>
      <w:r>
        <w:rPr>
          <w:rFonts w:hint="eastAsia" w:ascii="仿宋_GB2312" w:hAnsi="仿宋_GB2312" w:eastAsia="仿宋_GB2312" w:cs="仿宋_GB2312"/>
          <w:color w:val="auto"/>
          <w:kern w:val="0"/>
          <w:sz w:val="28"/>
          <w:szCs w:val="28"/>
          <w:highlight w:val="none"/>
          <w:vertAlign w:val="superscript"/>
        </w:rPr>
        <w:t>3</w:t>
      </w:r>
      <w:r>
        <w:rPr>
          <w:rFonts w:hint="eastAsia" w:ascii="仿宋_GB2312" w:hAnsi="仿宋_GB2312" w:eastAsia="仿宋_GB2312" w:cs="仿宋_GB2312"/>
          <w:color w:val="auto"/>
          <w:kern w:val="0"/>
          <w:sz w:val="28"/>
          <w:szCs w:val="28"/>
          <w:highlight w:val="none"/>
        </w:rPr>
        <w:t>/h时，立即进行预警启动</w:t>
      </w:r>
      <w:r>
        <w:rPr>
          <w:rFonts w:ascii="仿宋_GB2312" w:hAnsi="仿宋_GB2312" w:eastAsia="仿宋_GB2312" w:cs="仿宋_GB2312"/>
          <w:color w:val="auto"/>
          <w:kern w:val="0"/>
          <w:sz w:val="28"/>
          <w:szCs w:val="28"/>
          <w:highlight w:val="none"/>
        </w:rPr>
        <w:t>。</w:t>
      </w:r>
    </w:p>
    <w:p w14:paraId="69C51FE0">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4.</w:t>
      </w:r>
      <w:r>
        <w:rPr>
          <w:rFonts w:ascii="仿宋_GB2312" w:hAnsi="仿宋_GB2312" w:eastAsia="仿宋_GB2312" w:cs="仿宋_GB2312"/>
          <w:b/>
          <w:bCs/>
          <w:color w:val="auto"/>
          <w:sz w:val="30"/>
          <w:szCs w:val="30"/>
          <w:highlight w:val="none"/>
        </w:rPr>
        <w:t>3.1 召开现场应急会议</w:t>
      </w:r>
    </w:p>
    <w:p w14:paraId="65948C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指挥部根据事故性质，通知各指挥部成员、救援专业组，单位负责人，参加现场应急会议，通报事故情况，制定现场应急救援方案，明确各应急救援工作组的任务。根据事态发展情况，随时召开应急会议。</w:t>
      </w:r>
    </w:p>
    <w:p w14:paraId="32079BF8">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4.</w:t>
      </w:r>
      <w:r>
        <w:rPr>
          <w:rFonts w:ascii="仿宋_GB2312" w:hAnsi="仿宋_GB2312" w:eastAsia="仿宋_GB2312" w:cs="仿宋_GB2312"/>
          <w:b/>
          <w:bCs/>
          <w:color w:val="auto"/>
          <w:sz w:val="30"/>
          <w:szCs w:val="30"/>
          <w:highlight w:val="none"/>
        </w:rPr>
        <w:t>3.2 信息上报</w:t>
      </w:r>
    </w:p>
    <w:p w14:paraId="25EA08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5EE5C3DC">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4.</w:t>
      </w:r>
      <w:r>
        <w:rPr>
          <w:rFonts w:ascii="仿宋_GB2312" w:hAnsi="仿宋_GB2312" w:eastAsia="仿宋_GB2312" w:cs="仿宋_GB2312"/>
          <w:b/>
          <w:bCs/>
          <w:color w:val="auto"/>
          <w:sz w:val="30"/>
          <w:szCs w:val="30"/>
          <w:highlight w:val="none"/>
        </w:rPr>
        <w:t>3.3 资源协调</w:t>
      </w:r>
    </w:p>
    <w:p w14:paraId="71BECF7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0BE77E9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580244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748D20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机</w:t>
      </w:r>
      <w:r>
        <w:rPr>
          <w:rFonts w:hint="eastAsia" w:ascii="仿宋_GB2312" w:hAnsi="仿宋_GB2312" w:eastAsia="仿宋_GB2312" w:cs="仿宋_GB2312"/>
          <w:color w:val="auto"/>
          <w:kern w:val="0"/>
          <w:sz w:val="28"/>
          <w:szCs w:val="28"/>
          <w:highlight w:val="none"/>
          <w:lang w:val="en-US" w:eastAsia="zh-CN"/>
        </w:rPr>
        <w:t>电</w:t>
      </w:r>
      <w:r>
        <w:rPr>
          <w:rFonts w:hint="eastAsia" w:ascii="仿宋_GB2312" w:hAnsi="仿宋_GB2312" w:eastAsia="仿宋_GB2312" w:cs="仿宋_GB2312"/>
          <w:color w:val="auto"/>
          <w:kern w:val="0"/>
          <w:sz w:val="28"/>
          <w:szCs w:val="28"/>
          <w:highlight w:val="none"/>
        </w:rPr>
        <w:t>工区</w:t>
      </w:r>
      <w:r>
        <w:rPr>
          <w:rFonts w:ascii="仿宋_GB2312" w:hAnsi="仿宋_GB2312" w:eastAsia="仿宋_GB2312" w:cs="仿宋_GB2312"/>
          <w:color w:val="auto"/>
          <w:kern w:val="0"/>
          <w:sz w:val="28"/>
          <w:szCs w:val="28"/>
          <w:highlight w:val="none"/>
        </w:rPr>
        <w:t>做好应急物资调配、运输准备。</w:t>
      </w:r>
    </w:p>
    <w:p w14:paraId="4AB8224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03153A2F">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4.</w:t>
      </w:r>
      <w:r>
        <w:rPr>
          <w:rFonts w:ascii="仿宋_GB2312" w:hAnsi="仿宋_GB2312" w:eastAsia="仿宋_GB2312" w:cs="仿宋_GB2312"/>
          <w:b/>
          <w:bCs/>
          <w:color w:val="auto"/>
          <w:sz w:val="30"/>
          <w:szCs w:val="30"/>
          <w:highlight w:val="none"/>
        </w:rPr>
        <w:t>3.4 信息公开</w:t>
      </w:r>
    </w:p>
    <w:p w14:paraId="5B603E2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4ACF2032">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4.</w:t>
      </w:r>
      <w:r>
        <w:rPr>
          <w:rFonts w:ascii="仿宋_GB2312" w:hAnsi="仿宋_GB2312" w:eastAsia="仿宋_GB2312" w:cs="仿宋_GB2312"/>
          <w:b/>
          <w:bCs/>
          <w:color w:val="auto"/>
          <w:sz w:val="30"/>
          <w:szCs w:val="30"/>
          <w:highlight w:val="none"/>
        </w:rPr>
        <w:t>3.5 后勤及财力保障</w:t>
      </w:r>
    </w:p>
    <w:p w14:paraId="78AAE05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715E3398">
      <w:pPr>
        <w:spacing w:line="560" w:lineRule="exact"/>
        <w:ind w:firstLine="602" w:firstLineChars="200"/>
        <w:outlineLvl w:val="2"/>
        <w:rPr>
          <w:rFonts w:ascii="楷体_GB2312" w:hAnsi="楷体_GB2312" w:eastAsia="楷体_GB2312" w:cs="楷体_GB2312"/>
          <w:b/>
          <w:bCs/>
          <w:color w:val="auto"/>
          <w:sz w:val="30"/>
          <w:szCs w:val="30"/>
          <w:highlight w:val="none"/>
        </w:rPr>
      </w:pPr>
      <w:bookmarkStart w:id="219" w:name="_Toc25605"/>
      <w:bookmarkStart w:id="220" w:name="_Toc8536"/>
      <w:bookmarkStart w:id="221" w:name="_Toc13936"/>
      <w:r>
        <w:rPr>
          <w:rFonts w:hint="eastAsia" w:ascii="楷体_GB2312" w:hAnsi="楷体_GB2312" w:eastAsia="楷体_GB2312" w:cs="楷体_GB2312"/>
          <w:b/>
          <w:bCs/>
          <w:color w:val="auto"/>
          <w:sz w:val="30"/>
          <w:szCs w:val="30"/>
          <w:highlight w:val="none"/>
        </w:rPr>
        <w:t>4.</w:t>
      </w:r>
      <w:r>
        <w:rPr>
          <w:rFonts w:ascii="楷体_GB2312" w:hAnsi="楷体_GB2312" w:eastAsia="楷体_GB2312" w:cs="楷体_GB2312"/>
          <w:b/>
          <w:bCs/>
          <w:color w:val="auto"/>
          <w:sz w:val="30"/>
          <w:szCs w:val="30"/>
          <w:highlight w:val="none"/>
        </w:rPr>
        <w:t>4 处置措施</w:t>
      </w:r>
      <w:bookmarkEnd w:id="219"/>
      <w:bookmarkEnd w:id="220"/>
      <w:bookmarkEnd w:id="221"/>
    </w:p>
    <w:p w14:paraId="4790683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水害</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lang w:val="en-US" w:eastAsia="zh-CN"/>
        </w:rPr>
        <w:t>重大</w:t>
      </w:r>
      <w:r>
        <w:rPr>
          <w:rFonts w:ascii="仿宋_GB2312" w:hAnsi="仿宋_GB2312" w:eastAsia="仿宋_GB2312" w:cs="仿宋_GB2312"/>
          <w:color w:val="auto"/>
          <w:kern w:val="0"/>
          <w:sz w:val="28"/>
          <w:szCs w:val="28"/>
          <w:highlight w:val="none"/>
        </w:rPr>
        <w:t>风险。</w:t>
      </w:r>
    </w:p>
    <w:p w14:paraId="68BC670C">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危害程度和影响范围：地表水可能通过岩层裂隙沟通井下，顶板砂岩裂隙水发育，对矿床开采和井巷工程常造成巨大威胁，甚至淹采区和矿井等重大事故。因此，需制定相应的应急处置措施</w:t>
      </w:r>
      <w:r>
        <w:rPr>
          <w:rFonts w:hint="eastAsia" w:ascii="仿宋_GB2312" w:hAnsi="仿宋_GB2312" w:eastAsia="仿宋_GB2312" w:cs="仿宋_GB2312"/>
          <w:color w:val="auto"/>
          <w:kern w:val="0"/>
          <w:sz w:val="28"/>
          <w:szCs w:val="28"/>
          <w:highlight w:val="none"/>
          <w:lang w:eastAsia="zh-CN"/>
        </w:rPr>
        <w:t>。</w:t>
      </w:r>
    </w:p>
    <w:p w14:paraId="586DB2D8">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4.4.1 应急处置原则</w:t>
      </w:r>
    </w:p>
    <w:p w14:paraId="6D630F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5F63EAF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48DB0F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2D50B3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bookmarkEnd w:id="217"/>
    <w:bookmarkEnd w:id="218"/>
    <w:p w14:paraId="5194CA11">
      <w:pPr>
        <w:spacing w:line="560" w:lineRule="exact"/>
        <w:ind w:firstLine="602" w:firstLineChars="200"/>
        <w:rPr>
          <w:rFonts w:ascii="仿宋" w:hAnsi="仿宋" w:eastAsia="仿宋" w:cs="仿宋"/>
          <w:color w:val="auto"/>
          <w:sz w:val="30"/>
          <w:szCs w:val="30"/>
          <w:highlight w:val="none"/>
        </w:rPr>
      </w:pPr>
      <w:r>
        <w:rPr>
          <w:rFonts w:hint="eastAsia" w:ascii="仿宋" w:hAnsi="仿宋" w:eastAsia="仿宋" w:cs="仿宋"/>
          <w:b/>
          <w:bCs/>
          <w:color w:val="auto"/>
          <w:sz w:val="30"/>
          <w:szCs w:val="30"/>
          <w:highlight w:val="none"/>
        </w:rPr>
        <w:t>4.4.2 应急处置措施</w:t>
      </w:r>
    </w:p>
    <w:p w14:paraId="2486E0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1.水害事故基本处置措施</w:t>
      </w:r>
    </w:p>
    <w:p w14:paraId="6E0C42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调度员、安监员、井下带班人员、班组长等相关人员发现突水（透水、溃水）征兆、极端天气可能导致淹井等重大险情或水害时，行使赋予的紧急撤人权利，立即撤出所有受水患威胁地点的人员，并向调度室汇报。在原因未查清、隐患未排除前，不得进行任何采掘活动。</w:t>
      </w:r>
    </w:p>
    <w:p w14:paraId="387C15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接到事故汇报，立即利用井下语音广播系统、人员定位紧急呼叫、电话群呼通知到井下所有可能受水患威胁地区的人员，按照避水灾路线撤离到安全地带或者升井。迅速了解突水点、影响范围、事故前人员分布、人员伤亡、局扇运行和矿井具有生存条件的地点及其进入的通道等情况。</w:t>
      </w:r>
    </w:p>
    <w:p w14:paraId="2168AD0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yellow"/>
        </w:rPr>
        <w:t>（3）通知</w:t>
      </w:r>
      <w:r>
        <w:rPr>
          <w:rFonts w:hint="eastAsia" w:ascii="仿宋_GB2312" w:hAnsi="仿宋_GB2312" w:eastAsia="仿宋_GB2312" w:cs="仿宋_GB2312"/>
          <w:color w:val="auto"/>
          <w:kern w:val="0"/>
          <w:sz w:val="28"/>
          <w:szCs w:val="28"/>
          <w:highlight w:val="yellow"/>
          <w:lang w:eastAsia="zh-CN"/>
        </w:rPr>
        <w:t>山能救护二大队</w:t>
      </w:r>
      <w:r>
        <w:rPr>
          <w:rFonts w:hint="eastAsia" w:ascii="仿宋_GB2312" w:hAnsi="仿宋_GB2312" w:eastAsia="仿宋_GB2312" w:cs="仿宋_GB2312"/>
          <w:color w:val="auto"/>
          <w:kern w:val="0"/>
          <w:sz w:val="28"/>
          <w:szCs w:val="28"/>
          <w:highlight w:val="yellow"/>
        </w:rPr>
        <w:t>和</w:t>
      </w:r>
      <w:r>
        <w:rPr>
          <w:rFonts w:hint="eastAsia" w:ascii="仿宋_GB2312" w:hAnsi="仿宋_GB2312" w:eastAsia="仿宋_GB2312" w:cs="仿宋_GB2312"/>
          <w:color w:val="auto"/>
          <w:kern w:val="0"/>
          <w:sz w:val="28"/>
          <w:szCs w:val="28"/>
          <w:highlight w:val="yellow"/>
          <w:lang w:eastAsia="zh-CN"/>
        </w:rPr>
        <w:t>山东颐养健康集团内蒙能源医院</w:t>
      </w:r>
      <w:r>
        <w:rPr>
          <w:rFonts w:hint="eastAsia" w:ascii="仿宋_GB2312" w:hAnsi="仿宋_GB2312" w:eastAsia="仿宋_GB2312" w:cs="仿宋_GB2312"/>
          <w:color w:val="auto"/>
          <w:kern w:val="0"/>
          <w:sz w:val="28"/>
          <w:szCs w:val="28"/>
          <w:highlight w:val="yellow"/>
        </w:rPr>
        <w:t>，并立即报告矿值班领导、分管领导、总经理，通知有关部门和单位各负其责。同时，将水患情况通报周边长城二矿、长城五矿，做好预防措施。</w:t>
      </w:r>
    </w:p>
    <w:p w14:paraId="2C115D4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（4）通知地质测量部测量水位标高和涌水量，及时分析水源、突水量、水灾影响范围；准备采掘工程平面图、充水性图和排水系统图；并对监测数据进行分析，发现异常立即报告指挥部。</w:t>
      </w:r>
    </w:p>
    <w:p w14:paraId="4F14825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（5）调度室通知清查、统计受水害影响的施工地点、单位及人数，及时汇报调度室。</w:t>
      </w:r>
    </w:p>
    <w:p w14:paraId="782DBA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若有人员被困，指挥部根据被困人员所在地点的空间、氧气、瓦斯浓度以及救出被困人员所需的大致时间制定相应救灾方案。根据情况综合采取排水、堵水和向井下人员被困位置打钻等措施。组织人力、调配装备和物资参加抢险救援,做好后勤保障工作。</w:t>
      </w:r>
    </w:p>
    <w:p w14:paraId="7B4EE4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（7）救护队员应按照救援方案携带必要技术装备入井，按照《矿山救援规程》有关规定进行探查，主要负责灾区侦查、抢救遇险遇难人员等。</w:t>
      </w:r>
    </w:p>
    <w:p w14:paraId="2F77874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（8）事故现场负责人在保证人员安全的前提下，组织人员尽可能摸清水情，是否有人员被困，并利用现场排水设备全力排水，在条件允许的情况下尽可能增加排水设备和管路，加大排水能力，缩短强排时间。</w:t>
      </w:r>
    </w:p>
    <w:p w14:paraId="7FD437E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（9）机</w:t>
      </w:r>
      <w:r>
        <w:rPr>
          <w:rFonts w:hint="eastAsia" w:ascii="仿宋_GB2312" w:hAnsi="仿宋_GB2312" w:eastAsia="仿宋_GB2312" w:cs="仿宋_GB2312"/>
          <w:color w:val="auto"/>
          <w:kern w:val="0"/>
          <w:sz w:val="28"/>
          <w:szCs w:val="28"/>
          <w:highlight w:val="none"/>
          <w:lang w:val="en-US" w:eastAsia="zh-CN"/>
        </w:rPr>
        <w:t>电</w:t>
      </w:r>
      <w:r>
        <w:rPr>
          <w:rFonts w:hint="eastAsia" w:ascii="仿宋_GB2312" w:hAnsi="仿宋_GB2312" w:eastAsia="仿宋_GB2312" w:cs="仿宋_GB2312"/>
          <w:color w:val="auto"/>
          <w:kern w:val="0"/>
          <w:sz w:val="28"/>
          <w:szCs w:val="28"/>
          <w:highlight w:val="none"/>
        </w:rPr>
        <w:t>工区</w:t>
      </w:r>
      <w:r>
        <w:rPr>
          <w:rFonts w:hint="eastAsia" w:ascii="仿宋_GB2312" w:hAnsi="仿宋_GB2312" w:eastAsia="仿宋_GB2312" w:cs="仿宋_GB2312"/>
          <w:color w:val="auto"/>
          <w:kern w:val="0"/>
          <w:sz w:val="28"/>
          <w:szCs w:val="28"/>
          <w:highlight w:val="none"/>
          <w:lang w:val="en-US" w:eastAsia="zh-CN"/>
        </w:rPr>
        <w:t>值班人员</w:t>
      </w:r>
      <w:r>
        <w:rPr>
          <w:rFonts w:hint="eastAsia" w:ascii="仿宋_GB2312" w:hAnsi="仿宋_GB2312" w:eastAsia="仿宋_GB2312" w:cs="仿宋_GB2312"/>
          <w:color w:val="auto"/>
          <w:kern w:val="0"/>
          <w:sz w:val="28"/>
          <w:szCs w:val="28"/>
          <w:highlight w:val="none"/>
        </w:rPr>
        <w:t>接到水害事故报警后，要立即</w:t>
      </w:r>
      <w:r>
        <w:rPr>
          <w:rFonts w:hint="eastAsia" w:ascii="仿宋_GB2312" w:hAnsi="仿宋_GB2312" w:eastAsia="仿宋_GB2312" w:cs="仿宋_GB2312"/>
          <w:color w:val="auto"/>
          <w:kern w:val="0"/>
          <w:sz w:val="28"/>
          <w:szCs w:val="28"/>
          <w:highlight w:val="none"/>
          <w:lang w:val="en-US" w:eastAsia="zh-CN"/>
        </w:rPr>
        <w:t>安排井下人员</w:t>
      </w:r>
      <w:r>
        <w:rPr>
          <w:rFonts w:hint="eastAsia" w:ascii="仿宋_GB2312" w:hAnsi="仿宋_GB2312" w:eastAsia="仿宋_GB2312" w:cs="仿宋_GB2312"/>
          <w:color w:val="auto"/>
          <w:kern w:val="0"/>
          <w:sz w:val="28"/>
          <w:szCs w:val="28"/>
          <w:highlight w:val="none"/>
        </w:rPr>
        <w:t>关闭泵房两侧的密闭门，并撤离，自动化控制中心负责远程启动所有水泵，把水仓水位降至最低。</w:t>
      </w:r>
    </w:p>
    <w:p w14:paraId="274896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抢救井下水害事故，要认真分析水流方向和影响区域，判断遇险人员可能逃避的方向、位置和巷道状况，判断遇险人员是否有生存的条件。发现有人被堵在危险地段，首先判断人员躲避的地点，按制定的营救人员措施实施抢救。</w:t>
      </w:r>
    </w:p>
    <w:p w14:paraId="2976EA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发生老空积水突水事故后，应立即撤出人员，同时井下所有受水威胁的各作业地点工作人员，就近按撤退路线，迅速撤离。如情况紧急来不及转移躲避时，可抓住棚梁、棚腿或其他固定物体，防止被涌水打倒和冲走。必要时，可在避难地点建临时挡墙、防护板或吊挂风帘，阻止涌水、煤矸和有害气体的侵入。</w:t>
      </w:r>
    </w:p>
    <w:p w14:paraId="64CB75C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（12）发现有人被堵在危险地段，首先判断人员躲避的地点，按制定的营救人员措施实施抢救。对遇险人员被堵到独头巷道内，利用现有管路立即改为压风，向独头巷道供风供氧。</w:t>
      </w:r>
    </w:p>
    <w:p w14:paraId="1F7935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区域被淹后，根据涌水量和排水设备能力，估计排水时间。判断遇险人员所处位置高于积水标高时，可打钻向遇险人员输送氧气、食物等，保证遇险人员有足够的等待时间，同时要抓紧时间排水，使堵在里边的人员能够及时得救。标高低于积水标高时，不能打钻，以免放走空气释放压力，引起水柱上升。</w:t>
      </w:r>
    </w:p>
    <w:p w14:paraId="65E6EC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在查明涌水量不大或补给水源有限的情况下，增强排水能力，将水排干。当井下涌水量特别大时，在强排水不能排干的情况下，必须先堵住涌水通道，然后再排干。突水、透水巷道附近有可利用的巷道时，可直接向突水、透水巷道打钻泄水。</w:t>
      </w:r>
    </w:p>
    <w:p w14:paraId="000920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（15）排水过程中应加强通风管理工作，排水现场安排瓦检人员进行有害气体监测,防止发生瓦斯爆炸和有害气体中毒、窒息、防止冒顶和二次突水事故的发生。</w:t>
      </w:r>
    </w:p>
    <w:p w14:paraId="7A7B78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（16）采取措施保证主要通风机、副井提升及压风机正常运转。利用人员位置监测系统及时准确核实井下人员。</w:t>
      </w:r>
    </w:p>
    <w:p w14:paraId="6F9EB42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（17）灾害发生后，下井口信号工要坚持岗位，听从指挥，待人员全部撤出，随最后一罐人员一起升井；如危及井下信号工安全时，可立即升井。</w:t>
      </w:r>
    </w:p>
    <w:p w14:paraId="4CF80A1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（18）灾害发生后，需撤出井下全部人员时或危及副井安全时，</w:t>
      </w:r>
      <w:r>
        <w:rPr>
          <w:rFonts w:hint="eastAsia" w:ascii="仿宋_GB2312" w:hAnsi="仿宋_GB2312" w:eastAsia="仿宋_GB2312" w:cs="仿宋_GB2312"/>
          <w:color w:val="auto"/>
          <w:kern w:val="0"/>
          <w:sz w:val="28"/>
          <w:szCs w:val="28"/>
          <w:highlight w:val="none"/>
          <w:lang w:val="en-US" w:eastAsia="zh-CN"/>
        </w:rPr>
        <w:t>机电</w:t>
      </w:r>
      <w:r>
        <w:rPr>
          <w:rFonts w:hint="eastAsia" w:ascii="仿宋_GB2312" w:hAnsi="仿宋_GB2312" w:eastAsia="仿宋_GB2312" w:cs="仿宋_GB2312"/>
          <w:color w:val="auto"/>
          <w:kern w:val="0"/>
          <w:sz w:val="28"/>
          <w:szCs w:val="28"/>
          <w:highlight w:val="none"/>
        </w:rPr>
        <w:t>工区安排两名大筒工携带对讲机联系信号，一人在副井上口，一人到副井下口与机运工区信号工会合。下井口信号工、大筒工等全部人员进入罐笼后，由大筒工联系信号进行升井。</w:t>
      </w:r>
    </w:p>
    <w:p w14:paraId="7DDC29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19）在避灾期间，遇险人员要保持良好的心理状态，稳定情绪，除轮流担任岗哨观察水情的人员外，其余人员均应静卧，减少体力和空气消耗。避灾时，应用敲击的方法有规律、间断地发出呼救信号，向营救人员指示躲避处的位置。被困期间断绝食物后，即使在饥饿难忍的情况下，也绝不嚼食杂物充饥。需要</w:t>
      </w:r>
      <w:r>
        <w:rPr>
          <w:rFonts w:hint="eastAsia" w:ascii="仿宋_GB2312" w:hAnsi="仿宋_GB2312" w:eastAsia="仿宋_GB2312" w:cs="仿宋_GB2312"/>
          <w:color w:val="auto"/>
          <w:kern w:val="0"/>
          <w:sz w:val="28"/>
          <w:szCs w:val="28"/>
          <w:highlight w:val="none"/>
          <w:lang w:eastAsia="zh-CN"/>
        </w:rPr>
        <w:t>饮用</w:t>
      </w:r>
      <w:r>
        <w:rPr>
          <w:rFonts w:hint="eastAsia" w:ascii="仿宋_GB2312" w:hAnsi="仿宋_GB2312" w:eastAsia="仿宋_GB2312" w:cs="仿宋_GB2312"/>
          <w:color w:val="auto"/>
          <w:kern w:val="0"/>
          <w:sz w:val="28"/>
          <w:szCs w:val="28"/>
          <w:highlight w:val="none"/>
        </w:rPr>
        <w:t>井下水时，应选择适宜的水源，并用纱布或衣服过滤。得救后，要避开强烈的光线，以防发生意外。</w:t>
      </w:r>
    </w:p>
    <w:p w14:paraId="526537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（20）水害事故后，为防止触电、设备损害等次生灾害，需切断受水害威胁区域的电源，防止触电等次生事故的发生，并制定相应的安全技术措施。</w:t>
      </w:r>
    </w:p>
    <w:p w14:paraId="29E3E6DC">
      <w:pPr>
        <w:autoSpaceDE w:val="0"/>
        <w:autoSpaceDN w:val="0"/>
        <w:spacing w:line="560" w:lineRule="exact"/>
        <w:ind w:firstLine="602" w:firstLineChars="200"/>
        <w:outlineLvl w:val="2"/>
        <w:rPr>
          <w:rFonts w:ascii="楷体_GB2312" w:hAnsi="楷体_GB2312" w:eastAsia="楷体_GB2312" w:cs="楷体_GB2312"/>
          <w:b/>
          <w:bCs/>
          <w:color w:val="auto"/>
          <w:sz w:val="30"/>
          <w:szCs w:val="30"/>
          <w:highlight w:val="none"/>
        </w:rPr>
      </w:pPr>
      <w:bookmarkStart w:id="222" w:name="_Toc21492"/>
      <w:bookmarkStart w:id="223" w:name="_Toc2221"/>
      <w:bookmarkStart w:id="224" w:name="_Toc4134"/>
      <w:bookmarkStart w:id="225" w:name="_Toc30143"/>
      <w:r>
        <w:rPr>
          <w:rFonts w:hint="eastAsia" w:ascii="楷体_GB2312" w:hAnsi="楷体_GB2312" w:eastAsia="楷体_GB2312" w:cs="楷体_GB2312"/>
          <w:b/>
          <w:bCs/>
          <w:color w:val="auto"/>
          <w:sz w:val="30"/>
          <w:szCs w:val="30"/>
          <w:highlight w:val="none"/>
        </w:rPr>
        <w:t>4.5 应急保障</w:t>
      </w:r>
      <w:bookmarkEnd w:id="222"/>
      <w:bookmarkEnd w:id="223"/>
      <w:bookmarkEnd w:id="224"/>
      <w:bookmarkEnd w:id="225"/>
    </w:p>
    <w:p w14:paraId="170C9130">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5.1 通信与信息保障</w:t>
      </w:r>
    </w:p>
    <w:p w14:paraId="21E2E1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5C4ABC1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6BAE7A7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623BE1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2A3639A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58FA4E5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1206B23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43A92C4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bookmarkEnd w:id="141"/>
    <w:bookmarkEnd w:id="142"/>
    <w:bookmarkEnd w:id="143"/>
    <w:bookmarkEnd w:id="144"/>
    <w:bookmarkEnd w:id="145"/>
    <w:bookmarkEnd w:id="146"/>
    <w:bookmarkEnd w:id="147"/>
    <w:p w14:paraId="1C2620D3">
      <w:pPr>
        <w:spacing w:line="440" w:lineRule="exact"/>
        <w:ind w:firstLine="560" w:firstLineChars="200"/>
        <w:rPr>
          <w:rFonts w:ascii="仿宋_GB2312" w:hAnsi="仿宋_GB2312" w:eastAsia="仿宋_GB2312" w:cs="仿宋_GB2312"/>
          <w:color w:val="auto"/>
          <w:kern w:val="0"/>
          <w:sz w:val="28"/>
          <w:szCs w:val="28"/>
          <w:highlight w:val="none"/>
        </w:rPr>
      </w:pPr>
      <w:bookmarkStart w:id="226" w:name="_Toc29695"/>
      <w:r>
        <w:rPr>
          <w:rFonts w:ascii="仿宋_GB2312" w:hAnsi="仿宋_GB2312" w:eastAsia="仿宋_GB2312" w:cs="仿宋_GB2312"/>
          <w:color w:val="auto"/>
          <w:kern w:val="0"/>
          <w:sz w:val="28"/>
          <w:szCs w:val="28"/>
          <w:highlight w:val="none"/>
        </w:rPr>
        <w:br w:type="page"/>
      </w:r>
    </w:p>
    <w:p w14:paraId="2595D3F5">
      <w:pPr>
        <w:spacing w:line="520" w:lineRule="exact"/>
        <w:ind w:firstLine="600" w:firstLineChars="200"/>
        <w:outlineLvl w:val="1"/>
        <w:rPr>
          <w:rFonts w:ascii="黑体" w:hAnsi="黑体" w:eastAsia="黑体" w:cs="黑体"/>
          <w:color w:val="auto"/>
          <w:sz w:val="30"/>
          <w:szCs w:val="30"/>
          <w:highlight w:val="none"/>
        </w:rPr>
      </w:pPr>
      <w:bookmarkStart w:id="227" w:name="_Toc21725"/>
      <w:bookmarkStart w:id="228" w:name="_Toc23142"/>
      <w:bookmarkStart w:id="229" w:name="_Toc11275"/>
      <w:r>
        <w:rPr>
          <w:rFonts w:hint="eastAsia" w:ascii="黑体" w:hAnsi="黑体" w:eastAsia="黑体" w:cs="黑体"/>
          <w:color w:val="auto"/>
          <w:sz w:val="30"/>
          <w:szCs w:val="30"/>
          <w:highlight w:val="none"/>
        </w:rPr>
        <w:t>5 顶板事故专项应急预案</w:t>
      </w:r>
      <w:bookmarkEnd w:id="227"/>
      <w:bookmarkEnd w:id="228"/>
      <w:bookmarkEnd w:id="229"/>
    </w:p>
    <w:p w14:paraId="005B77F4">
      <w:pPr>
        <w:spacing w:line="520" w:lineRule="exact"/>
        <w:ind w:firstLine="602" w:firstLineChars="200"/>
        <w:outlineLvl w:val="2"/>
        <w:rPr>
          <w:rFonts w:ascii="楷体_GB2312" w:hAnsi="楷体_GB2312" w:eastAsia="楷体_GB2312" w:cs="楷体_GB2312"/>
          <w:b/>
          <w:bCs/>
          <w:color w:val="auto"/>
          <w:sz w:val="30"/>
          <w:szCs w:val="30"/>
          <w:highlight w:val="none"/>
        </w:rPr>
      </w:pPr>
      <w:bookmarkStart w:id="230" w:name="_Toc20980"/>
      <w:bookmarkStart w:id="231" w:name="_Toc2377"/>
      <w:bookmarkStart w:id="232" w:name="_Toc479"/>
      <w:r>
        <w:rPr>
          <w:rFonts w:hint="eastAsia" w:ascii="楷体_GB2312" w:hAnsi="楷体_GB2312" w:eastAsia="楷体_GB2312" w:cs="楷体_GB2312"/>
          <w:b/>
          <w:bCs/>
          <w:color w:val="auto"/>
          <w:sz w:val="30"/>
          <w:szCs w:val="30"/>
          <w:highlight w:val="none"/>
        </w:rPr>
        <w:t>5.1 适用范围</w:t>
      </w:r>
      <w:bookmarkEnd w:id="230"/>
      <w:bookmarkEnd w:id="231"/>
      <w:bookmarkEnd w:id="232"/>
    </w:p>
    <w:p w14:paraId="6B4F56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本专项应急预案适用于矿井在生产过程中可能发生或已经发生的需要启动Ⅱ级及以上应急响应的顶板（物体打击）、顶板（坍塌）、顶板（其他）事故的应急救援工作。以上事故包括人员被困、涉险事故</w:t>
      </w:r>
      <w:r>
        <w:rPr>
          <w:rFonts w:ascii="仿宋_GB2312" w:hAnsi="仿宋_GB2312" w:eastAsia="仿宋_GB2312" w:cs="仿宋_GB2312"/>
          <w:color w:val="auto"/>
          <w:kern w:val="0"/>
          <w:sz w:val="28"/>
          <w:szCs w:val="28"/>
          <w:highlight w:val="none"/>
        </w:rPr>
        <w:t>。</w:t>
      </w:r>
    </w:p>
    <w:p w14:paraId="3AC200D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矿井顶板事故专项应急预案是综合应急预案的细化与延伸，综合应急预案是矿井专项应急预案的支持性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73554A82">
      <w:pPr>
        <w:spacing w:line="520" w:lineRule="exact"/>
        <w:ind w:firstLine="602" w:firstLineChars="200"/>
        <w:outlineLvl w:val="2"/>
        <w:rPr>
          <w:rFonts w:ascii="楷体_GB2312" w:hAnsi="楷体_GB2312" w:eastAsia="楷体_GB2312" w:cs="楷体_GB2312"/>
          <w:b/>
          <w:bCs/>
          <w:color w:val="auto"/>
          <w:sz w:val="30"/>
          <w:szCs w:val="30"/>
          <w:highlight w:val="none"/>
        </w:rPr>
      </w:pPr>
      <w:bookmarkStart w:id="233" w:name="_Toc7885"/>
      <w:bookmarkStart w:id="234" w:name="_Toc30381"/>
      <w:bookmarkStart w:id="235" w:name="_Toc23209"/>
      <w:r>
        <w:rPr>
          <w:rFonts w:hint="eastAsia" w:ascii="楷体_GB2312" w:hAnsi="楷体_GB2312" w:eastAsia="楷体_GB2312" w:cs="楷体_GB2312"/>
          <w:b/>
          <w:bCs/>
          <w:color w:val="auto"/>
          <w:sz w:val="30"/>
          <w:szCs w:val="30"/>
          <w:highlight w:val="none"/>
        </w:rPr>
        <w:t>5.2 应急组织机构及职责</w:t>
      </w:r>
      <w:bookmarkEnd w:id="233"/>
      <w:bookmarkEnd w:id="234"/>
      <w:bookmarkEnd w:id="235"/>
    </w:p>
    <w:p w14:paraId="4CA8AA4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设立顶板事故应急救援指挥部，负责组织指挥应急救援工作，总指挥由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w:t>
      </w:r>
      <w:r>
        <w:rPr>
          <w:rFonts w:hint="eastAsia" w:ascii="仿宋_GB2312" w:hAnsi="仿宋_GB2312" w:eastAsia="仿宋_GB2312" w:cs="仿宋_GB2312"/>
          <w:color w:val="auto"/>
          <w:kern w:val="0"/>
          <w:sz w:val="28"/>
          <w:szCs w:val="28"/>
          <w:highlight w:val="none"/>
          <w:lang w:val="en-US" w:eastAsia="zh-CN"/>
        </w:rPr>
        <w:t>生产副总经理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eastAsia="zh-CN"/>
        </w:rPr>
        <w:t>；</w:t>
      </w:r>
      <w:r>
        <w:rPr>
          <w:rFonts w:ascii="仿宋_GB2312" w:hAnsi="仿宋_GB2312" w:eastAsia="仿宋_GB2312" w:cs="仿宋_GB2312"/>
          <w:color w:val="auto"/>
          <w:kern w:val="0"/>
          <w:sz w:val="28"/>
          <w:szCs w:val="28"/>
          <w:highlight w:val="none"/>
        </w:rPr>
        <w:t>其他执行综合应急预案“2应急组织机构及职责”相关规定。</w:t>
      </w:r>
    </w:p>
    <w:p w14:paraId="45487E31">
      <w:pPr>
        <w:spacing w:line="520" w:lineRule="exact"/>
        <w:ind w:firstLine="602" w:firstLineChars="200"/>
        <w:outlineLvl w:val="2"/>
        <w:rPr>
          <w:rFonts w:ascii="楷体_GB2312" w:hAnsi="楷体_GB2312" w:eastAsia="楷体_GB2312" w:cs="楷体_GB2312"/>
          <w:b/>
          <w:bCs/>
          <w:color w:val="auto"/>
          <w:sz w:val="30"/>
          <w:szCs w:val="30"/>
          <w:highlight w:val="none"/>
        </w:rPr>
      </w:pPr>
      <w:bookmarkStart w:id="236" w:name="_Toc8757"/>
      <w:bookmarkStart w:id="237" w:name="_Toc3498"/>
      <w:bookmarkStart w:id="238" w:name="_Toc24234"/>
      <w:r>
        <w:rPr>
          <w:rFonts w:hint="eastAsia" w:ascii="楷体_GB2312" w:hAnsi="楷体_GB2312" w:eastAsia="楷体_GB2312" w:cs="楷体_GB2312"/>
          <w:b/>
          <w:bCs/>
          <w:color w:val="auto"/>
          <w:sz w:val="30"/>
          <w:szCs w:val="30"/>
          <w:highlight w:val="none"/>
        </w:rPr>
        <w:t>5.3 响应启动</w:t>
      </w:r>
      <w:bookmarkEnd w:id="236"/>
      <w:bookmarkEnd w:id="237"/>
      <w:bookmarkEnd w:id="238"/>
      <w:r>
        <w:rPr>
          <w:rFonts w:hint="eastAsia" w:ascii="楷体_GB2312" w:hAnsi="楷体_GB2312" w:eastAsia="楷体_GB2312" w:cs="楷体_GB2312"/>
          <w:b/>
          <w:bCs/>
          <w:color w:val="auto"/>
          <w:sz w:val="30"/>
          <w:szCs w:val="30"/>
          <w:highlight w:val="none"/>
        </w:rPr>
        <w:t xml:space="preserve"> </w:t>
      </w:r>
    </w:p>
    <w:p w14:paraId="1E970FB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顶板（物体打击、坍塌、其他）事故可能造成1-2人重伤的，启动Ⅱ级应急响应；造成人员伤亡并达到Ⅰ级应急响应条件的，启动Ⅰ级应急响应；只造成人员轻伤或没有造成人员伤亡但可能造成100万元以下直接经济损失的事故，启动Ⅲ级应急响应</w:t>
      </w:r>
      <w:r>
        <w:rPr>
          <w:rFonts w:ascii="仿宋_GB2312" w:hAnsi="仿宋_GB2312" w:eastAsia="仿宋_GB2312" w:cs="仿宋_GB2312"/>
          <w:color w:val="auto"/>
          <w:kern w:val="0"/>
          <w:sz w:val="28"/>
          <w:szCs w:val="28"/>
          <w:highlight w:val="none"/>
        </w:rPr>
        <w:t>。</w:t>
      </w:r>
    </w:p>
    <w:p w14:paraId="212904C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3.1 召开现场应急会议</w:t>
      </w:r>
    </w:p>
    <w:p w14:paraId="642207CE">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rPr>
        <w:t>顶板事故应急会议由总指挥主持召开。启动Ⅱ级响应的顶板事故，由第一副总指挥根据事故严重程度和救援难度，确定综合协调组、抢险救灾组、技术专家组、安全监督组、医疗救护组等有关救援工作组参加应急会议，安排部署现场应急处置和救援工作。物资供应组、警戒保卫组、后勤保障组、信息发布组、善后处理组等应急救援工作组待命，必要时参加应急救援工作。其余事项按综合应急预案“3.3.2 召开应急会议”的要求执行</w:t>
      </w:r>
      <w:r>
        <w:rPr>
          <w:rFonts w:hint="eastAsia" w:ascii="仿宋_GB2312" w:hAnsi="仿宋_GB2312" w:eastAsia="仿宋_GB2312" w:cs="仿宋_GB2312"/>
          <w:color w:val="auto"/>
          <w:kern w:val="0"/>
          <w:sz w:val="28"/>
          <w:szCs w:val="28"/>
          <w:highlight w:val="none"/>
          <w:lang w:eastAsia="zh-CN"/>
        </w:rPr>
        <w:t>。</w:t>
      </w:r>
    </w:p>
    <w:p w14:paraId="085F7CB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3.2 信息上报</w:t>
      </w:r>
    </w:p>
    <w:p w14:paraId="413E40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57BA0BD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3.3 资源协调</w:t>
      </w:r>
    </w:p>
    <w:p w14:paraId="77AB09D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48CDCEB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4A9223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451F713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机运工区</w:t>
      </w:r>
      <w:r>
        <w:rPr>
          <w:rFonts w:ascii="仿宋_GB2312" w:hAnsi="仿宋_GB2312" w:eastAsia="仿宋_GB2312" w:cs="仿宋_GB2312"/>
          <w:color w:val="auto"/>
          <w:kern w:val="0"/>
          <w:sz w:val="28"/>
          <w:szCs w:val="28"/>
          <w:highlight w:val="none"/>
        </w:rPr>
        <w:t>做好应急物资调配、运输准备。</w:t>
      </w:r>
    </w:p>
    <w:p w14:paraId="501266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1FB30C9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3.4 信息公开</w:t>
      </w:r>
    </w:p>
    <w:p w14:paraId="6E350F1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6017BA4D">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3.5 后勤及财力保障</w:t>
      </w:r>
    </w:p>
    <w:p w14:paraId="3646A7D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77A554C1">
      <w:pPr>
        <w:spacing w:line="520" w:lineRule="exact"/>
        <w:ind w:firstLine="602" w:firstLineChars="200"/>
        <w:outlineLvl w:val="2"/>
        <w:rPr>
          <w:rFonts w:ascii="楷体_GB2312" w:hAnsi="楷体_GB2312" w:eastAsia="楷体_GB2312" w:cs="楷体_GB2312"/>
          <w:b/>
          <w:bCs/>
          <w:color w:val="auto"/>
          <w:sz w:val="30"/>
          <w:szCs w:val="30"/>
          <w:highlight w:val="none"/>
        </w:rPr>
      </w:pPr>
      <w:bookmarkStart w:id="239" w:name="_Toc4088"/>
      <w:bookmarkStart w:id="240" w:name="_Toc18810"/>
      <w:bookmarkStart w:id="241" w:name="_Toc12550"/>
      <w:r>
        <w:rPr>
          <w:rFonts w:hint="eastAsia" w:ascii="楷体_GB2312" w:hAnsi="楷体_GB2312" w:eastAsia="楷体_GB2312" w:cs="楷体_GB2312"/>
          <w:b/>
          <w:bCs/>
          <w:color w:val="auto"/>
          <w:sz w:val="30"/>
          <w:szCs w:val="30"/>
          <w:highlight w:val="none"/>
        </w:rPr>
        <w:t>5.</w:t>
      </w:r>
      <w:r>
        <w:rPr>
          <w:rFonts w:ascii="楷体_GB2312" w:hAnsi="楷体_GB2312" w:eastAsia="楷体_GB2312" w:cs="楷体_GB2312"/>
          <w:b/>
          <w:bCs/>
          <w:color w:val="auto"/>
          <w:sz w:val="30"/>
          <w:szCs w:val="30"/>
          <w:highlight w:val="none"/>
        </w:rPr>
        <w:t>4 处置措施</w:t>
      </w:r>
      <w:bookmarkEnd w:id="239"/>
      <w:bookmarkEnd w:id="240"/>
      <w:bookmarkEnd w:id="241"/>
    </w:p>
    <w:p w14:paraId="0F0B510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顶板（物体打击</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坍塌</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其他）</w:t>
      </w:r>
      <w:r>
        <w:rPr>
          <w:rFonts w:ascii="仿宋_GB2312" w:hAnsi="仿宋_GB2312" w:eastAsia="仿宋_GB2312" w:cs="仿宋_GB2312"/>
          <w:color w:val="auto"/>
          <w:kern w:val="0"/>
          <w:sz w:val="28"/>
          <w:szCs w:val="28"/>
          <w:highlight w:val="none"/>
        </w:rPr>
        <w:t>风险为较大风险。</w:t>
      </w:r>
    </w:p>
    <w:p w14:paraId="11426EA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危害程度和影响范围：井下采掘工作面、巷道修复地点在工作面初次放顶、周期来压、大跨度交叉点、停采线、高冒破碎带等情况下，因地应力、围岩破碎、未执行敲帮问顶、支架初撑力不足、支护失效等原因，可能发生顶板冒落、巷帮片落、浮矸掉落，造成人员伤亡、被困、设备设施损坏和通风、排水、供电、安全监测监控等系统破坏等事故。</w:t>
      </w:r>
    </w:p>
    <w:p w14:paraId="35BC1FF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零星煤矸石、支护构件坠落撞击人员，构成顶板（物体打击）事故；支护失效等引发顶板、巷帮大面积垮塌，掩埋、挤压人员，构成顶板（坍塌）事故。因此，需制定相应的应急处置措施</w:t>
      </w:r>
      <w:r>
        <w:rPr>
          <w:rFonts w:hint="eastAsia" w:ascii="仿宋_GB2312" w:hAnsi="仿宋_GB2312" w:eastAsia="仿宋_GB2312" w:cs="仿宋_GB2312"/>
          <w:color w:val="auto"/>
          <w:kern w:val="0"/>
          <w:sz w:val="28"/>
          <w:szCs w:val="28"/>
          <w:highlight w:val="none"/>
          <w:lang w:eastAsia="zh-CN"/>
        </w:rPr>
        <w:t>：</w:t>
      </w:r>
    </w:p>
    <w:p w14:paraId="02DEEFE8">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4.1 应急处置指导原则</w:t>
      </w:r>
    </w:p>
    <w:p w14:paraId="756B86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50C54D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42DB976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1FAD215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3654511D">
      <w:pPr>
        <w:pStyle w:val="15"/>
        <w:spacing w:line="520" w:lineRule="exact"/>
        <w:ind w:firstLine="602" w:firstLineChars="200"/>
        <w:rPr>
          <w:rFonts w:ascii="Times New Roman" w:hAnsi="Times New Roman" w:eastAsia="仿宋_GB2312"/>
          <w:b/>
          <w:bCs/>
          <w:color w:val="auto"/>
          <w:sz w:val="32"/>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4.</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处置措施</w:t>
      </w:r>
    </w:p>
    <w:p w14:paraId="7950F870">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1.综合处置措施</w:t>
      </w:r>
    </w:p>
    <w:p w14:paraId="067C16C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（1）在发生险情或事故后，</w:t>
      </w:r>
      <w:r>
        <w:rPr>
          <w:rFonts w:hint="eastAsia" w:ascii="仿宋_GB2312" w:hAnsi="仿宋_GB2312" w:eastAsia="仿宋_GB2312" w:cs="仿宋_GB2312"/>
          <w:color w:val="auto"/>
          <w:kern w:val="0"/>
          <w:sz w:val="28"/>
          <w:szCs w:val="28"/>
          <w:highlight w:val="none"/>
        </w:rPr>
        <w:t>现场负责人立即启动现场处置措施</w:t>
      </w:r>
      <w:r>
        <w:rPr>
          <w:rFonts w:ascii="仿宋_GB2312" w:hAnsi="仿宋_GB2312" w:eastAsia="仿宋_GB2312" w:cs="仿宋_GB2312"/>
          <w:color w:val="auto"/>
          <w:kern w:val="0"/>
          <w:sz w:val="28"/>
          <w:szCs w:val="28"/>
          <w:highlight w:val="none"/>
        </w:rPr>
        <w:t>，停止作业、组织危险区域人员撤离至安全区域，同时向</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和本单位值班人员汇报。积极采取自救互救措施，如无第二次大面积顶板动力现象时，立即组织对受困人员进行施救，防止事故继续扩大，争取将损失降到最小。</w:t>
      </w:r>
    </w:p>
    <w:p w14:paraId="0B48038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小型冒顶、坍塌、压埋事故发生时，现场人员在保证安全的前提下，迅速观察冒顶范围，方向，声响，粉尘等，严禁盲目奔跑或冲向冒顶区，在保证安全的前提下，应积极采取自救互救，防止事故继续扩大，争取将损失降到最小。</w:t>
      </w:r>
    </w:p>
    <w:p w14:paraId="2AA5985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在撤离受阻时应紧急避险，采取以下自救措施：①选择最近的避难硐室或临时避险设施待救；②选择最近的设有压风自救装置和供水施救装置的安全地点，进行自救互救和等待救援；③迅速避险撤退到安全地点，如有压风管路，应打开输送新鲜空气。可利用现场材料，维护加固附近顶板，设置生存空间，等待救援。</w:t>
      </w:r>
    </w:p>
    <w:p w14:paraId="79114E3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值班人员接到事故汇报后，迅速了解顶板事故的发生位置、波及范围，人员伤亡情况，下达停产撤人命令，准确统计井下人数，严格控制入井人数。</w:t>
      </w:r>
    </w:p>
    <w:p w14:paraId="0526594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5</w:t>
      </w:r>
      <w:r>
        <w:rPr>
          <w:rFonts w:ascii="仿宋_GB2312" w:hAnsi="仿宋_GB2312" w:eastAsia="仿宋_GB2312" w:cs="仿宋_GB2312"/>
          <w:color w:val="auto"/>
          <w:kern w:val="0"/>
          <w:sz w:val="28"/>
          <w:szCs w:val="28"/>
          <w:highlight w:val="none"/>
        </w:rPr>
        <w:t>）根据事故危害程度由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决定</w:t>
      </w:r>
      <w:r>
        <w:rPr>
          <w:rFonts w:hint="eastAsia" w:ascii="仿宋_GB2312" w:hAnsi="仿宋_GB2312" w:eastAsia="仿宋_GB2312" w:cs="仿宋_GB2312"/>
          <w:color w:val="auto"/>
          <w:kern w:val="0"/>
          <w:sz w:val="28"/>
          <w:szCs w:val="28"/>
          <w:highlight w:val="none"/>
        </w:rPr>
        <w:t>是否</w:t>
      </w:r>
      <w:r>
        <w:rPr>
          <w:rFonts w:ascii="仿宋_GB2312" w:hAnsi="仿宋_GB2312" w:eastAsia="仿宋_GB2312" w:cs="仿宋_GB2312"/>
          <w:color w:val="auto"/>
          <w:kern w:val="0"/>
          <w:sz w:val="28"/>
          <w:szCs w:val="28"/>
          <w:highlight w:val="none"/>
        </w:rPr>
        <w:t>（或授权值班领导）启动矿井顶板事故专项应急预案响应，应急救援指挥部立即下达抢险救灾命令，通知</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和</w:t>
      </w:r>
      <w:r>
        <w:rPr>
          <w:rFonts w:hint="eastAsia" w:ascii="仿宋_GB2312" w:hAnsi="仿宋_GB2312" w:eastAsia="仿宋_GB2312" w:cs="仿宋_GB2312"/>
          <w:color w:val="auto"/>
          <w:kern w:val="0"/>
          <w:sz w:val="28"/>
          <w:szCs w:val="28"/>
          <w:highlight w:val="none"/>
        </w:rPr>
        <w:t>内蒙能源</w:t>
      </w:r>
      <w:r>
        <w:rPr>
          <w:rFonts w:ascii="仿宋_GB2312" w:hAnsi="仿宋_GB2312" w:eastAsia="仿宋_GB2312" w:cs="仿宋_GB2312"/>
          <w:color w:val="auto"/>
          <w:kern w:val="0"/>
          <w:sz w:val="28"/>
          <w:szCs w:val="28"/>
          <w:highlight w:val="none"/>
        </w:rPr>
        <w:t>医院，指挥部各工作组应按各自职责，积极行动，尽职尽责做好抢险救灾工作。</w:t>
      </w:r>
    </w:p>
    <w:p w14:paraId="14660BD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6</w:t>
      </w:r>
      <w:r>
        <w:rPr>
          <w:rFonts w:ascii="仿宋_GB2312" w:hAnsi="仿宋_GB2312" w:eastAsia="仿宋_GB2312" w:cs="仿宋_GB2312"/>
          <w:color w:val="auto"/>
          <w:kern w:val="0"/>
          <w:sz w:val="28"/>
          <w:szCs w:val="28"/>
          <w:highlight w:val="none"/>
        </w:rPr>
        <w:t>）生产技术部、</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、地质测量部提供救援需要的图纸和技术资料；信息中心相关人员利用安全监控系统不间断监测矿井各地点环境参数等情况，对监测数据进行分析，发生异常立即报告指挥部。</w:t>
      </w:r>
    </w:p>
    <w:p w14:paraId="2662350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）指挥部根据灾情分析判断巷道通风、供水等系统破坏程度及发生二次事故的可能性，积极研究制定救灾方案，并根据灾情发展及时调整优化方案，组织人力、调配装备和物资参加抢险救援</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做好后勤保障工作。</w:t>
      </w:r>
    </w:p>
    <w:p w14:paraId="0915BAA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8</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按照救援方案携带必要技术装备入井，按照《矿山救援规程 》有关规定进行探查，主要负责灾区侦查、抢救遇险遇难人员、清理巷道、恢复巷道通风等。在进入灾区前，必须先检查有害气体浓度。救护队要分队进入，一小队负责查找遇险、受伤人员并积极组织抢救；另一小队负责支护顶板、处理冒落矸石，防止在抢救过程中再次顶板冒落；在救援过程中救护队必须随时将灾情和救援情况汇报应急救援指挥部。</w:t>
      </w:r>
    </w:p>
    <w:p w14:paraId="6AEEF3B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9</w:t>
      </w:r>
      <w:r>
        <w:rPr>
          <w:rFonts w:ascii="仿宋_GB2312" w:hAnsi="仿宋_GB2312" w:eastAsia="仿宋_GB2312" w:cs="仿宋_GB2312"/>
          <w:color w:val="auto"/>
          <w:kern w:val="0"/>
          <w:sz w:val="28"/>
          <w:szCs w:val="28"/>
          <w:highlight w:val="none"/>
        </w:rPr>
        <w:t>）抢救伤员时，必须判断伤势轻重，按照“三先三后”的原则处理</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即先复苏后搬运、先止血后搬运、先固定后搬运。在抢救处理中必须专人检查和监护顶板情况，加强支护防止发生顶板冒顶。抢救遇险人员时，首先应通过电话、喊话或敲打管子、人员精确定位系统、生命探测仪等手段与遇险人员取得联系，探明冒顶范围和遇险人数及位置。</w:t>
      </w:r>
    </w:p>
    <w:p w14:paraId="2D6D2C9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10</w:t>
      </w:r>
      <w:r>
        <w:rPr>
          <w:rFonts w:ascii="仿宋_GB2312" w:hAnsi="仿宋_GB2312" w:eastAsia="仿宋_GB2312" w:cs="仿宋_GB2312"/>
          <w:color w:val="auto"/>
          <w:kern w:val="0"/>
          <w:sz w:val="28"/>
          <w:szCs w:val="28"/>
          <w:highlight w:val="none"/>
        </w:rPr>
        <w:t>）处理冒顶前，必须先恢复冒顶区域的正常通风，</w:t>
      </w:r>
      <w:r>
        <w:rPr>
          <w:rFonts w:hint="eastAsia" w:ascii="仿宋_GB2312" w:hAnsi="仿宋_GB2312" w:eastAsia="仿宋_GB2312" w:cs="仿宋_GB2312"/>
          <w:color w:val="auto"/>
          <w:kern w:val="0"/>
          <w:sz w:val="28"/>
          <w:szCs w:val="28"/>
          <w:highlight w:val="none"/>
        </w:rPr>
        <w:t>查明冒顶范围、高度、</w:t>
      </w:r>
      <w:r>
        <w:rPr>
          <w:rFonts w:hint="eastAsia" w:ascii="宋体" w:hAnsi="宋体" w:cs="宋体"/>
          <w:color w:val="auto"/>
          <w:kern w:val="0"/>
          <w:sz w:val="28"/>
          <w:szCs w:val="28"/>
          <w:highlight w:val="none"/>
        </w:rPr>
        <w:t>堆</w:t>
      </w:r>
      <w:r>
        <w:rPr>
          <w:rFonts w:hint="eastAsia" w:ascii="仿宋_GB2312" w:hAnsi="仿宋_GB2312" w:eastAsia="仿宋_GB2312" w:cs="仿宋_GB2312"/>
          <w:color w:val="auto"/>
          <w:kern w:val="0"/>
          <w:sz w:val="28"/>
          <w:szCs w:val="28"/>
          <w:highlight w:val="none"/>
        </w:rPr>
        <w:t>积状态、巷道破坏程度、通风状况、有害气体浓度、水源、被困人员可能位置及生存迹象，</w:t>
      </w:r>
      <w:r>
        <w:rPr>
          <w:rFonts w:ascii="仿宋_GB2312" w:hAnsi="仿宋_GB2312" w:eastAsia="仿宋_GB2312" w:cs="仿宋_GB2312"/>
          <w:color w:val="auto"/>
          <w:kern w:val="0"/>
          <w:sz w:val="28"/>
          <w:szCs w:val="28"/>
          <w:highlight w:val="none"/>
        </w:rPr>
        <w:t>如暂不能恢复时，可利用水管、压风管等向被堵压人员处输送新鲜空气，并把救援通道的顶板维护好，确保救援人员安全。</w:t>
      </w:r>
    </w:p>
    <w:p w14:paraId="72CB40A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11</w:t>
      </w:r>
      <w:r>
        <w:rPr>
          <w:rFonts w:ascii="仿宋_GB2312" w:hAnsi="仿宋_GB2312" w:eastAsia="仿宋_GB2312" w:cs="仿宋_GB2312"/>
          <w:color w:val="auto"/>
          <w:kern w:val="0"/>
          <w:sz w:val="28"/>
          <w:szCs w:val="28"/>
          <w:highlight w:val="none"/>
        </w:rPr>
        <w:t>）人员营救工作应由现场负责人统一指挥，首先确认冒顶区周围环境安全或经加固支护安全后，对冒顶区由外向里进行临时支护，在不危及事故抢救人员安全的情况下，方准进行人员营救及事故抢救工作。</w:t>
      </w:r>
    </w:p>
    <w:p w14:paraId="1309DF1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12</w:t>
      </w:r>
      <w:r>
        <w:rPr>
          <w:rFonts w:ascii="仿宋_GB2312" w:hAnsi="仿宋_GB2312" w:eastAsia="仿宋_GB2312" w:cs="仿宋_GB2312"/>
          <w:color w:val="auto"/>
          <w:kern w:val="0"/>
          <w:sz w:val="28"/>
          <w:szCs w:val="28"/>
          <w:highlight w:val="none"/>
        </w:rPr>
        <w:t>）现场人员必须在首先保障巷道通风、后路畅通、现场顶帮维护好的情况下方可施救，施救过程中必须指定专人检查甲烷浓度、观察顶板和周围支护情况。</w:t>
      </w:r>
    </w:p>
    <w:p w14:paraId="5B01E18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）当出现大面积来压异常情况或通风不良，瓦斯浓度急剧上升，有瓦斯爆炸危险时，必须立即撤离现场到达安全地点，并立即汇报情况，等待应急救援指挥部的进一步处置命令。</w:t>
      </w:r>
    </w:p>
    <w:p w14:paraId="3596B7D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）救出的人员全部运送到有新鲜风流的安全地点，医疗救护组要及时到达井下救治现场，对抢救出的受伤人员进行紧急医疗救治或护送上井救治。</w:t>
      </w:r>
    </w:p>
    <w:p w14:paraId="043A94C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2.顶板（物体打击）事故的应急处置措施</w:t>
      </w:r>
    </w:p>
    <w:p w14:paraId="4B49BD8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（1）事故发生后，事故现场负责人应立即启动顶板事故现场处置方案，根据事故危害程度，开展现场应急处置和自救互救，若有人员受伤，应立即组织对伤员进行施救。</w:t>
      </w:r>
    </w:p>
    <w:p w14:paraId="30E9C85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（2）救援人员应对事故地点应先进行敲帮问顶，摘除松动的浮矸（煤），加固周围的支护，确认事故地点周围支护安全后，方可进行人员抢救工作，以防发生二次事故，危及事故救援人员的安全。</w:t>
      </w:r>
    </w:p>
    <w:p w14:paraId="703F333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伤员被救出转移至安全地点后，应对伤员进行临时抢救等紧急处理措施，迅速移交专业医护人员送医院救治。如果伤员伤情较重，医疗救护组要安排医务人员携带必要的抢险医药器具及时到达井下事故现场，对受伤人员进行紧急医疗救治。</w:t>
      </w:r>
    </w:p>
    <w:p w14:paraId="59207AC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（4）伤员急救应采取以下措施：</w:t>
      </w:r>
    </w:p>
    <w:p w14:paraId="2A41974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①‌休克与昏迷抢救措施‌：若伤者‌休克与昏迷时，要让其‌平卧、保暖、下肢抬高20度‌；昏迷者‌面部转向一侧‌，防止呕吐物堵塞气道。</w:t>
      </w:r>
    </w:p>
    <w:p w14:paraId="77A483F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②‌骨折与出血抢救措施‌：若伤者‌骨折与出血，出血处用干净纱布按压止血；骨折部位‌先固定再搬运‌，脊柱骨折必须用硬板平抬，严禁背运或扭曲身体。</w:t>
      </w:r>
    </w:p>
    <w:p w14:paraId="0F03921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③‌心跳呼吸停止抢救措施‌：若伤者没呼吸心跳，立即进行‌人工呼吸和胸外心脏按压。</w:t>
      </w:r>
    </w:p>
    <w:p w14:paraId="40006752">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顶板（坍塌）事故的应急处置措施：</w:t>
      </w:r>
    </w:p>
    <w:p w14:paraId="16684D48">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（1）事故发生后，事故现场负责人应立即启动顶板事故现场处置方案，根据事故危害程度，开展现场应急处置和自救互救，若有人员受伤，应立即组织对伤员进行施救。</w:t>
      </w:r>
    </w:p>
    <w:p w14:paraId="3AED1F43">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2）救援人员应对事故地点应先进行敲帮问顶，摘除松动的浮矸（煤），加固周围的支护，确保退路安全畅通，在确认事故地点周围支护安全后，方可进行人员抢救工作，以防发生二次事故，危及事故救援人员的安全。伤员被救出转移至安全地点后，应对伤员进行临时抢救等紧急处理措施，迅速移交专业医护人员送医院救治。</w:t>
      </w:r>
    </w:p>
    <w:p w14:paraId="54961801">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3）如果遇险人员被埋压，顶板冒落范围较小时，应迅速移除埋压煤矸施救；若被大块矸石压住，在确认冒落区稳定的情况下，可采用千斤顶等工具把大块岩石顶起，将人迅速救出；若顶板比较破碎并且继续下落，救援人员可采用撞楔法控制住顶板，再扒矸救人。</w:t>
      </w:r>
    </w:p>
    <w:p w14:paraId="3253BF43">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4）在遇险人员被冒落的煤岩体堵住或埋压时，救援人员首先应通过电话、喊话、人员位置监测系统、生命探测仪或敲打钢轨、煤岩体、管子等手段与遇险人员取得联系，探明冒顶范围和遇险人数及位置，通过打导硐、绕道或者施工大口径救生钻孔等方式，快速构建救援通道营救遇险人员，同时利用压风管、水管或者钻孔等向被困人员提供新鲜空气、饮料和食物。应维护好救援通道的顶板，确保遇险、救援人员安全。</w:t>
      </w:r>
    </w:p>
    <w:p w14:paraId="2484F6D1">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（5）较大顶板事故造成人员被困救援困难时，指挥部应立即启动Ⅰ级应急响应，并在井下事故地点附近安全区域建立现场应急指挥部，就近指挥事故抢险救援工作。</w:t>
      </w:r>
    </w:p>
    <w:p w14:paraId="079534D7">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6）救援人员在进入冒顶区探查前，首先对巷道施工区域附近的永久支护情况进行检查，对原有支护进行紧固，并随时检查气体浓度，确认无安全隐患后，方可探查事故情况，严禁在无支护的情况下进入冒顶区。专职救援队要分队进入，一小队负责查找遇险、受伤人员并积极组织抢救，按避灾路线引导遇险人员迅速撤离到安全区域；另一小队负责支护顶板，处理冒落矸石，防止在抢救过程中再次冒落。救援过程中救援队必须随时将灾情和救援情况汇报指挥部。</w:t>
      </w:r>
    </w:p>
    <w:p w14:paraId="7F05C95E">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（7）事故救援难度大、人员被困时间长时，医疗救护组要安排医务人员携带必要的抢险医药器具及时到达井下事故现场救援基地，对抢救出的受伤人员进行紧急医疗救治并护送上井救治。</w:t>
      </w:r>
    </w:p>
    <w:p w14:paraId="38F7F1E0">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（8）顶板事故人员获救后，要禁止救援人员进入冒顶区域，防止发生二次冒顶事故。矿井恢复生产前要制定专项安全技术措施对冒顶区域进行支护和处理。</w:t>
      </w:r>
    </w:p>
    <w:p w14:paraId="7D1E966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3.顶板（其他）事故还应采取以下应急处置措施：</w:t>
      </w:r>
    </w:p>
    <w:p w14:paraId="593A050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顶板事故造成设备设施损坏和通风、排水、供电、安全监测监控等系统破坏，年久失修巷道等其他地点发生顶板事故造成非人身伤亡事故，采煤工作面顶板冒落造成设备损坏、生产停滞等事故，参照本预案“综合处置措施”进行处理。</w:t>
      </w:r>
    </w:p>
    <w:p w14:paraId="2C431C5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（2）对事故现场巷道冒顶区域两端进行设置警戒，严禁人员进入。</w:t>
      </w:r>
    </w:p>
    <w:p w14:paraId="46FE664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（3）暂停冒落区附近电器设备的供电，保证冒顶区的通风，冒落体堵塞巷道时可使用局部通风机通风，保持事故地点的风量。可利用水管、压风管等进行应急供风。</w:t>
      </w:r>
    </w:p>
    <w:p w14:paraId="1B0F275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（4）在处理冒顶过程中，由冒落体一侧向里清理并加强支护，防止二次冒顶。</w:t>
      </w:r>
    </w:p>
    <w:p w14:paraId="02106511">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（54）主要疏水巷道发生冒顶事故时，冒顶造成水沟堵塞，冒顶范围以里积水，必须制定预防水害的安全措施。</w:t>
      </w:r>
    </w:p>
    <w:p w14:paraId="54F7A523">
      <w:pPr>
        <w:autoSpaceDE w:val="0"/>
        <w:autoSpaceDN w:val="0"/>
        <w:spacing w:line="520" w:lineRule="exact"/>
        <w:ind w:firstLine="602" w:firstLineChars="200"/>
        <w:outlineLvl w:val="2"/>
        <w:rPr>
          <w:rFonts w:ascii="仿宋" w:hAnsi="仿宋" w:eastAsia="仿宋" w:cs="仿宋"/>
          <w:b/>
          <w:bCs/>
          <w:color w:val="auto"/>
          <w:sz w:val="30"/>
          <w:szCs w:val="30"/>
          <w:highlight w:val="none"/>
        </w:rPr>
      </w:pPr>
      <w:bookmarkStart w:id="242" w:name="_Toc15497"/>
      <w:bookmarkStart w:id="243" w:name="_Toc12610"/>
      <w:bookmarkStart w:id="244" w:name="_Toc19146"/>
      <w:r>
        <w:rPr>
          <w:rFonts w:hint="eastAsia" w:ascii="仿宋" w:hAnsi="仿宋" w:eastAsia="仿宋" w:cs="仿宋"/>
          <w:b/>
          <w:bCs/>
          <w:color w:val="auto"/>
          <w:sz w:val="30"/>
          <w:szCs w:val="30"/>
          <w:highlight w:val="none"/>
        </w:rPr>
        <w:t>5.5 应急保障</w:t>
      </w:r>
      <w:bookmarkEnd w:id="242"/>
      <w:bookmarkEnd w:id="243"/>
      <w:bookmarkEnd w:id="244"/>
    </w:p>
    <w:p w14:paraId="6A0A26C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5.1 通信与信息保障</w:t>
      </w:r>
    </w:p>
    <w:p w14:paraId="3AB353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6D56E5F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4921ED8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704866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26B9FF0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120978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372842C2">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5.</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149A992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4B39208C">
      <w:pPr>
        <w:spacing w:line="440" w:lineRule="exact"/>
        <w:ind w:firstLine="560" w:firstLineChars="200"/>
        <w:rPr>
          <w:rFonts w:ascii="仿宋_GB2312" w:hAnsi="仿宋_GB2312" w:eastAsia="仿宋_GB2312" w:cs="仿宋_GB2312"/>
          <w:color w:val="auto"/>
          <w:kern w:val="0"/>
          <w:sz w:val="28"/>
          <w:szCs w:val="28"/>
          <w:highlight w:val="none"/>
        </w:rPr>
      </w:pPr>
      <w:bookmarkStart w:id="245" w:name="_Toc11664"/>
      <w:bookmarkStart w:id="246" w:name="_Toc25361"/>
      <w:bookmarkStart w:id="247" w:name="_Toc2523"/>
      <w:bookmarkStart w:id="248" w:name="_Toc7916"/>
      <w:bookmarkStart w:id="249" w:name="_Toc30511"/>
      <w:bookmarkStart w:id="250" w:name="_Toc18481"/>
      <w:bookmarkStart w:id="251" w:name="_Toc17233"/>
      <w:bookmarkStart w:id="252" w:name="_Toc26212"/>
      <w:bookmarkStart w:id="253" w:name="_Toc31311"/>
      <w:r>
        <w:rPr>
          <w:rFonts w:ascii="仿宋_GB2312" w:hAnsi="仿宋_GB2312" w:eastAsia="仿宋_GB2312" w:cs="仿宋_GB2312"/>
          <w:color w:val="auto"/>
          <w:kern w:val="0"/>
          <w:sz w:val="28"/>
          <w:szCs w:val="28"/>
          <w:highlight w:val="none"/>
        </w:rPr>
        <w:br w:type="page"/>
      </w:r>
    </w:p>
    <w:p w14:paraId="470A9EB6">
      <w:pPr>
        <w:spacing w:line="560" w:lineRule="exact"/>
        <w:ind w:firstLine="600" w:firstLineChars="200"/>
        <w:outlineLvl w:val="1"/>
        <w:rPr>
          <w:rFonts w:ascii="黑体" w:hAnsi="黑体" w:eastAsia="黑体" w:cs="黑体"/>
          <w:color w:val="auto"/>
          <w:sz w:val="30"/>
          <w:szCs w:val="30"/>
          <w:highlight w:val="none"/>
        </w:rPr>
      </w:pPr>
      <w:bookmarkStart w:id="254" w:name="_Toc3983"/>
      <w:bookmarkStart w:id="255" w:name="_Toc10471"/>
      <w:r>
        <w:rPr>
          <w:rFonts w:hint="eastAsia" w:ascii="黑体" w:hAnsi="黑体" w:eastAsia="黑体" w:cs="黑体"/>
          <w:color w:val="auto"/>
          <w:sz w:val="30"/>
          <w:szCs w:val="30"/>
          <w:highlight w:val="none"/>
        </w:rPr>
        <w:t>6 冲击地压事故专项应急预案</w:t>
      </w:r>
      <w:bookmarkEnd w:id="254"/>
      <w:bookmarkEnd w:id="255"/>
    </w:p>
    <w:p w14:paraId="41B2E6C6">
      <w:pPr>
        <w:spacing w:line="560" w:lineRule="exact"/>
        <w:ind w:firstLine="600" w:firstLineChars="200"/>
        <w:outlineLvl w:val="2"/>
        <w:rPr>
          <w:rFonts w:ascii="楷体_GB2312" w:hAnsi="楷体_GB2312" w:eastAsia="楷体_GB2312" w:cs="楷体_GB2312"/>
          <w:color w:val="auto"/>
          <w:sz w:val="30"/>
          <w:szCs w:val="30"/>
          <w:highlight w:val="none"/>
        </w:rPr>
      </w:pPr>
      <w:bookmarkStart w:id="256" w:name="_Toc10247"/>
      <w:bookmarkStart w:id="257" w:name="_Toc26730"/>
      <w:r>
        <w:rPr>
          <w:rFonts w:hint="eastAsia" w:ascii="楷体_GB2312" w:hAnsi="楷体_GB2312" w:eastAsia="楷体_GB2312" w:cs="楷体_GB2312"/>
          <w:color w:val="auto"/>
          <w:sz w:val="30"/>
          <w:szCs w:val="30"/>
          <w:highlight w:val="none"/>
        </w:rPr>
        <w:t>6.1 适用范围</w:t>
      </w:r>
      <w:bookmarkEnd w:id="256"/>
      <w:bookmarkEnd w:id="257"/>
    </w:p>
    <w:p w14:paraId="3D22D7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冲击地压（物体打击）、冲击地压（坍塌）、冲击地压（其他）事故的应急救援工作。以上事故包括人员被困、涉险事故。</w:t>
      </w:r>
    </w:p>
    <w:p w14:paraId="573F8F6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rPr>
        <w:t>冲击地压</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5E845CAC">
      <w:pPr>
        <w:spacing w:line="560" w:lineRule="exact"/>
        <w:ind w:firstLine="600" w:firstLineChars="200"/>
        <w:outlineLvl w:val="2"/>
        <w:rPr>
          <w:rFonts w:ascii="楷体_GB2312" w:hAnsi="楷体_GB2312" w:eastAsia="楷体_GB2312" w:cs="楷体_GB2312"/>
          <w:color w:val="auto"/>
          <w:sz w:val="30"/>
          <w:szCs w:val="30"/>
          <w:highlight w:val="none"/>
        </w:rPr>
      </w:pPr>
      <w:bookmarkStart w:id="258" w:name="_Toc19242"/>
      <w:bookmarkStart w:id="259" w:name="_Toc9352"/>
      <w:r>
        <w:rPr>
          <w:rFonts w:hint="eastAsia" w:ascii="楷体_GB2312" w:hAnsi="楷体_GB2312" w:eastAsia="楷体_GB2312" w:cs="楷体_GB2312"/>
          <w:color w:val="auto"/>
          <w:sz w:val="30"/>
          <w:szCs w:val="30"/>
          <w:highlight w:val="none"/>
        </w:rPr>
        <w:t>6.2 应急组织机构及职责</w:t>
      </w:r>
      <w:bookmarkEnd w:id="258"/>
      <w:bookmarkEnd w:id="259"/>
    </w:p>
    <w:p w14:paraId="1E88F18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冲击地压</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372C8339">
      <w:pPr>
        <w:spacing w:line="560" w:lineRule="exact"/>
        <w:ind w:firstLine="600" w:firstLineChars="200"/>
        <w:outlineLvl w:val="2"/>
        <w:rPr>
          <w:rFonts w:ascii="楷体_GB2312" w:hAnsi="楷体_GB2312" w:eastAsia="楷体_GB2312" w:cs="楷体_GB2312"/>
          <w:color w:val="auto"/>
          <w:sz w:val="30"/>
          <w:szCs w:val="30"/>
          <w:highlight w:val="none"/>
        </w:rPr>
      </w:pPr>
      <w:bookmarkStart w:id="260" w:name="_Toc30888"/>
      <w:bookmarkStart w:id="261" w:name="_Toc30283"/>
      <w:r>
        <w:rPr>
          <w:rFonts w:hint="eastAsia" w:ascii="楷体_GB2312" w:hAnsi="楷体_GB2312" w:eastAsia="楷体_GB2312" w:cs="楷体_GB2312"/>
          <w:color w:val="auto"/>
          <w:sz w:val="30"/>
          <w:szCs w:val="30"/>
          <w:highlight w:val="none"/>
        </w:rPr>
        <w:t>6.3 响应启动</w:t>
      </w:r>
      <w:bookmarkEnd w:id="260"/>
      <w:bookmarkEnd w:id="261"/>
      <w:r>
        <w:rPr>
          <w:rFonts w:hint="eastAsia" w:ascii="楷体_GB2312" w:hAnsi="楷体_GB2312" w:eastAsia="楷体_GB2312" w:cs="楷体_GB2312"/>
          <w:color w:val="auto"/>
          <w:sz w:val="30"/>
          <w:szCs w:val="30"/>
          <w:highlight w:val="none"/>
        </w:rPr>
        <w:t xml:space="preserve"> </w:t>
      </w:r>
    </w:p>
    <w:p w14:paraId="0E725D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冲击地压（物体打击、坍塌、其他）事故可能造成1-2人重伤的，启动Ⅱ级应急响应；造成人员伤亡并达到Ⅰ级应急响应条件的，启动Ⅰ级应急响应；只造成人员轻伤或没有造成人员伤亡但可能造成100万元以下直接经济损失的事故，启动Ⅲ级应急响应</w:t>
      </w:r>
      <w:r>
        <w:rPr>
          <w:rFonts w:ascii="仿宋_GB2312" w:hAnsi="仿宋_GB2312" w:eastAsia="仿宋_GB2312" w:cs="仿宋_GB2312"/>
          <w:color w:val="auto"/>
          <w:kern w:val="0"/>
          <w:sz w:val="28"/>
          <w:szCs w:val="28"/>
          <w:highlight w:val="none"/>
        </w:rPr>
        <w:t>。</w:t>
      </w:r>
    </w:p>
    <w:p w14:paraId="1205FD0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3.1 召开现场应急会议</w:t>
      </w:r>
    </w:p>
    <w:p w14:paraId="1BC75C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冲击地压事故应急会议由总指挥主持召开。启动Ⅱ级响应的冲击地压事故，由第一副总指挥根据事故严重程度和救援难度，确定综合协调组、抢险救灾组、技术专家组、安全监督组、医疗救护组等有关救援工作组参加应急会议，安排部署现场应急处置和救援工作。物资供应组、警戒保卫组、后勤保障组、信息发布组、善后处理组等应急救援工作组待命，必要时参加应急救援工作。其余事项按综合应急预案“3.3.2 召开应急会议”的要求执行</w:t>
      </w:r>
    </w:p>
    <w:p w14:paraId="4B19DA6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3.2 信息上报</w:t>
      </w:r>
    </w:p>
    <w:p w14:paraId="196DE74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16E4F848">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3.3 资源协调</w:t>
      </w:r>
    </w:p>
    <w:p w14:paraId="64A4A48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6782AF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36D1AC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0FE48F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537C804D">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7B1CC52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3.4 信息公开</w:t>
      </w:r>
    </w:p>
    <w:p w14:paraId="6E821BD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45631BE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3.5 后勤及财力保障</w:t>
      </w:r>
    </w:p>
    <w:p w14:paraId="1CEA9B0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319933B1">
      <w:pPr>
        <w:spacing w:line="560" w:lineRule="exact"/>
        <w:ind w:firstLine="600" w:firstLineChars="200"/>
        <w:outlineLvl w:val="2"/>
        <w:rPr>
          <w:rFonts w:ascii="楷体_GB2312" w:hAnsi="楷体_GB2312" w:eastAsia="楷体_GB2312" w:cs="楷体_GB2312"/>
          <w:color w:val="auto"/>
          <w:sz w:val="30"/>
          <w:szCs w:val="30"/>
          <w:highlight w:val="none"/>
        </w:rPr>
      </w:pPr>
      <w:bookmarkStart w:id="262" w:name="_Toc557"/>
      <w:bookmarkStart w:id="263" w:name="_Toc8218"/>
      <w:r>
        <w:rPr>
          <w:rFonts w:hint="eastAsia" w:ascii="楷体_GB2312" w:hAnsi="楷体_GB2312" w:eastAsia="楷体_GB2312" w:cs="楷体_GB2312"/>
          <w:color w:val="auto"/>
          <w:sz w:val="30"/>
          <w:szCs w:val="30"/>
          <w:highlight w:val="none"/>
        </w:rPr>
        <w:t>6.</w:t>
      </w:r>
      <w:r>
        <w:rPr>
          <w:rFonts w:ascii="楷体_GB2312" w:hAnsi="楷体_GB2312" w:eastAsia="楷体_GB2312" w:cs="楷体_GB2312"/>
          <w:color w:val="auto"/>
          <w:sz w:val="30"/>
          <w:szCs w:val="30"/>
          <w:highlight w:val="none"/>
        </w:rPr>
        <w:t>4 处置措施</w:t>
      </w:r>
      <w:bookmarkEnd w:id="262"/>
      <w:bookmarkEnd w:id="263"/>
    </w:p>
    <w:p w14:paraId="7361E4D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冲击地压</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31F2EE3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危害程度和影响范围：冲击地压（物体打击、坍塌、其他）事故风险，局部地区会由于开采、地质因素等变化，形成应力集中区，应力集中会加大冲击地压发生的危险。冲击地压的特点是突发性、瞬时震动性、巨大破坏性和复杂性。冲击地压发生时积聚在矿井巷道和采场周围煤岩体中的能量突然释放，产生的动力将煤（岩）抛向巷道，同时发出强烈声响，造成煤岩体振动和破坏、支架与设备破坏、人员伤亡、部分巷道垮落破坏等。为井下导致井巷破坏和人员伤亡，可能会对地表及地表建筑物造成损坏，甚至造成像地震一样的灾难性的后果。可能发生顶板冒落、巷帮片落、浮矸掉落，造成人员伤亡、被困、设备设施损坏和瓦斯突出、煤尘爆炸、火灾和水灾等系统破坏等事故。</w:t>
      </w:r>
    </w:p>
    <w:p w14:paraId="6722489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冲击地压（物体打击）事故；冲击地压引发顶板、巷帮大面积垮塌，掩埋、挤压人员，构成冲击地压（坍塌）事故。因此，需制定相应的应急处置措施</w:t>
      </w:r>
      <w:r>
        <w:rPr>
          <w:rFonts w:hint="eastAsia" w:ascii="仿宋_GB2312" w:hAnsi="仿宋_GB2312" w:eastAsia="仿宋_GB2312" w:cs="仿宋_GB2312"/>
          <w:color w:val="auto"/>
          <w:kern w:val="0"/>
          <w:sz w:val="28"/>
          <w:szCs w:val="28"/>
          <w:highlight w:val="none"/>
          <w:lang w:eastAsia="zh-CN"/>
        </w:rPr>
        <w:t>：</w:t>
      </w:r>
    </w:p>
    <w:p w14:paraId="6DD80B6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4.1 应急处置指导原则</w:t>
      </w:r>
    </w:p>
    <w:p w14:paraId="63F977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59F482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3EB6F28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48DE35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1FE0D87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4.</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处置</w:t>
      </w:r>
      <w:r>
        <w:rPr>
          <w:rFonts w:hint="eastAsia" w:ascii="仿宋" w:hAnsi="仿宋" w:eastAsia="仿宋" w:cs="仿宋"/>
          <w:b/>
          <w:bCs/>
          <w:color w:val="auto"/>
          <w:sz w:val="30"/>
          <w:szCs w:val="30"/>
          <w:highlight w:val="none"/>
        </w:rPr>
        <w:t>措施</w:t>
      </w:r>
    </w:p>
    <w:p w14:paraId="3946D9D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1.综合处置措施</w:t>
      </w:r>
    </w:p>
    <w:p w14:paraId="5C56A3A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冲击地压（物体打击、坍塌、其他）事故发生后，事故现场负责人立即启动现场处置方案，组织事故地点及涉险区域人员开展自救互救，并根据事故危害程度，在确保安全的前提下采取必要的应急处置措施控制灾情，防止事故继续扩大；若现场作业人员无法有效处置或无法保证自身安全时，要立即切断电源并沿避灾路线撤离，在确保安全的前提下向矿调度室汇报事故处置及人员撤离情况。</w:t>
      </w:r>
    </w:p>
    <w:p w14:paraId="7C34D23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事故现场负责人应在发生事故的第一时间报告调度室。矿调度室和防冲监控室值班人员接到汇报后。调度室迅速了解事故发生位置、波及范围及人员伤亡情况，通过调度通讯系统、语音广播系统、人员位置监测系统等下达受威胁区域撤人指令。同时报告值班矿领导、总经理、带班矿领导、分管副总经理和其他矿领导，通知专（兼）职救援队、医疗机构、应急救援指挥部成员、矿井相关单位、区队负责人集合待命。带班矿领导应立即赶赴事故地点指导应急处置和救援。</w:t>
      </w:r>
    </w:p>
    <w:p w14:paraId="729BA7A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（3）应急救援指挥部根据事故情况，由总指挥启动应急响应。指挥部研究制定救援方案，按响应等级开展事故应急处置和救援，并根据灾情发展趋势及时调整优化救援方案。</w:t>
      </w:r>
    </w:p>
    <w:p w14:paraId="65E43FB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防冲监控人员利用监测监控系统，对所有地点进行实时监控，对变化较大地点进行上报分析，分析判断现场是否仍有发生冲击的可能性，及时将现场有关情况向上级领导汇报。只有经监测无冲击危险时，方可开展救援工作，否则必须先采取解危措施。</w:t>
      </w:r>
    </w:p>
    <w:p w14:paraId="1B4C83A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调度室要利用井下人员位置监测系统对井下人员撤离情况进行监测，准确掌握井下人员的撤离情况，并安排专人清点升井人数；监测监控部门对井下采掘工作面、主要巷道、硐室及事故地点有毒有害气体、氧气、风量、风速等监测数据进行分析，并将数据分析结果报告应急指挥部。</w:t>
      </w:r>
    </w:p>
    <w:p w14:paraId="4786A34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（6）应根据前期监测情况或参照与发生冲击地点相似条件的监测资料，利用钻屑法监测，初步确定安全区域。然后根据钻屑法监测数据，逐步缩小并确定有冲击危险的区域。</w:t>
      </w:r>
    </w:p>
    <w:p w14:paraId="36B8644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（7）通防部门必须安排人员确保事故现场安全地点的通风情况，在现场抢险救灾之前，必要时采取临时措施改善事故区域通风状况，降低有害气体浓度，瓦斯超限的区域必须切断电源。</w:t>
      </w:r>
    </w:p>
    <w:p w14:paraId="7E6BA5A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（8）发生冲击地压事故后，若现场出现人员伤亡，灾区现场管理人员必须立即组织抢救，及时将伤亡人员抬离事故发生地点，撤至安全地点，随时与矿调度室保持联系。</w:t>
      </w:r>
    </w:p>
    <w:p w14:paraId="759F214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（9）发生冲击地压事故后，若现场无人员伤亡，灾区现场管理人员必须立即清点人数，组织人员撤离至安全地点，随时与矿调度室保持联系。</w:t>
      </w:r>
    </w:p>
    <w:p w14:paraId="1ACAC96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10）经防冲办分析监测可以执行现场抢险后，方可进行抢险救灾，所有救灾人员要服从指挥部命令，在现场抢险救灾时积极参加事故抢险工作，首先要保证现场安全通道畅通，并确保救护人员的安全；其次要保证外围的运输、进料等系统畅通无阻。</w:t>
      </w:r>
    </w:p>
    <w:p w14:paraId="66DFB5F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（11）当有人员遇险被困时，现场指挥组应尽最大可能与遇险人员取得联系，并稳定被困人员情绪，向被困人员提供生存保障措施，通知遇险被困人员对被困地点附近采取加强支护的措施及自救互救的注意事项。</w:t>
      </w:r>
    </w:p>
    <w:p w14:paraId="5ACF751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12）救援队按照救援方案携带相关装备入井，按照《矿山救援规程》有关规定和救援方案进行灾区侦查，抢救遇险遇难人员，清理巷道，恢复通风等。在进入灾区前，必须先检查甲烷、二氧化碳、氧气等气体浓度，在确保救援人员安全的前提下，才能进入事故地点抢险救援。</w:t>
      </w:r>
    </w:p>
    <w:p w14:paraId="7D985232">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13）大面积冒顶在作业人员被困，风水管路和通风全部切断时，必须先恢复冒顶区域的正常通风，如暂不能恢复时，可利用水管、压风管等向被堵压人员处输送新鲜空气，并把救援通道的顶板维护好，确保救援人员安全。</w:t>
      </w:r>
    </w:p>
    <w:p w14:paraId="475E137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2.冲击地压（物体打击）事故的应急处置措施</w:t>
      </w:r>
    </w:p>
    <w:p w14:paraId="266BBFC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（1）事故发生后，事故现场负责人应立即启动冲击地压事故现场处置方案，根据事故危害程度，开展现场应急处置和自救互救，若有人员受伤，应立即组织对伤员进行施救。</w:t>
      </w:r>
    </w:p>
    <w:p w14:paraId="4F3005E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巷道破坏严重、有冒顶危险时，必须采取防止二次冒顶的措施。设专人观察顶板及周围支护情况，检查通风、瓦斯、粉尘，防止发生次生事故。处理冒顶前，必须先恢复冲击地压冒顶区域的正常通风，如暂不能恢复时，可利用水管、压风管等向被堵压人员处输送新鲜空气，并把救援通道的顶板维护好，确保救援人员安全。</w:t>
      </w:r>
    </w:p>
    <w:p w14:paraId="3FECC23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在现场抢险救灾过程中，防冲办人员要实时对冲击地压发生地点附近进行监测，确保救援工作的安全进行，同时做好现场勘察、记录，及时将监测情况和事故可能发展的态势及建议采取的措施向现场指挥组汇报，现场根据措施进行有效施救。</w:t>
      </w:r>
    </w:p>
    <w:p w14:paraId="214663B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（4）抢救遇险人员必须首先恢复事故发生地点支护，清理退路的障碍物，保证退路安全畅通。</w:t>
      </w:r>
    </w:p>
    <w:p w14:paraId="5776AEF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伤员被救出转移至安全地点后，应对伤员进行临时抢救等紧急处理措施，迅速移交专业医护人员送医院救治。如果伤员伤情较重，医疗救护组要安排医务人员携带必要的抢险医药器具及时到达井下事故现场，对受伤人员进行紧急医疗救治。</w:t>
      </w:r>
    </w:p>
    <w:p w14:paraId="0EF27A8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（6）伤员急救应采取以下措施：</w:t>
      </w:r>
    </w:p>
    <w:p w14:paraId="4A69094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①‌休克与昏迷抢救措施‌：若伤者‌休克与昏迷时，要让其‌平卧、保暖、下肢抬高20度‌；昏迷者‌面部转向一侧‌，防止呕吐物堵塞气道。</w:t>
      </w:r>
    </w:p>
    <w:p w14:paraId="21DC96D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②‌骨折与出血抢救措施‌：若伤者‌骨折与出血，出血处用干净纱布按压止血；骨折部位‌先固定再搬运‌，脊柱骨折必须用硬板平抬，严禁背运或扭曲身体。</w:t>
      </w:r>
    </w:p>
    <w:p w14:paraId="351FBC8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③‌心跳呼吸停止抢救措施‌：若伤者没呼吸心跳，立即进行‌人工呼吸和胸外心脏按压。</w:t>
      </w:r>
    </w:p>
    <w:p w14:paraId="3F99DE3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3.冲击地压（坍塌）事故的应急处置措施：</w:t>
      </w:r>
    </w:p>
    <w:p w14:paraId="7DABCF6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（1）在发生其他（冲击地压）事故后，现场有关人员立即启动现场处置措施，停止作业、带领危险区域人员撤离至安全区域，同时向调度室及专业部门汇报。</w:t>
      </w:r>
    </w:p>
    <w:p w14:paraId="3871DBC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矿调度室和防冲监控室值班人员接到汇报后。应立即发出警报，通过井下人员定位系统，利用井下语音广播系统、无线通讯系统、调度通讯系统等，3分钟通知到井下所有可能受事故波及区域人员撤离。组织对受困人员进行施救，防止事故继续扩大。</w:t>
      </w:r>
    </w:p>
    <w:p w14:paraId="5CE04F9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（3）通知专（兼）职救护队和内蒙能源医院集合待命，并立即报告值班矿领导和矿主要领导，通知指挥部成员、各救援小组到调度室或指定地点集合。</w:t>
      </w:r>
    </w:p>
    <w:p w14:paraId="73B5A98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防冲监控人员利用监测监控系统，对所有地点进行实时监控，对变化较大地点进行上报分析，分析判断现场是否仍有发生冲击的可能性，及时将现场有关情况向上级领导汇报。只有经监测无冲击危险时，方可开展救援工作，否则必须先采取解危措施。</w:t>
      </w:r>
    </w:p>
    <w:p w14:paraId="0871F04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（5）发生冲击地压事故后，若现场出现人员伤亡，灾区现场管理人员必须立即组织抢救，及时将伤亡人员抬离事故发生地点，撤至安全地点，随时与矿调度室保持联系。</w:t>
      </w:r>
    </w:p>
    <w:p w14:paraId="056DD56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（6）发生冲击地压事故后，若现场无人员伤亡，灾区现场管理人员必须立即清点人数，组织人员撤离至安全地点，随时与矿调度室保持联系。</w:t>
      </w:r>
    </w:p>
    <w:p w14:paraId="3C3C63C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经防冲办分析监测可以执行现场抢险后，方可进行抢险救灾，所有救灾人员要服从指挥部命令，在现场抢险救灾时积极参加事故抢险工作，首先要保证现场安全通道畅通，并确保救护人员的安全；其次要保证外围的运输、进料等系统畅通无阻。</w:t>
      </w:r>
    </w:p>
    <w:p w14:paraId="0A6934C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（8）通防部门必须安排人员确保事故现场安全地点的通风情况，在现场抢险救灾之前，必要时采取临时措施改善事故区域通风状况，降低有害气体浓度，瓦斯超限的区域必须切断电源。</w:t>
      </w:r>
    </w:p>
    <w:p w14:paraId="24D77A2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9）巷道破坏严重、有冒顶危险时，必须采取防止二次冒顶的措施。设专人观察顶板及周围支护情况，检查通风、瓦斯、粉尘，防止发生次生事故。处理冒顶前，必须先恢复冒顶区域的正常通风，如暂不能恢复时，可利用水管、压风管等向被堵压人员处输送新鲜空气，并把救援通道的顶板维护好，确保救援人员安全。</w:t>
      </w:r>
    </w:p>
    <w:p w14:paraId="6937C99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（10）抢救遇险人员必须首先恢复事故发生地点支护，清理退路的障碍物，保证退路安全畅通。</w:t>
      </w:r>
    </w:p>
    <w:p w14:paraId="22229B8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11）在现场抢险救灾过程中，防冲办人员要实时对冲击地压发生地点附近进行监测，确保救援工作的安全进行，同时做好现场勘查、记录，及时将监测情况和事故可能发展的态势及建议采取的措施向现场指挥组汇报，现场根据措施进行有效施救。</w:t>
      </w:r>
    </w:p>
    <w:p w14:paraId="597FE4A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（12）应根据前期监测情况或参照与发生冲击地点相似条件的监测资料，利用钻屑法监测，初步确定安全区域。然后根据钻屑法监测数据，逐步缩小并确定有冲击危险的区域。</w:t>
      </w:r>
    </w:p>
    <w:p w14:paraId="66C9FA3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（13）当有人员遇险被困时，现场指挥组应尽最大可能与遇险人员取得联系，并稳定被困人员情绪，向被困人员提供生存保障措施，通知遇险被困人员对被困地点附近采取加强支护的措施及自救互救的注意事项。</w:t>
      </w:r>
    </w:p>
    <w:p w14:paraId="059EAA7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（14）事故的应急处置必须根据现场的实际情况，制定切实可靠的措施，确保安全。</w:t>
      </w:r>
    </w:p>
    <w:p w14:paraId="6E76845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15）大面积冒顶在作业人员被困，风水管路和通风全部切断时，必须先恢复冒顶区域的正常通风，如暂不能恢复时，可利用水管、压风管等向被堵压人员处输送新鲜空气，并把救援通道的顶板维护好，确保救援人员安全。</w:t>
      </w:r>
    </w:p>
    <w:p w14:paraId="5108E2A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4.冲击地压（其他）事故的应急处置措施</w:t>
      </w:r>
    </w:p>
    <w:p w14:paraId="3665563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冲击地压事故造成设备设施损坏和通风、排水、供电、安全监测监控等系统破坏，采煤工作面冲击地压冒落造成设备损坏、生产停滞等事故，参照本预案“综合处置措施”进行处理。冲击地压（其他）事故还应采取以下应急处置措施：</w:t>
      </w:r>
    </w:p>
    <w:p w14:paraId="0E6FE7D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（2）对事故现场冲击地压巷道冒顶区域两端进行设置警戒，严禁人员进入。</w:t>
      </w:r>
    </w:p>
    <w:p w14:paraId="2E13A2E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（3）暂停冲击地压冒落区附近电器设备的供电，保证冲击地压冒顶区的通风，冒落体堵塞巷道时可使用局部通风机通风，保持事故地点的风量。可利用水管、压风管等进行应急供风。</w:t>
      </w:r>
    </w:p>
    <w:p w14:paraId="0F941EA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（4）在处理冒顶过程中，由冒落体一侧向里清理并加强支护，防止二次冒顶。</w:t>
      </w:r>
    </w:p>
    <w:p w14:paraId="5B710BAA">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lang w:val="en-US" w:eastAsia="zh-CN"/>
        </w:rPr>
        <w:t>（5）主要疏水巷道发生冲击地压冒顶事故时，冒顶造成水沟堵塞，冒顶范围以里积水，必须制定预防水害的安全措施。</w:t>
      </w:r>
    </w:p>
    <w:p w14:paraId="1474A0EC">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264" w:name="_Toc28951"/>
      <w:bookmarkStart w:id="265" w:name="_Toc27538"/>
      <w:r>
        <w:rPr>
          <w:rFonts w:hint="eastAsia" w:ascii="仿宋" w:hAnsi="仿宋" w:eastAsia="仿宋" w:cs="仿宋"/>
          <w:b/>
          <w:bCs/>
          <w:color w:val="auto"/>
          <w:sz w:val="30"/>
          <w:szCs w:val="30"/>
          <w:highlight w:val="none"/>
        </w:rPr>
        <w:t>6.5 应急保障</w:t>
      </w:r>
      <w:bookmarkEnd w:id="264"/>
      <w:bookmarkEnd w:id="265"/>
    </w:p>
    <w:p w14:paraId="0C4084A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5.1 通信与信息保障</w:t>
      </w:r>
    </w:p>
    <w:p w14:paraId="6CB2F8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3C2BA23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2F47E8A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30C40D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6C06CB4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298CCE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487F5CE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6.</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1A5F0F7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225191F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0AEACDB8">
      <w:pPr>
        <w:spacing w:line="560" w:lineRule="exact"/>
        <w:ind w:firstLine="600" w:firstLineChars="200"/>
        <w:outlineLvl w:val="1"/>
        <w:rPr>
          <w:rFonts w:ascii="黑体" w:hAnsi="黑体" w:eastAsia="黑体" w:cs="黑体"/>
          <w:color w:val="auto"/>
          <w:sz w:val="30"/>
          <w:szCs w:val="30"/>
          <w:highlight w:val="none"/>
        </w:rPr>
      </w:pPr>
      <w:bookmarkStart w:id="266" w:name="_Toc20433"/>
      <w:bookmarkStart w:id="267" w:name="_Toc10676"/>
      <w:r>
        <w:rPr>
          <w:rFonts w:hint="eastAsia" w:ascii="黑体" w:hAnsi="黑体" w:eastAsia="黑体" w:cs="黑体"/>
          <w:color w:val="auto"/>
          <w:sz w:val="30"/>
          <w:szCs w:val="30"/>
          <w:highlight w:val="none"/>
        </w:rPr>
        <w:t>7 主要通风机停止运转事故专项应急预案</w:t>
      </w:r>
      <w:bookmarkEnd w:id="266"/>
      <w:bookmarkEnd w:id="267"/>
    </w:p>
    <w:p w14:paraId="3C90CA94">
      <w:pPr>
        <w:spacing w:line="560" w:lineRule="exact"/>
        <w:ind w:firstLine="600" w:firstLineChars="200"/>
        <w:outlineLvl w:val="2"/>
        <w:rPr>
          <w:rFonts w:ascii="楷体_GB2312" w:hAnsi="楷体_GB2312" w:eastAsia="楷体_GB2312" w:cs="楷体_GB2312"/>
          <w:color w:val="auto"/>
          <w:sz w:val="30"/>
          <w:szCs w:val="30"/>
          <w:highlight w:val="none"/>
        </w:rPr>
      </w:pPr>
      <w:bookmarkStart w:id="268" w:name="_Toc18369"/>
      <w:bookmarkStart w:id="269" w:name="_Toc7118"/>
      <w:r>
        <w:rPr>
          <w:rFonts w:hint="eastAsia" w:ascii="楷体_GB2312" w:hAnsi="楷体_GB2312" w:eastAsia="楷体_GB2312" w:cs="楷体_GB2312"/>
          <w:color w:val="auto"/>
          <w:sz w:val="30"/>
          <w:szCs w:val="30"/>
          <w:highlight w:val="none"/>
        </w:rPr>
        <w:t>7.1 适用范围</w:t>
      </w:r>
      <w:bookmarkEnd w:id="268"/>
      <w:bookmarkEnd w:id="269"/>
    </w:p>
    <w:p w14:paraId="767F29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主要通风机停止运转事故（包括涉险事故）的应急救援工作。具体范围为在生产过程中所涉及到的矿井发生总停电或者主通风机检修期间，运行的主通风机发生机械故障或停电，两</w:t>
      </w:r>
      <w:r>
        <w:rPr>
          <w:rFonts w:hint="eastAsia" w:ascii="仿宋_GB2312" w:hAnsi="仿宋_GB2312" w:eastAsia="仿宋_GB2312" w:cs="仿宋_GB2312"/>
          <w:color w:val="auto"/>
          <w:kern w:val="0"/>
          <w:sz w:val="28"/>
          <w:szCs w:val="28"/>
          <w:highlight w:val="none"/>
          <w:lang w:eastAsia="zh-CN"/>
        </w:rPr>
        <w:t>台</w:t>
      </w:r>
      <w:r>
        <w:rPr>
          <w:rFonts w:hint="eastAsia" w:ascii="仿宋_GB2312" w:hAnsi="仿宋_GB2312" w:eastAsia="仿宋_GB2312" w:cs="仿宋_GB2312"/>
          <w:color w:val="auto"/>
          <w:kern w:val="0"/>
          <w:sz w:val="28"/>
          <w:szCs w:val="28"/>
          <w:highlight w:val="none"/>
        </w:rPr>
        <w:t>主通风机及附属设备发生机械故障等造成的主通风机停止运转事故。</w:t>
      </w:r>
    </w:p>
    <w:p w14:paraId="3B78388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rPr>
        <w:t>主要通风机停止运转</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1F99C8CE">
      <w:pPr>
        <w:spacing w:line="560" w:lineRule="exact"/>
        <w:ind w:firstLine="600" w:firstLineChars="200"/>
        <w:outlineLvl w:val="2"/>
        <w:rPr>
          <w:rFonts w:ascii="楷体_GB2312" w:hAnsi="楷体_GB2312" w:eastAsia="楷体_GB2312" w:cs="楷体_GB2312"/>
          <w:color w:val="auto"/>
          <w:sz w:val="30"/>
          <w:szCs w:val="30"/>
          <w:highlight w:val="none"/>
        </w:rPr>
      </w:pPr>
      <w:bookmarkStart w:id="270" w:name="_Toc11697"/>
      <w:bookmarkStart w:id="271" w:name="_Toc18440"/>
      <w:r>
        <w:rPr>
          <w:rFonts w:hint="eastAsia" w:ascii="楷体_GB2312" w:hAnsi="楷体_GB2312" w:eastAsia="楷体_GB2312" w:cs="楷体_GB2312"/>
          <w:color w:val="auto"/>
          <w:sz w:val="30"/>
          <w:szCs w:val="30"/>
          <w:highlight w:val="none"/>
        </w:rPr>
        <w:t>7.2 应急组织机构及职责</w:t>
      </w:r>
      <w:bookmarkEnd w:id="270"/>
      <w:bookmarkEnd w:id="271"/>
    </w:p>
    <w:p w14:paraId="088D2BF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主要通风机停止运转</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w:t>
      </w:r>
      <w:r>
        <w:rPr>
          <w:rFonts w:hint="eastAsia" w:ascii="仿宋_GB2312" w:hAnsi="仿宋_GB2312" w:eastAsia="仿宋_GB2312" w:cs="仿宋_GB2312"/>
          <w:color w:val="auto"/>
          <w:kern w:val="0"/>
          <w:sz w:val="28"/>
          <w:szCs w:val="28"/>
          <w:highlight w:val="none"/>
        </w:rPr>
        <w:t>机电副总经理</w:t>
      </w:r>
      <w:r>
        <w:rPr>
          <w:rFonts w:ascii="仿宋_GB2312" w:hAnsi="仿宋_GB2312" w:eastAsia="仿宋_GB2312" w:cs="仿宋_GB2312"/>
          <w:color w:val="auto"/>
          <w:kern w:val="0"/>
          <w:sz w:val="28"/>
          <w:szCs w:val="28"/>
          <w:highlight w:val="none"/>
        </w:rPr>
        <w:t>担任；其他执行综合应急预案“2应急组织机构及职责”相关规定。</w:t>
      </w:r>
    </w:p>
    <w:p w14:paraId="3C017F96">
      <w:pPr>
        <w:spacing w:line="560" w:lineRule="exact"/>
        <w:ind w:firstLine="600" w:firstLineChars="200"/>
        <w:outlineLvl w:val="2"/>
        <w:rPr>
          <w:rFonts w:ascii="楷体_GB2312" w:hAnsi="楷体_GB2312" w:eastAsia="楷体_GB2312" w:cs="楷体_GB2312"/>
          <w:color w:val="auto"/>
          <w:sz w:val="30"/>
          <w:szCs w:val="30"/>
          <w:highlight w:val="none"/>
        </w:rPr>
      </w:pPr>
      <w:bookmarkStart w:id="272" w:name="_Toc13925"/>
      <w:bookmarkStart w:id="273" w:name="_Toc24996"/>
      <w:r>
        <w:rPr>
          <w:rFonts w:hint="eastAsia" w:ascii="楷体_GB2312" w:hAnsi="楷体_GB2312" w:eastAsia="楷体_GB2312" w:cs="楷体_GB2312"/>
          <w:color w:val="auto"/>
          <w:sz w:val="30"/>
          <w:szCs w:val="30"/>
          <w:highlight w:val="none"/>
        </w:rPr>
        <w:t>7.3 响应启动</w:t>
      </w:r>
      <w:bookmarkEnd w:id="272"/>
      <w:bookmarkEnd w:id="273"/>
      <w:r>
        <w:rPr>
          <w:rFonts w:hint="eastAsia" w:ascii="楷体_GB2312" w:hAnsi="楷体_GB2312" w:eastAsia="楷体_GB2312" w:cs="楷体_GB2312"/>
          <w:color w:val="auto"/>
          <w:sz w:val="30"/>
          <w:szCs w:val="30"/>
          <w:highlight w:val="none"/>
        </w:rPr>
        <w:t xml:space="preserve"> </w:t>
      </w:r>
    </w:p>
    <w:p w14:paraId="3A5A3E7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1.发生主要通风机停止运转</w:t>
      </w:r>
      <w:r>
        <w:rPr>
          <w:rFonts w:hint="eastAsia" w:ascii="仿宋_GB2312" w:hAnsi="仿宋_GB2312" w:eastAsia="仿宋_GB2312" w:cs="仿宋_GB2312"/>
          <w:color w:val="auto"/>
          <w:kern w:val="0"/>
          <w:sz w:val="28"/>
          <w:szCs w:val="28"/>
          <w:highlight w:val="none"/>
          <w:lang w:val="en-US" w:eastAsia="zh-CN"/>
        </w:rPr>
        <w:t>导致中毒、窒息等人身伤害</w:t>
      </w:r>
      <w:r>
        <w:rPr>
          <w:rFonts w:hint="eastAsia" w:ascii="仿宋_GB2312" w:hAnsi="仿宋_GB2312" w:eastAsia="仿宋_GB2312" w:cs="仿宋_GB2312"/>
          <w:color w:val="auto"/>
          <w:kern w:val="0"/>
          <w:sz w:val="28"/>
          <w:szCs w:val="28"/>
          <w:highlight w:val="none"/>
        </w:rPr>
        <w:t>事故时，根据综合应急预案响应分级启动应急响应。</w:t>
      </w:r>
    </w:p>
    <w:p w14:paraId="6861DE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2.发生主要通风机停止运转事故，不能在10分钟内重启立即启动Ⅱ级应急响应，按本预案组织开展应急救援行动。</w:t>
      </w:r>
    </w:p>
    <w:p w14:paraId="1C3F24D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3.1 召开现场应急会议</w:t>
      </w:r>
    </w:p>
    <w:p w14:paraId="69ACB40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应急会议由总指挥主持召开。启动Ⅱ级响应的事故，由第一副总指挥根据事故严重程度和救援难度，确定综合协调组、抢险救灾组、技术专家组、安全监督组、医疗救护组等有关救援工作组参加应急会议，安排部署现场应急处置和救援工作。物资供应组、警戒保卫组、后勤保障组、信息发布组、善后处理组等应急救援工作组待命，必要时参加应急救援工作。其余事项按综合应急预案“3.3.2 召开应急会议”的要求执行。</w:t>
      </w:r>
    </w:p>
    <w:p w14:paraId="00F9ED4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3.2 信息上报</w:t>
      </w:r>
    </w:p>
    <w:p w14:paraId="20CE89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7A1BCC1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3.3 资源协调</w:t>
      </w:r>
    </w:p>
    <w:p w14:paraId="04019BA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7F724C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6331D4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43DA6B6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0D5D6A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6ABAAD8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3.4 信息公开</w:t>
      </w:r>
    </w:p>
    <w:p w14:paraId="7AEE2D0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4A6200BC">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3.5 后勤及财力保障</w:t>
      </w:r>
    </w:p>
    <w:p w14:paraId="28D0E7D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54D0285A">
      <w:pPr>
        <w:spacing w:line="560" w:lineRule="exact"/>
        <w:ind w:firstLine="600" w:firstLineChars="200"/>
        <w:outlineLvl w:val="2"/>
        <w:rPr>
          <w:rFonts w:ascii="楷体_GB2312" w:hAnsi="楷体_GB2312" w:eastAsia="楷体_GB2312" w:cs="楷体_GB2312"/>
          <w:color w:val="auto"/>
          <w:sz w:val="30"/>
          <w:szCs w:val="30"/>
          <w:highlight w:val="none"/>
        </w:rPr>
      </w:pPr>
      <w:bookmarkStart w:id="274" w:name="_Toc3436"/>
      <w:bookmarkStart w:id="275" w:name="_Toc15458"/>
      <w:r>
        <w:rPr>
          <w:rFonts w:hint="eastAsia" w:ascii="楷体_GB2312" w:hAnsi="楷体_GB2312" w:eastAsia="楷体_GB2312" w:cs="楷体_GB2312"/>
          <w:color w:val="auto"/>
          <w:sz w:val="30"/>
          <w:szCs w:val="30"/>
          <w:highlight w:val="none"/>
        </w:rPr>
        <w:t>7.</w:t>
      </w:r>
      <w:r>
        <w:rPr>
          <w:rFonts w:ascii="楷体_GB2312" w:hAnsi="楷体_GB2312" w:eastAsia="楷体_GB2312" w:cs="楷体_GB2312"/>
          <w:color w:val="auto"/>
          <w:sz w:val="30"/>
          <w:szCs w:val="30"/>
          <w:highlight w:val="none"/>
        </w:rPr>
        <w:t>4 处置措施</w:t>
      </w:r>
      <w:bookmarkEnd w:id="274"/>
      <w:bookmarkEnd w:id="275"/>
    </w:p>
    <w:p w14:paraId="5CE2E94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主通风机</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274E31F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危害程度和影响范围：主要通风机因供电系统停电、主通风机电器故障、机械故障，可能导致主通风机不能正常运转，造成井下停风。采掘工作面风量不足，出现瓦斯超限、积聚，造成人员窒息、中毒，威胁现场人员安全，造成人员伤亡和设备损坏等经济损失。因此，需制定相应的应急处置措施</w:t>
      </w:r>
      <w:r>
        <w:rPr>
          <w:rFonts w:hint="eastAsia" w:ascii="仿宋_GB2312" w:hAnsi="仿宋_GB2312" w:eastAsia="仿宋_GB2312" w:cs="仿宋_GB2312"/>
          <w:color w:val="auto"/>
          <w:kern w:val="0"/>
          <w:sz w:val="28"/>
          <w:szCs w:val="28"/>
          <w:highlight w:val="none"/>
          <w:lang w:eastAsia="zh-CN"/>
        </w:rPr>
        <w:t>：</w:t>
      </w:r>
    </w:p>
    <w:p w14:paraId="2532DB7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4.1 应急处置指导原则</w:t>
      </w:r>
    </w:p>
    <w:p w14:paraId="228E97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11F9934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582805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65FDCF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241A62FE">
      <w:pPr>
        <w:spacing w:line="56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7.4.2 应急处置措施</w:t>
      </w:r>
    </w:p>
    <w:p w14:paraId="5F5B457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主要通风机发生故障后，主要通风机司机立即向调度室和本单位值班室汇报，矿调度员接到汇报后要立即汇报矿值班领导，命令通风机司机立即启动备用通风机（无人值守的主通风机房应立即启动远程控制并派通风机司机到岗），确保10min内切换至备用通风机恢复正常通风，并安排维修人员立即对故障进行处理。</w:t>
      </w:r>
    </w:p>
    <w:p w14:paraId="240500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val="en-US" w:eastAsia="zh-CN"/>
        </w:rPr>
        <w:t>根据应急指令</w:t>
      </w:r>
      <w:r>
        <w:rPr>
          <w:rFonts w:hint="eastAsia" w:ascii="仿宋_GB2312" w:hAnsi="仿宋_GB2312" w:eastAsia="仿宋_GB2312" w:cs="仿宋_GB2312"/>
          <w:color w:val="auto"/>
          <w:kern w:val="0"/>
          <w:sz w:val="28"/>
          <w:szCs w:val="28"/>
          <w:highlight w:val="none"/>
        </w:rPr>
        <w:t>主要通风机司机打开风井井筒防爆盖或防爆门，充分利用自然风压通风。立即汇报总工程师、机电副总经理、总经理，启动应急预案，通过井下语音广播系统、调度通讯系统等通知井下所有采掘工作面必须立即停止作业，切断</w:t>
      </w:r>
      <w:r>
        <w:rPr>
          <w:rFonts w:hint="eastAsia" w:ascii="仿宋_GB2312" w:hAnsi="仿宋_GB2312" w:eastAsia="仿宋_GB2312" w:cs="仿宋_GB2312"/>
          <w:color w:val="auto"/>
          <w:kern w:val="0"/>
          <w:sz w:val="28"/>
          <w:szCs w:val="28"/>
          <w:highlight w:val="none"/>
          <w:lang w:val="en-US" w:eastAsia="zh-CN"/>
        </w:rPr>
        <w:t>除供风、监测监控等安全监测监控设备外的</w:t>
      </w:r>
      <w:r>
        <w:rPr>
          <w:rFonts w:hint="eastAsia" w:ascii="仿宋_GB2312" w:hAnsi="仿宋_GB2312" w:eastAsia="仿宋_GB2312" w:cs="仿宋_GB2312"/>
          <w:color w:val="auto"/>
          <w:kern w:val="0"/>
          <w:sz w:val="28"/>
          <w:szCs w:val="28"/>
          <w:highlight w:val="none"/>
        </w:rPr>
        <w:t>电源。井下所有人员撤离</w:t>
      </w:r>
      <w:r>
        <w:rPr>
          <w:rFonts w:hint="eastAsia" w:ascii="仿宋_GB2312" w:hAnsi="仿宋_GB2312" w:eastAsia="仿宋_GB2312" w:cs="仿宋_GB2312"/>
          <w:color w:val="auto"/>
          <w:kern w:val="0"/>
          <w:sz w:val="28"/>
          <w:szCs w:val="28"/>
          <w:highlight w:val="none"/>
          <w:lang w:val="en-US" w:eastAsia="zh-CN"/>
        </w:rPr>
        <w:t>至+590大巷、一采辅运上山等全风压巷道</w:t>
      </w:r>
      <w:r>
        <w:rPr>
          <w:rFonts w:hint="eastAsia" w:ascii="仿宋_GB2312" w:hAnsi="仿宋_GB2312" w:eastAsia="仿宋_GB2312" w:cs="仿宋_GB2312"/>
          <w:color w:val="auto"/>
          <w:kern w:val="0"/>
          <w:sz w:val="28"/>
          <w:szCs w:val="28"/>
          <w:highlight w:val="none"/>
        </w:rPr>
        <w:t>，调度室要利用井下人员定位系统对井下人员撤离情况进行监测，准确掌握井下人员的撤离情况。</w:t>
      </w:r>
    </w:p>
    <w:p w14:paraId="1EB81D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3.主通风机</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0min仍无法启动，调度室命令井下人员在带班队长、班组长或瓦检员的带领下沿斜井升井，</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监督井下人员有序升井，安全监察部做好升井人员的统计工作，信息中心时刻关注人员定位系统，并将人员撤离情况汇报指挥部。</w:t>
      </w:r>
    </w:p>
    <w:p w14:paraId="24EF155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矿领导及维修人员应迅速赶到事故现场，查明事故原因，以最快的速度排除故障恢复通风机运行。如故障不能立即处理完毕，要立刻汇报调度室，说明故障原因及采取的处理措施，并积极组织人员及材料进行抢修</w:t>
      </w:r>
    </w:p>
    <w:p w14:paraId="6625BC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5.监测监控中心充分利用安全监控系统不间断监测矿井各地点环境参数等情况，对监测数据进行分析，发生异常立即报告指挥部。矿井主要通风机停运期间，井下严禁从事任何作业。</w:t>
      </w:r>
    </w:p>
    <w:p w14:paraId="6A6C864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6.主通风机停止运转后，井上人员不许下井，安全监察部负责在井口</w:t>
      </w:r>
      <w:r>
        <w:rPr>
          <w:rFonts w:hint="eastAsia" w:ascii="仿宋_GB2312" w:hAnsi="仿宋_GB2312" w:eastAsia="仿宋_GB2312" w:cs="仿宋_GB2312"/>
          <w:color w:val="auto"/>
          <w:kern w:val="0"/>
          <w:sz w:val="28"/>
          <w:szCs w:val="28"/>
          <w:highlight w:val="none"/>
          <w:lang w:eastAsia="zh-CN"/>
        </w:rPr>
        <w:t>设置</w:t>
      </w:r>
      <w:r>
        <w:rPr>
          <w:rFonts w:hint="eastAsia" w:ascii="仿宋_GB2312" w:hAnsi="仿宋_GB2312" w:eastAsia="仿宋_GB2312" w:cs="仿宋_GB2312"/>
          <w:color w:val="auto"/>
          <w:kern w:val="0"/>
          <w:sz w:val="28"/>
          <w:szCs w:val="28"/>
          <w:highlight w:val="none"/>
        </w:rPr>
        <w:t>警戒。调度室负责准确统计当班井下人数及姓名，统计已上井的人数及姓名，分析灾区人员数量及分布。</w:t>
      </w:r>
    </w:p>
    <w:p w14:paraId="6AAFFF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7.矿井主要通风机恢复正常运转后，井下受停风影响的地点必须先检查气体情况，没有采取停电措施的，经检查甲烷浓度不超过1.0%、二氧化碳不超过1.5%且其他气体符合规程规定的，方可恢复正常工作。</w:t>
      </w:r>
    </w:p>
    <w:p w14:paraId="098F11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8.采取了停电措施的采煤工作面，在恢复供电前，必须先检查气体情况，只有采煤工作面甲烷浓度不超过1.0%、二氧化碳不超过1.5%且其他气体符合规程规定时，方可恢复采煤面的正常工作。</w:t>
      </w:r>
    </w:p>
    <w:p w14:paraId="78E70B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9.采取了停电措施的掘进工作面甲烷浓度不超过1.0%、二氧化碳不超过1.5%，且局部通风机及其开关附近10m以内风流中甲烷和二氧化碳浓度都不超过0.5%时，方可开启局部通风机，恢复正常供风。</w:t>
      </w:r>
    </w:p>
    <w:p w14:paraId="6E00A8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10.井下停风区中甲烷浓度超过1.0%或二氧化碳浓度超过1.5%，最高甲烷浓度和二氧化碳浓度不超过3%时，必须采取安全措施，由救护队控制风流排放瓦斯。</w:t>
      </w:r>
    </w:p>
    <w:p w14:paraId="4CD152F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11.避灾路线：当发生主要通风停止运转事故时，采掘作业地点、主要硐室等避灾路线严格按《矿井灾害预防和处理计划》内规定执行。</w:t>
      </w:r>
    </w:p>
    <w:p w14:paraId="5323B5D0">
      <w:pPr>
        <w:spacing w:line="560" w:lineRule="exact"/>
        <w:ind w:firstLine="602" w:firstLineChars="200"/>
        <w:rPr>
          <w:rFonts w:hint="eastAsia" w:ascii="仿宋_GB2312" w:hAnsi="仿宋_GB2312" w:eastAsia="仿宋_GB2312" w:cs="仿宋_GB2312"/>
          <w:b/>
          <w:bCs/>
          <w:color w:val="auto"/>
          <w:sz w:val="30"/>
          <w:szCs w:val="30"/>
          <w:highlight w:val="none"/>
          <w:lang w:eastAsia="zh-CN"/>
        </w:rPr>
      </w:pPr>
      <w:r>
        <w:rPr>
          <w:rFonts w:hint="eastAsia" w:ascii="仿宋_GB2312" w:hAnsi="仿宋_GB2312" w:eastAsia="仿宋_GB2312" w:cs="仿宋_GB2312"/>
          <w:b/>
          <w:bCs/>
          <w:color w:val="auto"/>
          <w:sz w:val="30"/>
          <w:szCs w:val="30"/>
          <w:highlight w:val="none"/>
        </w:rPr>
        <w:t>7.4.</w:t>
      </w:r>
      <w:r>
        <w:rPr>
          <w:rFonts w:hint="eastAsia" w:ascii="仿宋_GB2312" w:hAnsi="仿宋_GB2312" w:eastAsia="仿宋_GB2312" w:cs="仿宋_GB2312"/>
          <w:b/>
          <w:bCs/>
          <w:color w:val="auto"/>
          <w:sz w:val="30"/>
          <w:szCs w:val="30"/>
          <w:highlight w:val="none"/>
          <w:lang w:val="en-US" w:eastAsia="zh-CN"/>
        </w:rPr>
        <w:t xml:space="preserve">3 </w:t>
      </w:r>
      <w:r>
        <w:rPr>
          <w:rFonts w:hint="eastAsia" w:ascii="仿宋_GB2312" w:hAnsi="仿宋_GB2312" w:eastAsia="仿宋_GB2312" w:cs="仿宋_GB2312"/>
          <w:b/>
          <w:bCs/>
          <w:color w:val="auto"/>
          <w:sz w:val="30"/>
          <w:szCs w:val="30"/>
          <w:highlight w:val="none"/>
        </w:rPr>
        <w:t>应急处置</w:t>
      </w:r>
      <w:r>
        <w:rPr>
          <w:rFonts w:hint="eastAsia" w:ascii="仿宋_GB2312" w:hAnsi="仿宋_GB2312" w:eastAsia="仿宋_GB2312" w:cs="仿宋_GB2312"/>
          <w:b/>
          <w:bCs/>
          <w:color w:val="auto"/>
          <w:sz w:val="30"/>
          <w:szCs w:val="30"/>
          <w:highlight w:val="none"/>
          <w:lang w:val="en-US" w:eastAsia="zh-CN"/>
        </w:rPr>
        <w:t>岗位职责与操作标准</w:t>
      </w:r>
    </w:p>
    <w:p w14:paraId="319A5AF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1.主通风机岗位工</w:t>
      </w:r>
    </w:p>
    <w:p w14:paraId="4A60E24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（1）岗位职责</w:t>
      </w:r>
    </w:p>
    <w:p w14:paraId="102A510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1）常态化值守：实时监测风机电流、电压、轴承温度、电机温度、风道负压、风门开度、振动值六大运行参数。</w:t>
      </w:r>
    </w:p>
    <w:p w14:paraId="6CDE84B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2）第一响应：风机停机报警、跳闸停机后，现场第一执行人，现场研判停机类型，严禁盲目复位合闸。</w:t>
      </w:r>
    </w:p>
    <w:p w14:paraId="3A481FB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3）现场操作：执行备用风机手动或自动倒机、风门开闭、电源切换、现场停机闭锁等操作，恢复矿井正常通风。</w:t>
      </w:r>
    </w:p>
    <w:p w14:paraId="679610C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4）信息上报：1min内上报矿调度、监控值班员，报送现场直观故障现象、指示灯状态、异响异味；</w:t>
      </w:r>
    </w:p>
    <w:p w14:paraId="5A4763D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5）现场管控：封锁机房作业区域，禁止无关人员触碰电控柜、风门执行机构，配合维修工开展检修作业；</w:t>
      </w:r>
    </w:p>
    <w:p w14:paraId="478FBF1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6）复产确认：故障通风机恢复正常后，核验现场参数，进行倒机试验，签字确认。</w:t>
      </w:r>
    </w:p>
    <w:p w14:paraId="6F5D1A3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（2）标准化操作标准</w:t>
      </w:r>
    </w:p>
    <w:p w14:paraId="5D0130E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1）停机触发操作：风机停机后第一时间观察控制柜、变频器故障代码、高压开关柜跳闸指示灯，禁止盲目二次合闸试机。</w:t>
      </w:r>
    </w:p>
    <w:p w14:paraId="78B2EFB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倒机操作标准：在对通风机执行“一键倒机”、“故障倒机”和“一键反风”操作时，首先观察运行主画面上的“故障倒机具备”指示灯是否亮起为绿色，当亮起“绿色”时，表明条件具备，可以执行“一键倒机”“故障倒机”和“一键反风”操作。如果没有亮起，需核实：</w:t>
      </w:r>
    </w:p>
    <w:p w14:paraId="3D93BDE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①一号蝶阀、二号蝶阀均处于远控方式，同时无故障指示。</w:t>
      </w:r>
    </w:p>
    <w:p w14:paraId="68171AE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②一号变频器、二号变频器均处于远控方式，同时无故障。</w:t>
      </w:r>
    </w:p>
    <w:p w14:paraId="49EB330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③控制方式处于“集控”或“遥控”。</w:t>
      </w:r>
    </w:p>
    <w:p w14:paraId="28E6D08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④蝶阀到位情况必须是一号蝶阀开到位同时二号蝶阀关到位或者二号蝶阀开到位同时一号蝶阀关到位。</w:t>
      </w:r>
    </w:p>
    <w:p w14:paraId="7C374347">
      <w:pPr>
        <w:spacing w:line="440" w:lineRule="exact"/>
        <w:ind w:firstLine="560" w:firstLineChars="200"/>
        <w:rPr>
          <w:color w:val="auto"/>
          <w:highlight w:val="none"/>
        </w:rPr>
      </w:pPr>
      <w:r>
        <w:rPr>
          <w:rFonts w:hint="eastAsia" w:ascii="仿宋_GB2312" w:hAnsi="仿宋_GB2312" w:eastAsia="仿宋_GB2312" w:cs="仿宋_GB2312"/>
          <w:color w:val="auto"/>
          <w:kern w:val="0"/>
          <w:sz w:val="28"/>
          <w:szCs w:val="28"/>
          <w:highlight w:val="none"/>
          <w:lang w:val="en-US" w:eastAsia="zh-CN"/>
        </w:rPr>
        <w:t>⑤一号电源柜、二号电源柜均处于就地方式。</w:t>
      </w:r>
    </w:p>
    <w:p w14:paraId="207351DA">
      <w:pPr>
        <w:spacing w:line="440" w:lineRule="exact"/>
        <w:ind w:firstLine="420" w:firstLineChars="200"/>
        <w:rPr>
          <w:color w:val="auto"/>
          <w:highlight w:val="none"/>
        </w:rPr>
      </w:pPr>
    </w:p>
    <w:p w14:paraId="3EFF6878">
      <w:pPr>
        <w:spacing w:line="440" w:lineRule="exact"/>
        <w:ind w:firstLine="420" w:firstLineChars="200"/>
        <w:rPr>
          <w:color w:val="auto"/>
          <w:highlight w:val="none"/>
        </w:rPr>
      </w:pPr>
    </w:p>
    <w:p w14:paraId="13F836D2">
      <w:pPr>
        <w:spacing w:line="440" w:lineRule="exact"/>
        <w:ind w:firstLine="420" w:firstLineChars="200"/>
        <w:rPr>
          <w:color w:val="auto"/>
          <w:highlight w:val="none"/>
        </w:rPr>
      </w:pPr>
    </w:p>
    <w:p w14:paraId="3AC6A9B5">
      <w:pPr>
        <w:spacing w:line="440" w:lineRule="exact"/>
        <w:ind w:firstLine="420" w:firstLineChars="200"/>
        <w:rPr>
          <w:color w:val="auto"/>
          <w:highlight w:val="none"/>
        </w:rPr>
      </w:pPr>
      <w:r>
        <w:rPr>
          <w:color w:val="auto"/>
          <w:highlight w:val="none"/>
        </w:rPr>
        <w:pict>
          <v:shape id="_x0000_s1029" o:spid="_x0000_s1029" o:spt="75" type="#_x0000_t75" style="position:absolute;left:0pt;margin-left:23.7pt;margin-top:4.2pt;height:610.15pt;width:381.95pt;mso-wrap-distance-bottom:0pt;mso-wrap-distance-left:9pt;mso-wrap-distance-right:9pt;mso-wrap-distance-top:0pt;z-index:251670528;mso-width-relative:page;mso-height-relative:page;" o:ole="t" filled="f" o:preferrelative="t" stroked="f" coordsize="21600,21600">
            <v:path/>
            <v:fill on="f" focussize="0,0"/>
            <v:stroke on="f"/>
            <v:imagedata r:id="rId11" o:title=""/>
            <o:lock v:ext="edit" aspectratio="t"/>
            <w10:wrap type="square"/>
          </v:shape>
          <o:OLEObject Type="Embed" ProgID="Visio.Drawing.15" ShapeID="_x0000_s1029" DrawAspect="Content" ObjectID="_1468075725">
            <o:LockedField>false</o:LockedField>
          </o:OLEObject>
        </w:pict>
      </w:r>
    </w:p>
    <w:p w14:paraId="219A971E">
      <w:pPr>
        <w:spacing w:line="440" w:lineRule="exact"/>
        <w:ind w:firstLine="420" w:firstLineChars="200"/>
        <w:rPr>
          <w:color w:val="auto"/>
          <w:highlight w:val="none"/>
        </w:rPr>
      </w:pPr>
    </w:p>
    <w:p w14:paraId="1D4A4063">
      <w:pPr>
        <w:spacing w:line="440" w:lineRule="exact"/>
        <w:ind w:firstLine="420" w:firstLineChars="200"/>
        <w:rPr>
          <w:color w:val="auto"/>
          <w:highlight w:val="none"/>
        </w:rPr>
      </w:pPr>
    </w:p>
    <w:p w14:paraId="0C6D06DB">
      <w:pPr>
        <w:spacing w:line="440" w:lineRule="exact"/>
        <w:ind w:firstLine="420" w:firstLineChars="200"/>
        <w:rPr>
          <w:color w:val="auto"/>
          <w:highlight w:val="none"/>
        </w:rPr>
      </w:pPr>
    </w:p>
    <w:p w14:paraId="5716A006">
      <w:pPr>
        <w:spacing w:line="440" w:lineRule="exact"/>
        <w:ind w:firstLine="420" w:firstLineChars="200"/>
        <w:rPr>
          <w:color w:val="auto"/>
          <w:highlight w:val="none"/>
        </w:rPr>
      </w:pPr>
    </w:p>
    <w:p w14:paraId="4ABB8FB7">
      <w:pPr>
        <w:spacing w:line="440" w:lineRule="exact"/>
        <w:ind w:firstLine="420" w:firstLineChars="200"/>
        <w:rPr>
          <w:color w:val="auto"/>
          <w:highlight w:val="none"/>
        </w:rPr>
      </w:pPr>
    </w:p>
    <w:p w14:paraId="7DE3B251">
      <w:pPr>
        <w:spacing w:line="440" w:lineRule="exact"/>
        <w:ind w:firstLine="420" w:firstLineChars="200"/>
        <w:rPr>
          <w:color w:val="auto"/>
          <w:highlight w:val="none"/>
        </w:rPr>
      </w:pPr>
    </w:p>
    <w:p w14:paraId="05905C65">
      <w:pPr>
        <w:spacing w:line="440" w:lineRule="exact"/>
        <w:ind w:firstLine="420" w:firstLineChars="200"/>
        <w:rPr>
          <w:color w:val="auto"/>
          <w:highlight w:val="none"/>
        </w:rPr>
      </w:pPr>
    </w:p>
    <w:p w14:paraId="5145EA63">
      <w:pPr>
        <w:spacing w:line="440" w:lineRule="exact"/>
        <w:ind w:firstLine="420" w:firstLineChars="200"/>
        <w:rPr>
          <w:color w:val="auto"/>
          <w:highlight w:val="none"/>
        </w:rPr>
      </w:pPr>
    </w:p>
    <w:p w14:paraId="00136692">
      <w:pPr>
        <w:spacing w:line="440" w:lineRule="exact"/>
        <w:ind w:firstLine="420" w:firstLineChars="200"/>
        <w:rPr>
          <w:color w:val="auto"/>
          <w:highlight w:val="none"/>
        </w:rPr>
      </w:pPr>
    </w:p>
    <w:p w14:paraId="511E420C">
      <w:pPr>
        <w:spacing w:line="440" w:lineRule="exact"/>
        <w:ind w:firstLine="420" w:firstLineChars="200"/>
        <w:rPr>
          <w:color w:val="auto"/>
          <w:highlight w:val="none"/>
        </w:rPr>
      </w:pPr>
    </w:p>
    <w:p w14:paraId="703CCB8A">
      <w:pPr>
        <w:spacing w:line="440" w:lineRule="exact"/>
        <w:ind w:firstLine="420" w:firstLineChars="200"/>
        <w:rPr>
          <w:color w:val="auto"/>
          <w:highlight w:val="none"/>
        </w:rPr>
      </w:pPr>
    </w:p>
    <w:p w14:paraId="1B8158A3">
      <w:pPr>
        <w:spacing w:line="440" w:lineRule="exact"/>
        <w:ind w:firstLine="420" w:firstLineChars="200"/>
        <w:rPr>
          <w:color w:val="auto"/>
          <w:highlight w:val="none"/>
        </w:rPr>
      </w:pPr>
    </w:p>
    <w:p w14:paraId="28EEAD27">
      <w:pPr>
        <w:spacing w:line="440" w:lineRule="exact"/>
        <w:ind w:firstLine="420" w:firstLineChars="200"/>
        <w:rPr>
          <w:color w:val="auto"/>
          <w:highlight w:val="none"/>
        </w:rPr>
      </w:pPr>
    </w:p>
    <w:p w14:paraId="25762479">
      <w:pPr>
        <w:spacing w:line="440" w:lineRule="exact"/>
        <w:ind w:firstLine="420" w:firstLineChars="200"/>
        <w:rPr>
          <w:color w:val="auto"/>
          <w:highlight w:val="none"/>
        </w:rPr>
      </w:pPr>
    </w:p>
    <w:p w14:paraId="68B2CAFC">
      <w:pPr>
        <w:spacing w:line="440" w:lineRule="exact"/>
        <w:ind w:firstLine="420" w:firstLineChars="200"/>
        <w:rPr>
          <w:color w:val="auto"/>
          <w:highlight w:val="none"/>
        </w:rPr>
      </w:pPr>
    </w:p>
    <w:p w14:paraId="7EC0C5F4">
      <w:pPr>
        <w:spacing w:line="440" w:lineRule="exact"/>
        <w:ind w:firstLine="420" w:firstLineChars="200"/>
        <w:rPr>
          <w:color w:val="auto"/>
          <w:highlight w:val="none"/>
        </w:rPr>
      </w:pPr>
    </w:p>
    <w:p w14:paraId="6D505C70">
      <w:pPr>
        <w:spacing w:line="440" w:lineRule="exact"/>
        <w:ind w:firstLine="420" w:firstLineChars="200"/>
        <w:rPr>
          <w:color w:val="auto"/>
          <w:highlight w:val="none"/>
        </w:rPr>
      </w:pPr>
    </w:p>
    <w:p w14:paraId="6E40282B">
      <w:pPr>
        <w:spacing w:line="440" w:lineRule="exact"/>
        <w:ind w:firstLine="420" w:firstLineChars="200"/>
        <w:rPr>
          <w:color w:val="auto"/>
          <w:highlight w:val="none"/>
        </w:rPr>
      </w:pPr>
    </w:p>
    <w:p w14:paraId="0F122D71">
      <w:pPr>
        <w:spacing w:line="440" w:lineRule="exact"/>
        <w:ind w:firstLine="420" w:firstLineChars="200"/>
        <w:rPr>
          <w:color w:val="auto"/>
          <w:highlight w:val="none"/>
        </w:rPr>
      </w:pPr>
    </w:p>
    <w:p w14:paraId="3DD984EF">
      <w:pPr>
        <w:spacing w:line="440" w:lineRule="exact"/>
        <w:ind w:firstLine="420" w:firstLineChars="200"/>
        <w:rPr>
          <w:color w:val="auto"/>
          <w:highlight w:val="none"/>
        </w:rPr>
      </w:pPr>
    </w:p>
    <w:p w14:paraId="6BB20F72">
      <w:pPr>
        <w:spacing w:line="440" w:lineRule="exact"/>
        <w:ind w:firstLine="420" w:firstLineChars="200"/>
        <w:rPr>
          <w:color w:val="auto"/>
          <w:highlight w:val="none"/>
        </w:rPr>
      </w:pPr>
    </w:p>
    <w:p w14:paraId="25EA365A">
      <w:pPr>
        <w:spacing w:line="440" w:lineRule="exact"/>
        <w:ind w:firstLine="420" w:firstLineChars="200"/>
        <w:rPr>
          <w:color w:val="auto"/>
          <w:highlight w:val="none"/>
        </w:rPr>
      </w:pPr>
    </w:p>
    <w:p w14:paraId="53E9E944">
      <w:pPr>
        <w:spacing w:line="440" w:lineRule="exact"/>
        <w:ind w:firstLine="420" w:firstLineChars="200"/>
        <w:rPr>
          <w:color w:val="auto"/>
          <w:highlight w:val="none"/>
        </w:rPr>
      </w:pPr>
    </w:p>
    <w:p w14:paraId="175989B8">
      <w:pPr>
        <w:spacing w:line="440" w:lineRule="exact"/>
        <w:ind w:firstLine="420" w:firstLineChars="200"/>
        <w:rPr>
          <w:color w:val="auto"/>
          <w:highlight w:val="none"/>
        </w:rPr>
      </w:pPr>
    </w:p>
    <w:p w14:paraId="04FCC942">
      <w:pPr>
        <w:spacing w:line="440" w:lineRule="exact"/>
        <w:rPr>
          <w:rFonts w:hint="eastAsia"/>
          <w:color w:val="auto"/>
          <w:highlight w:val="none"/>
          <w:lang w:val="en-US" w:eastAsia="zh-CN"/>
        </w:rPr>
      </w:pPr>
    </w:p>
    <w:p w14:paraId="15AE03E0">
      <w:pPr>
        <w:spacing w:line="440" w:lineRule="exact"/>
        <w:rPr>
          <w:rFonts w:hint="eastAsia"/>
          <w:color w:val="auto"/>
          <w:highlight w:val="none"/>
          <w:lang w:val="en-US" w:eastAsia="zh-CN"/>
        </w:rPr>
      </w:pPr>
    </w:p>
    <w:p w14:paraId="7EF32F96">
      <w:pPr>
        <w:spacing w:line="440" w:lineRule="exact"/>
        <w:rPr>
          <w:rFonts w:hint="eastAsia"/>
          <w:color w:val="auto"/>
          <w:highlight w:val="none"/>
          <w:lang w:val="en-US" w:eastAsia="zh-CN"/>
        </w:rPr>
      </w:pPr>
    </w:p>
    <w:p w14:paraId="600315BA">
      <w:pPr>
        <w:spacing w:line="440" w:lineRule="exact"/>
        <w:rPr>
          <w:rFonts w:hint="eastAsia"/>
          <w:color w:val="auto"/>
          <w:highlight w:val="none"/>
          <w:lang w:val="en-US" w:eastAsia="zh-CN"/>
        </w:rPr>
      </w:pPr>
      <w:r>
        <w:rPr>
          <w:color w:val="auto"/>
          <w:highlight w:val="none"/>
        </w:rPr>
        <w:pict>
          <v:shape id="_x0000_s1030" o:spid="_x0000_s1030" o:spt="75" type="#_x0000_t75" style="position:absolute;left:0pt;margin-left:4.15pt;margin-top:28.25pt;height:544.45pt;width:370.75pt;mso-wrap-distance-bottom:0pt;mso-wrap-distance-left:9pt;mso-wrap-distance-right:9pt;mso-wrap-distance-top:0pt;z-index:251671552;mso-width-relative:page;mso-height-relative:page;" o:ole="t" filled="f" o:preferrelative="t" stroked="f" coordsize="21600,21600">
            <v:path/>
            <v:fill on="f" focussize="0,0"/>
            <v:stroke on="f"/>
            <v:imagedata r:id="rId12" o:title=""/>
            <o:lock v:ext="edit" aspectratio="t"/>
            <w10:wrap type="square"/>
          </v:shape>
          <o:OLEObject Type="Embed" ProgID="Visio.Drawing.15" ShapeID="_x0000_s1030" DrawAspect="Content" ObjectID="_1468075726">
            <o:LockedField>false</o:LockedField>
          </o:OLEObject>
        </w:pict>
      </w:r>
    </w:p>
    <w:p w14:paraId="3925E572">
      <w:pPr>
        <w:spacing w:line="440" w:lineRule="exact"/>
        <w:rPr>
          <w:rFonts w:hint="eastAsia"/>
          <w:color w:val="auto"/>
          <w:highlight w:val="none"/>
          <w:lang w:val="en-US" w:eastAsia="zh-CN"/>
        </w:rPr>
      </w:pPr>
    </w:p>
    <w:p w14:paraId="582DF762">
      <w:pPr>
        <w:spacing w:line="440" w:lineRule="exact"/>
        <w:rPr>
          <w:rFonts w:hint="eastAsia"/>
          <w:color w:val="auto"/>
          <w:highlight w:val="none"/>
          <w:lang w:val="en-US" w:eastAsia="zh-CN"/>
        </w:rPr>
      </w:pPr>
    </w:p>
    <w:p w14:paraId="6569BDBC">
      <w:pPr>
        <w:spacing w:line="440" w:lineRule="exact"/>
        <w:rPr>
          <w:rFonts w:hint="eastAsia"/>
          <w:color w:val="auto"/>
          <w:highlight w:val="none"/>
          <w:lang w:val="en-US" w:eastAsia="zh-CN"/>
        </w:rPr>
      </w:pPr>
    </w:p>
    <w:p w14:paraId="6E461FA0">
      <w:pPr>
        <w:spacing w:line="440" w:lineRule="exact"/>
        <w:rPr>
          <w:rFonts w:hint="eastAsia"/>
          <w:color w:val="auto"/>
          <w:highlight w:val="none"/>
          <w:lang w:val="en-US" w:eastAsia="zh-CN"/>
        </w:rPr>
      </w:pPr>
    </w:p>
    <w:p w14:paraId="25813449">
      <w:pPr>
        <w:spacing w:line="440" w:lineRule="exact"/>
        <w:rPr>
          <w:rFonts w:hint="eastAsia"/>
          <w:color w:val="auto"/>
          <w:highlight w:val="none"/>
          <w:lang w:val="en-US" w:eastAsia="zh-CN"/>
        </w:rPr>
      </w:pPr>
    </w:p>
    <w:p w14:paraId="41A40926">
      <w:pPr>
        <w:spacing w:line="440" w:lineRule="exact"/>
        <w:rPr>
          <w:rFonts w:hint="eastAsia"/>
          <w:color w:val="auto"/>
          <w:highlight w:val="none"/>
          <w:lang w:val="en-US" w:eastAsia="zh-CN"/>
        </w:rPr>
      </w:pPr>
    </w:p>
    <w:p w14:paraId="31EF920C">
      <w:pPr>
        <w:spacing w:line="440" w:lineRule="exact"/>
        <w:rPr>
          <w:rFonts w:hint="eastAsia"/>
          <w:color w:val="auto"/>
          <w:highlight w:val="none"/>
          <w:lang w:val="en-US" w:eastAsia="zh-CN"/>
        </w:rPr>
      </w:pPr>
    </w:p>
    <w:p w14:paraId="1BA8ED42">
      <w:pPr>
        <w:spacing w:line="440" w:lineRule="exact"/>
        <w:rPr>
          <w:rFonts w:hint="eastAsia"/>
          <w:color w:val="auto"/>
          <w:highlight w:val="none"/>
          <w:lang w:val="en-US" w:eastAsia="zh-CN"/>
        </w:rPr>
      </w:pPr>
    </w:p>
    <w:p w14:paraId="19772A60">
      <w:pPr>
        <w:spacing w:line="440" w:lineRule="exact"/>
        <w:rPr>
          <w:rFonts w:hint="eastAsia"/>
          <w:color w:val="auto"/>
          <w:highlight w:val="none"/>
          <w:lang w:val="en-US" w:eastAsia="zh-CN"/>
        </w:rPr>
      </w:pPr>
    </w:p>
    <w:p w14:paraId="25845FF3">
      <w:pPr>
        <w:spacing w:line="440" w:lineRule="exact"/>
        <w:rPr>
          <w:rFonts w:hint="eastAsia"/>
          <w:color w:val="auto"/>
          <w:highlight w:val="none"/>
          <w:lang w:val="en-US" w:eastAsia="zh-CN"/>
        </w:rPr>
      </w:pPr>
    </w:p>
    <w:p w14:paraId="4AC227D1">
      <w:pPr>
        <w:spacing w:line="440" w:lineRule="exact"/>
        <w:rPr>
          <w:rFonts w:hint="eastAsia"/>
          <w:color w:val="auto"/>
          <w:highlight w:val="none"/>
          <w:lang w:val="en-US" w:eastAsia="zh-CN"/>
        </w:rPr>
      </w:pPr>
    </w:p>
    <w:p w14:paraId="54DCF4FA">
      <w:pPr>
        <w:spacing w:line="440" w:lineRule="exact"/>
        <w:rPr>
          <w:rFonts w:hint="eastAsia"/>
          <w:color w:val="auto"/>
          <w:highlight w:val="none"/>
          <w:lang w:val="en-US" w:eastAsia="zh-CN"/>
        </w:rPr>
      </w:pPr>
    </w:p>
    <w:p w14:paraId="34D1EF77">
      <w:pPr>
        <w:spacing w:line="440" w:lineRule="exact"/>
        <w:rPr>
          <w:rFonts w:hint="eastAsia"/>
          <w:color w:val="auto"/>
          <w:highlight w:val="none"/>
          <w:lang w:val="en-US" w:eastAsia="zh-CN"/>
        </w:rPr>
      </w:pPr>
    </w:p>
    <w:p w14:paraId="4B42A5B3">
      <w:pPr>
        <w:spacing w:line="440" w:lineRule="exact"/>
        <w:rPr>
          <w:rFonts w:hint="eastAsia"/>
          <w:color w:val="auto"/>
          <w:highlight w:val="none"/>
          <w:lang w:val="en-US" w:eastAsia="zh-CN"/>
        </w:rPr>
      </w:pPr>
    </w:p>
    <w:p w14:paraId="6F315975">
      <w:pPr>
        <w:spacing w:line="440" w:lineRule="exact"/>
        <w:rPr>
          <w:rFonts w:hint="eastAsia"/>
          <w:color w:val="auto"/>
          <w:highlight w:val="none"/>
          <w:lang w:val="en-US" w:eastAsia="zh-CN"/>
        </w:rPr>
      </w:pPr>
    </w:p>
    <w:p w14:paraId="28FA3FB1">
      <w:pPr>
        <w:spacing w:line="440" w:lineRule="exact"/>
        <w:rPr>
          <w:rFonts w:hint="eastAsia"/>
          <w:color w:val="auto"/>
          <w:highlight w:val="none"/>
          <w:lang w:val="en-US" w:eastAsia="zh-CN"/>
        </w:rPr>
      </w:pPr>
    </w:p>
    <w:p w14:paraId="59F1300B">
      <w:pPr>
        <w:spacing w:line="440" w:lineRule="exact"/>
        <w:rPr>
          <w:rFonts w:hint="eastAsia"/>
          <w:color w:val="auto"/>
          <w:highlight w:val="none"/>
          <w:lang w:val="en-US" w:eastAsia="zh-CN"/>
        </w:rPr>
      </w:pPr>
    </w:p>
    <w:p w14:paraId="2D48863D">
      <w:pPr>
        <w:spacing w:line="440" w:lineRule="exact"/>
        <w:rPr>
          <w:rFonts w:hint="eastAsia"/>
          <w:color w:val="auto"/>
          <w:highlight w:val="none"/>
          <w:lang w:val="en-US" w:eastAsia="zh-CN"/>
        </w:rPr>
      </w:pPr>
    </w:p>
    <w:p w14:paraId="4758FA7C">
      <w:pPr>
        <w:spacing w:line="440" w:lineRule="exact"/>
        <w:rPr>
          <w:rFonts w:hint="eastAsia"/>
          <w:color w:val="auto"/>
          <w:highlight w:val="none"/>
          <w:lang w:val="en-US" w:eastAsia="zh-CN"/>
        </w:rPr>
      </w:pPr>
    </w:p>
    <w:p w14:paraId="1782C739">
      <w:pPr>
        <w:spacing w:line="440" w:lineRule="exact"/>
        <w:rPr>
          <w:rFonts w:hint="eastAsia"/>
          <w:color w:val="auto"/>
          <w:highlight w:val="none"/>
          <w:lang w:val="en-US" w:eastAsia="zh-CN"/>
        </w:rPr>
      </w:pPr>
    </w:p>
    <w:p w14:paraId="0476C906">
      <w:pPr>
        <w:spacing w:line="440" w:lineRule="exact"/>
        <w:rPr>
          <w:rFonts w:hint="eastAsia"/>
          <w:color w:val="auto"/>
          <w:highlight w:val="none"/>
          <w:lang w:val="en-US" w:eastAsia="zh-CN"/>
        </w:rPr>
      </w:pPr>
    </w:p>
    <w:p w14:paraId="02DBADCC">
      <w:pPr>
        <w:spacing w:line="440" w:lineRule="exact"/>
        <w:rPr>
          <w:rFonts w:hint="eastAsia"/>
          <w:color w:val="auto"/>
          <w:highlight w:val="none"/>
          <w:lang w:val="en-US" w:eastAsia="zh-CN"/>
        </w:rPr>
      </w:pPr>
    </w:p>
    <w:p w14:paraId="2DB90190">
      <w:pPr>
        <w:spacing w:line="440" w:lineRule="exact"/>
        <w:rPr>
          <w:rFonts w:hint="eastAsia"/>
          <w:color w:val="auto"/>
          <w:highlight w:val="none"/>
          <w:lang w:val="en-US" w:eastAsia="zh-CN"/>
        </w:rPr>
      </w:pPr>
    </w:p>
    <w:p w14:paraId="72151897">
      <w:pPr>
        <w:spacing w:line="440" w:lineRule="exact"/>
        <w:rPr>
          <w:rFonts w:hint="eastAsia"/>
          <w:color w:val="auto"/>
          <w:highlight w:val="none"/>
          <w:lang w:val="en-US" w:eastAsia="zh-CN"/>
        </w:rPr>
      </w:pPr>
    </w:p>
    <w:p w14:paraId="5CBC022B">
      <w:pPr>
        <w:spacing w:line="440" w:lineRule="exact"/>
        <w:rPr>
          <w:rFonts w:hint="eastAsia"/>
          <w:color w:val="auto"/>
          <w:highlight w:val="none"/>
          <w:lang w:val="en-US" w:eastAsia="zh-CN"/>
        </w:rPr>
      </w:pPr>
    </w:p>
    <w:p w14:paraId="575B0BBB">
      <w:pPr>
        <w:spacing w:line="440" w:lineRule="exact"/>
        <w:rPr>
          <w:rFonts w:hint="eastAsia"/>
          <w:color w:val="auto"/>
          <w:highlight w:val="none"/>
          <w:lang w:val="en-US" w:eastAsia="zh-CN"/>
        </w:rPr>
      </w:pPr>
    </w:p>
    <w:p w14:paraId="485DE16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3）禁忌操作：严禁私自拆除电气联锁、风门机械闭锁；严禁风机带风门启动；严禁故障未排查直接复位跳闸开关。</w:t>
      </w:r>
    </w:p>
    <w:p w14:paraId="6295BF8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2.机电维修工</w:t>
      </w:r>
    </w:p>
    <w:p w14:paraId="0961550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（1）岗位职责</w:t>
      </w:r>
    </w:p>
    <w:p w14:paraId="4743429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1）应急待命：工作日全员在岗、夜班1名维修工驻矿待命，接到调度指令5min内抵达通风机房。</w:t>
      </w:r>
    </w:p>
    <w:p w14:paraId="4702647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2）故障研判：负责电气回路、电机、轴承、风门、变频器、供电线路机械、电气全维度故障诊断，区分电气跳闸、机械损坏、监控联锁停机类型。</w:t>
      </w:r>
    </w:p>
    <w:p w14:paraId="24181E1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3）检修作业：办理停电闭锁、挂牌上锁、高压工作票、操作票，开展故障拆解、配件更换、线路修复、联锁调校、电气试验、轴承、叶片探伤。</w:t>
      </w:r>
    </w:p>
    <w:p w14:paraId="4F7AEBD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4）试机校验：故障修复后，试机，核验温度、振动、电流参数达标。</w:t>
      </w:r>
    </w:p>
    <w:p w14:paraId="7428BC4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5）前置防控：每日班前巡检备用风机、备用电源、防爆盖自锁装置，保障应急设备随时可用。</w:t>
      </w:r>
    </w:p>
    <w:p w14:paraId="5F716A5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（2）标准化操作标准</w:t>
      </w:r>
    </w:p>
    <w:p w14:paraId="0B738C04">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1）检修准入标准：所有风机检修必须执行停电、验电、放电、接地、挂牌、上锁六步安保流程后方可作业。</w:t>
      </w:r>
    </w:p>
    <w:p w14:paraId="795A8A86">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2）倒机配合标准：配合岗位工核对风门限位、蝶阀限位，供电设备运行状态、设备振动是否异常。</w:t>
      </w:r>
    </w:p>
    <w:p w14:paraId="37D044C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3）闭环标准：故障风机修复后，必须测试风机自动倒机功能，确保故障停机后备用机可自动启动，留存检修数据、更换配件台账。</w:t>
      </w:r>
    </w:p>
    <w:p w14:paraId="705057B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3.监控中心值班人员</w:t>
      </w:r>
    </w:p>
    <w:p w14:paraId="73F2084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（1）岗位职责</w:t>
      </w:r>
    </w:p>
    <w:p w14:paraId="2E45A52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1）全域监测：24h值守通风在线监控系统、瓦斯监控系统，实时监控主通风机运行状态、并下各测点瓦斯、风量、风速数据。</w:t>
      </w:r>
    </w:p>
    <w:p w14:paraId="71A553F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2）联动预警：风机停机后系统自动预警，做好井下瓦斯监控，联系山东能源做好停风报备。</w:t>
      </w:r>
    </w:p>
    <w:p w14:paraId="442F7D0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3）统筹上报指令：对接岗位工、维修工，同步上报值班矿领导、通防副总、调度员，配合下达井下分区断电、撤人、限员指令。</w:t>
      </w:r>
    </w:p>
    <w:p w14:paraId="6E3DA9E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4）数据留存：留存故障报警曲线、瓦斯变化曲线，做好应急全过程台账；复产复核：风机恢复通风后，监测井下瓦斯浓度达标，经通防管理人员确认后，下达井下送电复工指令。</w:t>
      </w:r>
    </w:p>
    <w:p w14:paraId="2380B54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（2）标准化操作标准</w:t>
      </w:r>
    </w:p>
    <w:p w14:paraId="7E3CD8D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1.监控系统发出主通风机停止运转警报或发现矿井负压迅速降低等故障时</w:t>
      </w:r>
      <w:r>
        <w:rPr>
          <w:rFonts w:hint="default" w:ascii="仿宋_GB2312" w:hAnsi="仿宋_GB2312" w:eastAsia="仿宋_GB2312" w:cs="仿宋_GB2312"/>
          <w:color w:val="auto"/>
          <w:kern w:val="0"/>
          <w:sz w:val="28"/>
          <w:szCs w:val="28"/>
          <w:highlight w:val="none"/>
          <w:lang w:val="en-US" w:eastAsia="zh-CN"/>
        </w:rPr>
        <w:t>，立即确认报警真实性</w:t>
      </w:r>
      <w:r>
        <w:rPr>
          <w:rFonts w:hint="eastAsia" w:ascii="仿宋_GB2312" w:hAnsi="仿宋_GB2312" w:eastAsia="仿宋_GB2312" w:cs="仿宋_GB2312"/>
          <w:color w:val="auto"/>
          <w:kern w:val="0"/>
          <w:sz w:val="28"/>
          <w:szCs w:val="28"/>
          <w:highlight w:val="none"/>
          <w:lang w:val="en-US" w:eastAsia="zh-CN"/>
        </w:rPr>
        <w:t>。</w:t>
      </w:r>
    </w:p>
    <w:p w14:paraId="134851C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2.及时向调度室反馈井下瓦斯、风速等监测数据变化情况。</w:t>
      </w:r>
    </w:p>
    <w:p w14:paraId="398C505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3.实行三级闭环汇报，每5min向矿领导同步一次倒机、故障、瓦斯动态：</w:t>
      </w:r>
    </w:p>
    <w:p w14:paraId="4859B23C">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w:t>
      </w:r>
      <w:r>
        <w:rPr>
          <w:rFonts w:hint="default" w:ascii="仿宋_GB2312" w:hAnsi="仿宋_GB2312" w:eastAsia="仿宋_GB2312" w:cs="仿宋_GB2312"/>
          <w:color w:val="auto"/>
          <w:kern w:val="0"/>
          <w:sz w:val="28"/>
          <w:szCs w:val="28"/>
          <w:highlight w:val="none"/>
          <w:lang w:val="en-US" w:eastAsia="zh-CN"/>
        </w:rPr>
        <w:t>完整记录事故发生、处置全过程的相关数据和信息，监控记录数据至少保存2年</w:t>
      </w:r>
      <w:r>
        <w:rPr>
          <w:rFonts w:hint="eastAsia" w:ascii="仿宋_GB2312" w:hAnsi="仿宋_GB2312" w:eastAsia="仿宋_GB2312" w:cs="仿宋_GB2312"/>
          <w:color w:val="auto"/>
          <w:kern w:val="0"/>
          <w:sz w:val="28"/>
          <w:szCs w:val="28"/>
          <w:highlight w:val="none"/>
          <w:lang w:val="en-US" w:eastAsia="zh-CN"/>
        </w:rPr>
        <w:t>。</w:t>
      </w:r>
    </w:p>
    <w:p w14:paraId="418D2B1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3.管理人员</w:t>
      </w:r>
    </w:p>
    <w:p w14:paraId="4A02B04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（1）岗位职责</w:t>
      </w:r>
    </w:p>
    <w:p w14:paraId="7B9458D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1.机电工区区长(现场管理第一责任人)，接到通知10min抵达机房，统筹现场检修、人员调配、配件供应，审核停电作业票，管控现场作业安全。</w:t>
      </w:r>
    </w:p>
    <w:p w14:paraId="636A40A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2.通风管理副总工程师：研判通风系统稳定性，核定倒机后风量、负压合规性，审批井下撒人、复工、风量调整方案，管控瓦斯次生风险。</w:t>
      </w:r>
    </w:p>
    <w:p w14:paraId="12EF8AA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3.机电副总工程师：研判供电、风机设备本质故障，审批大件更换、电路改造、联锁参数修改方案，制定长效防控整改措施。</w:t>
      </w:r>
    </w:p>
    <w:p w14:paraId="7B2E4FB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4.值班矿长(应急总指挥):I级停机总指挥，审批井下全域撤人、停产、复产指令，对接外部供电、应急救援部门，统筹对外上报信息，决策特殊故障应急方案。</w:t>
      </w:r>
    </w:p>
    <w:p w14:paraId="18BD5E9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（2）标准化管理操作标准</w:t>
      </w:r>
    </w:p>
    <w:p w14:paraId="2DA7213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1.响应标准：I级及以上停机，管理人员手机24h畅通，属地管理人员10min抵达现场指挥。</w:t>
      </w:r>
    </w:p>
    <w:p w14:paraId="3130B95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2.决策标准：严格遵从“无风必撒人、超限必断电、带病不复产”原则，无管理人员复工签字，井下严禁开工；</w:t>
      </w:r>
    </w:p>
    <w:p w14:paraId="22815FA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3.复盘标准：所有停机故障，24h内组织四岗位联合复盘，界定操作责任、设备责任、管理责任；物资标准：管理人员保障机房备用轴承、密封、变频器模块、应急电源配件常备库存，每月核验应急物资。</w:t>
      </w:r>
    </w:p>
    <w:p w14:paraId="3F3E24B3">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276" w:name="_Toc2158"/>
      <w:bookmarkStart w:id="277" w:name="_Toc30865"/>
      <w:r>
        <w:rPr>
          <w:rFonts w:hint="eastAsia" w:ascii="仿宋" w:hAnsi="仿宋" w:eastAsia="仿宋" w:cs="仿宋"/>
          <w:b/>
          <w:bCs/>
          <w:color w:val="auto"/>
          <w:sz w:val="30"/>
          <w:szCs w:val="30"/>
          <w:highlight w:val="none"/>
        </w:rPr>
        <w:t>7.5 应急保障</w:t>
      </w:r>
      <w:bookmarkEnd w:id="276"/>
      <w:bookmarkEnd w:id="277"/>
    </w:p>
    <w:p w14:paraId="1D978D6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5.1 通信与信息保障</w:t>
      </w:r>
    </w:p>
    <w:p w14:paraId="67BF71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1ED9E4B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6774158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4BA954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07C96EC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0048D0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1D365B0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7.</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06B0230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1E5788E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76E42399">
      <w:pPr>
        <w:spacing w:line="560" w:lineRule="exact"/>
        <w:ind w:firstLine="600" w:firstLineChars="200"/>
        <w:outlineLvl w:val="1"/>
        <w:rPr>
          <w:rFonts w:ascii="黑体" w:hAnsi="黑体" w:eastAsia="黑体" w:cs="黑体"/>
          <w:color w:val="auto"/>
          <w:sz w:val="30"/>
          <w:szCs w:val="30"/>
          <w:highlight w:val="none"/>
        </w:rPr>
      </w:pPr>
      <w:bookmarkStart w:id="278" w:name="_Toc9158"/>
      <w:bookmarkStart w:id="279" w:name="_Toc3650"/>
      <w:r>
        <w:rPr>
          <w:rFonts w:hint="eastAsia" w:ascii="黑体" w:hAnsi="黑体" w:eastAsia="黑体" w:cs="黑体"/>
          <w:color w:val="auto"/>
          <w:sz w:val="30"/>
          <w:szCs w:val="30"/>
          <w:highlight w:val="none"/>
        </w:rPr>
        <w:t>8 矿井供电事故专项应急预案</w:t>
      </w:r>
      <w:bookmarkEnd w:id="278"/>
      <w:bookmarkEnd w:id="279"/>
    </w:p>
    <w:p w14:paraId="428B6DEA">
      <w:pPr>
        <w:spacing w:line="560" w:lineRule="exact"/>
        <w:ind w:firstLine="600" w:firstLineChars="200"/>
        <w:outlineLvl w:val="2"/>
        <w:rPr>
          <w:rFonts w:ascii="楷体_GB2312" w:hAnsi="楷体_GB2312" w:eastAsia="楷体_GB2312" w:cs="楷体_GB2312"/>
          <w:color w:val="auto"/>
          <w:sz w:val="30"/>
          <w:szCs w:val="30"/>
          <w:highlight w:val="none"/>
        </w:rPr>
      </w:pPr>
      <w:bookmarkStart w:id="280" w:name="_Toc4193"/>
      <w:bookmarkStart w:id="281" w:name="_Toc22099"/>
      <w:r>
        <w:rPr>
          <w:rFonts w:hint="eastAsia" w:ascii="楷体_GB2312" w:hAnsi="楷体_GB2312" w:eastAsia="楷体_GB2312" w:cs="楷体_GB2312"/>
          <w:color w:val="auto"/>
          <w:sz w:val="30"/>
          <w:szCs w:val="30"/>
          <w:highlight w:val="none"/>
        </w:rPr>
        <w:t>8.1 适用范围</w:t>
      </w:r>
      <w:bookmarkEnd w:id="280"/>
      <w:bookmarkEnd w:id="281"/>
    </w:p>
    <w:p w14:paraId="3E9FBE5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本专项应急预案适用于矿井在生产过程中，可能发生或已经发生的需要启动Ⅱ级及以上应急响应的机电（触电）、供电线路检修或故障等供电事故（包括涉险事故）的应急救援工作。</w:t>
      </w:r>
    </w:p>
    <w:p w14:paraId="54DFEC3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rPr>
        <w:t>供电</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421554B2">
      <w:pPr>
        <w:spacing w:line="560" w:lineRule="exact"/>
        <w:ind w:firstLine="600" w:firstLineChars="200"/>
        <w:outlineLvl w:val="2"/>
        <w:rPr>
          <w:rFonts w:ascii="楷体_GB2312" w:hAnsi="楷体_GB2312" w:eastAsia="楷体_GB2312" w:cs="楷体_GB2312"/>
          <w:color w:val="auto"/>
          <w:sz w:val="30"/>
          <w:szCs w:val="30"/>
          <w:highlight w:val="none"/>
        </w:rPr>
      </w:pPr>
      <w:bookmarkStart w:id="282" w:name="_Toc29665"/>
      <w:bookmarkStart w:id="283" w:name="_Toc6818"/>
      <w:r>
        <w:rPr>
          <w:rFonts w:hint="eastAsia" w:ascii="楷体_GB2312" w:hAnsi="楷体_GB2312" w:eastAsia="楷体_GB2312" w:cs="楷体_GB2312"/>
          <w:color w:val="auto"/>
          <w:sz w:val="30"/>
          <w:szCs w:val="30"/>
          <w:highlight w:val="none"/>
        </w:rPr>
        <w:t>8.2 应急组织机构及职责</w:t>
      </w:r>
      <w:bookmarkEnd w:id="282"/>
      <w:bookmarkEnd w:id="283"/>
    </w:p>
    <w:p w14:paraId="6E31E18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矿井供电</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w:t>
      </w:r>
      <w:r>
        <w:rPr>
          <w:rFonts w:hint="eastAsia" w:ascii="仿宋_GB2312" w:hAnsi="仿宋_GB2312" w:eastAsia="仿宋_GB2312" w:cs="仿宋_GB2312"/>
          <w:color w:val="auto"/>
          <w:kern w:val="0"/>
          <w:sz w:val="28"/>
          <w:szCs w:val="28"/>
          <w:highlight w:val="none"/>
        </w:rPr>
        <w:t>机电副总经理</w:t>
      </w:r>
      <w:r>
        <w:rPr>
          <w:rFonts w:ascii="仿宋_GB2312" w:hAnsi="仿宋_GB2312" w:eastAsia="仿宋_GB2312" w:cs="仿宋_GB2312"/>
          <w:color w:val="auto"/>
          <w:kern w:val="0"/>
          <w:sz w:val="28"/>
          <w:szCs w:val="28"/>
          <w:highlight w:val="none"/>
        </w:rPr>
        <w:t>担任；其他执行综合应急预案“2应急组织机构及职责”相关规定。</w:t>
      </w:r>
    </w:p>
    <w:p w14:paraId="4645A6B1">
      <w:pPr>
        <w:spacing w:line="560" w:lineRule="exact"/>
        <w:ind w:firstLine="602" w:firstLineChars="200"/>
        <w:outlineLvl w:val="2"/>
        <w:rPr>
          <w:rFonts w:ascii="仿宋" w:hAnsi="仿宋" w:eastAsia="仿宋" w:cs="仿宋"/>
          <w:b/>
          <w:bCs/>
          <w:color w:val="auto"/>
          <w:sz w:val="30"/>
          <w:szCs w:val="30"/>
          <w:highlight w:val="none"/>
        </w:rPr>
      </w:pPr>
      <w:bookmarkStart w:id="284" w:name="_Toc29387"/>
      <w:bookmarkStart w:id="285" w:name="_Toc31606"/>
      <w:r>
        <w:rPr>
          <w:rFonts w:hint="eastAsia" w:ascii="仿宋" w:hAnsi="仿宋" w:eastAsia="仿宋" w:cs="仿宋"/>
          <w:b/>
          <w:bCs/>
          <w:color w:val="auto"/>
          <w:sz w:val="30"/>
          <w:szCs w:val="30"/>
          <w:highlight w:val="none"/>
        </w:rPr>
        <w:t>8.3 响应启动</w:t>
      </w:r>
      <w:bookmarkEnd w:id="284"/>
      <w:bookmarkEnd w:id="285"/>
      <w:r>
        <w:rPr>
          <w:rFonts w:hint="eastAsia" w:ascii="仿宋" w:hAnsi="仿宋" w:eastAsia="仿宋" w:cs="仿宋"/>
          <w:b/>
          <w:bCs/>
          <w:color w:val="auto"/>
          <w:sz w:val="30"/>
          <w:szCs w:val="30"/>
          <w:highlight w:val="none"/>
        </w:rPr>
        <w:t xml:space="preserve"> </w:t>
      </w:r>
    </w:p>
    <w:p w14:paraId="4E7497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机电（触电）、供电线路检修或故障等供电事故（包括涉险事故）启动Ⅱ级应急响应，供电事故造成人员伤亡达到Ⅰ级应急响应条件的，启动Ⅰ级应急响应；矿井双回路断电的供电事故启动Ⅰ级应急响应。</w:t>
      </w:r>
    </w:p>
    <w:p w14:paraId="26F7CE2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3.1 召开现场应急会议</w:t>
      </w:r>
    </w:p>
    <w:p w14:paraId="04EA7C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应急会议由总指挥主持召开。启动Ⅱ级响应的事故，由第一副总指挥根据事故严重程度和救援难度，确定综合协调组、抢险救灾组、技术专家组、安全监督组、医疗救护组等有关救援工作组参加应急会议，安排部署现场应急处置和救援工作。物资供应组、警戒保卫组、后勤保障组、信息发布组、善后处理组等应急救援工作组待命，必要时参加应急救援工作。其余事项按综合应急预案“3.3.2 召开应急会议”的要求执行。</w:t>
      </w:r>
    </w:p>
    <w:p w14:paraId="39AAA1D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3.2 信息上报</w:t>
      </w:r>
    </w:p>
    <w:p w14:paraId="44CEDE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094F4E8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3.3 资源协调</w:t>
      </w:r>
    </w:p>
    <w:p w14:paraId="289EB91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29E8D61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5E2342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37A1D6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70592B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0289A7A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3.4 信息公开</w:t>
      </w:r>
    </w:p>
    <w:p w14:paraId="71687CD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07A7C2D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3.5 后勤及财力保障</w:t>
      </w:r>
    </w:p>
    <w:p w14:paraId="7BB4794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6F273245">
      <w:pPr>
        <w:spacing w:line="560" w:lineRule="exact"/>
        <w:ind w:firstLine="600" w:firstLineChars="200"/>
        <w:outlineLvl w:val="2"/>
        <w:rPr>
          <w:rFonts w:ascii="楷体_GB2312" w:hAnsi="楷体_GB2312" w:eastAsia="楷体_GB2312" w:cs="楷体_GB2312"/>
          <w:color w:val="auto"/>
          <w:sz w:val="30"/>
          <w:szCs w:val="30"/>
          <w:highlight w:val="none"/>
        </w:rPr>
      </w:pPr>
      <w:bookmarkStart w:id="286" w:name="_Toc18880"/>
      <w:bookmarkStart w:id="287" w:name="_Toc1506"/>
      <w:r>
        <w:rPr>
          <w:rFonts w:hint="eastAsia" w:ascii="楷体_GB2312" w:hAnsi="楷体_GB2312" w:eastAsia="楷体_GB2312" w:cs="楷体_GB2312"/>
          <w:color w:val="auto"/>
          <w:sz w:val="30"/>
          <w:szCs w:val="30"/>
          <w:highlight w:val="none"/>
        </w:rPr>
        <w:t>8.</w:t>
      </w:r>
      <w:r>
        <w:rPr>
          <w:rFonts w:ascii="楷体_GB2312" w:hAnsi="楷体_GB2312" w:eastAsia="楷体_GB2312" w:cs="楷体_GB2312"/>
          <w:color w:val="auto"/>
          <w:sz w:val="30"/>
          <w:szCs w:val="30"/>
          <w:highlight w:val="none"/>
        </w:rPr>
        <w:t>4 处置措施</w:t>
      </w:r>
      <w:bookmarkEnd w:id="286"/>
      <w:bookmarkEnd w:id="287"/>
    </w:p>
    <w:p w14:paraId="6795DFC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供电系统停电</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745CAF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发生供电事故，易造成矿井局部停电或全矿井停电，导致矿井通风系统、提升运输、排水系统等各生产系统异常，引发井下瓦斯、水害事故，造成人员伤亡和严重经济损失。矿井所有用电的地点及井下工作地点。可能发生的供电事故影响矿井提升、通风、排水等生产系统，威胁矿井安全。因此，需制定相应的应急处置措施</w:t>
      </w:r>
      <w:r>
        <w:rPr>
          <w:rFonts w:hint="eastAsia" w:ascii="仿宋_GB2312" w:hAnsi="仿宋_GB2312" w:eastAsia="仿宋_GB2312" w:cs="仿宋_GB2312"/>
          <w:color w:val="auto"/>
          <w:kern w:val="0"/>
          <w:sz w:val="28"/>
          <w:szCs w:val="28"/>
          <w:highlight w:val="none"/>
          <w:lang w:eastAsia="zh-CN"/>
        </w:rPr>
        <w:t>：</w:t>
      </w:r>
    </w:p>
    <w:p w14:paraId="5560C25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4.1 应急处置指导原则</w:t>
      </w:r>
    </w:p>
    <w:p w14:paraId="524796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23C4227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256C101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1E773B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7097A9E2">
      <w:pPr>
        <w:spacing w:line="56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8.4.2 应急处置措施</w:t>
      </w:r>
    </w:p>
    <w:p w14:paraId="776336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1.发生停电事故后，井下作业地点现场负责人应立即启动现场处置方案，组织人员停止作业，撤到新鲜风流中，并向调度室汇报。</w:t>
      </w:r>
    </w:p>
    <w:p w14:paraId="131A5A7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2.调度室接到事故汇报后，调度员必须立即通过井下语音广播系统、无线通信系统、调度通讯系统等，3分钟通知到井下受停电影响范围内人员撤离至新鲜风流中静待。</w:t>
      </w:r>
    </w:p>
    <w:p w14:paraId="2B26C53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3.调度室通知救护队和医疗救护队伍集合待命，并立即报告值班矿领导、分管矿领导、总经理，通知有关部门和单位立即到调度室集合。</w:t>
      </w:r>
    </w:p>
    <w:p w14:paraId="3FE4D875">
      <w:pPr>
        <w:spacing w:line="440" w:lineRule="exact"/>
        <w:ind w:firstLine="560" w:firstLineChars="200"/>
        <w:rPr>
          <w:rFonts w:ascii="仿宋_GB2312" w:hAnsi="仿宋_GB2312" w:eastAsia="仿宋_GB2312" w:cs="仿宋_GB2312"/>
          <w:color w:val="auto"/>
          <w:kern w:val="0"/>
          <w:sz w:val="28"/>
          <w:szCs w:val="28"/>
          <w:highlight w:val="none"/>
        </w:rPr>
      </w:pPr>
      <w:bookmarkStart w:id="288" w:name="第7章__地面火灾事故专项应急预案"/>
      <w:bookmarkEnd w:id="288"/>
      <w:r>
        <w:rPr>
          <w:rFonts w:hint="eastAsia" w:ascii="仿宋_GB2312" w:hAnsi="仿宋_GB2312" w:eastAsia="仿宋_GB2312" w:cs="仿宋_GB2312"/>
          <w:color w:val="auto"/>
          <w:kern w:val="0"/>
          <w:sz w:val="28"/>
          <w:szCs w:val="28"/>
          <w:highlight w:val="none"/>
        </w:rPr>
        <w:t>4.若故障线路、设备涉及35KV时，调度室立即联系供电部门，询问停电原因、停电时间、停电处置情况，并向指挥部汇报，由指挥部根据停电情况安排下一步应急处置工作。</w:t>
      </w:r>
    </w:p>
    <w:p w14:paraId="5B0296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5.监测监控中心利用安全监控系统不间断监测矿井各地点环境参数等情况，对监测数据进行分析，发生异常立即报告指挥部。</w:t>
      </w:r>
    </w:p>
    <w:p w14:paraId="112539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6.确认在10min内无法处理恢复供电紧急停风时，主要通风机司机立即打开风井防爆盖并敞开安全门，充分利用矿井自然风压通风。</w:t>
      </w:r>
    </w:p>
    <w:p w14:paraId="0AC7E7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外电全部停电后，立即启动应急电源，井下所有人员应服从统一指挥，在清点人员后有组织的按避灾路线尽快升井，人员升井后清点人数做好记录。要利用井下人员定位系统对井下人员撤离情况进行监测，准确掌握井下人员的撤离情况。具体启动程序如下：</w:t>
      </w:r>
    </w:p>
    <w:p w14:paraId="4BD266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w:t>
      </w:r>
      <w:r>
        <w:rPr>
          <w:rFonts w:ascii="仿宋_GB2312" w:hAnsi="仿宋_GB2312" w:eastAsia="仿宋_GB2312" w:cs="仿宋_GB2312"/>
          <w:color w:val="auto"/>
          <w:kern w:val="0"/>
          <w:sz w:val="28"/>
          <w:szCs w:val="28"/>
          <w:highlight w:val="none"/>
        </w:rPr>
        <w:t>设备管理员检查机组周围有无安全隐患和异物、检查机油油位、冷却水位、燃油油位是否正常、检查启动电池电压是否正常。</w:t>
      </w:r>
    </w:p>
    <w:p w14:paraId="6C638A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②按下“启动”按钮，启动机组。要求在5分钟内完成启动准备并成功启机。观察仪表</w:t>
      </w:r>
      <w:r>
        <w:rPr>
          <w:rFonts w:hint="eastAsia" w:ascii="宋体" w:hAnsi="宋体" w:cs="宋体"/>
          <w:color w:val="auto"/>
          <w:kern w:val="0"/>
          <w:sz w:val="28"/>
          <w:szCs w:val="28"/>
          <w:highlight w:val="none"/>
        </w:rPr>
        <w:t>盘</w:t>
      </w:r>
      <w:r>
        <w:rPr>
          <w:rFonts w:hint="eastAsia" w:ascii="___WRD_EMBED_SUB_42" w:hAnsi="___WRD_EMBED_SUB_42" w:eastAsia="___WRD_EMBED_SUB_42" w:cs="___WRD_EMBED_SUB_42"/>
          <w:color w:val="auto"/>
          <w:kern w:val="0"/>
          <w:sz w:val="28"/>
          <w:szCs w:val="28"/>
          <w:highlight w:val="none"/>
        </w:rPr>
        <w:t>，待机组转速、电压、频率稳定在额定</w:t>
      </w:r>
      <w:r>
        <w:rPr>
          <w:rFonts w:hint="eastAsia" w:ascii="仿宋_GB2312" w:hAnsi="仿宋_GB2312" w:eastAsia="仿宋_GB2312" w:cs="仿宋_GB2312"/>
          <w:color w:val="auto"/>
          <w:kern w:val="0"/>
          <w:sz w:val="28"/>
          <w:szCs w:val="28"/>
          <w:highlight w:val="none"/>
        </w:rPr>
        <w:t>值。</w:t>
      </w:r>
    </w:p>
    <w:p w14:paraId="79A3BF6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w:t>
      </w:r>
      <w:r>
        <w:rPr>
          <w:rFonts w:ascii="仿宋_GB2312" w:hAnsi="仿宋_GB2312" w:eastAsia="仿宋_GB2312" w:cs="仿宋_GB2312"/>
          <w:color w:val="auto"/>
          <w:kern w:val="0"/>
          <w:sz w:val="28"/>
          <w:szCs w:val="28"/>
          <w:highlight w:val="none"/>
        </w:rPr>
        <w:t>断开原外电进线开关，防止反送电，保障线路维修人员安全。合上发电机组输出开关。</w:t>
      </w:r>
    </w:p>
    <w:p w14:paraId="357796E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④依次</w:t>
      </w:r>
      <w:r>
        <w:rPr>
          <w:rFonts w:hint="eastAsia" w:ascii="仿宋_GB2312" w:hAnsi="仿宋_GB2312" w:eastAsia="仿宋_GB2312" w:cs="仿宋_GB2312"/>
          <w:color w:val="auto"/>
          <w:kern w:val="0"/>
          <w:sz w:val="28"/>
          <w:szCs w:val="28"/>
          <w:highlight w:val="none"/>
          <w:lang w:eastAsia="zh-CN"/>
        </w:rPr>
        <w:t>恢复</w:t>
      </w:r>
      <w:r>
        <w:rPr>
          <w:rFonts w:ascii="仿宋_GB2312" w:hAnsi="仿宋_GB2312" w:eastAsia="仿宋_GB2312" w:cs="仿宋_GB2312"/>
          <w:color w:val="auto"/>
          <w:kern w:val="0"/>
          <w:sz w:val="28"/>
          <w:szCs w:val="28"/>
          <w:highlight w:val="none"/>
        </w:rPr>
        <w:t>主通风机供电</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井下主要排水泵供电</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恢复井口、调度室、井下重要硐室（如变电所）的应急照明和监控系统</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视情况恢复提升机（副井）供电。主要用于应急人员输送和物资运输，主井皮带等生产设备最后恢复。</w:t>
      </w:r>
    </w:p>
    <w:p w14:paraId="2537F477">
      <w:pPr>
        <w:tabs>
          <w:tab w:val="left" w:pos="720"/>
        </w:tabs>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w:t>
      </w:r>
      <w:r>
        <w:rPr>
          <w:rFonts w:ascii="仿宋_GB2312" w:hAnsi="仿宋_GB2312" w:eastAsia="仿宋_GB2312" w:cs="仿宋_GB2312"/>
          <w:color w:val="auto"/>
          <w:kern w:val="0"/>
          <w:sz w:val="28"/>
          <w:szCs w:val="28"/>
          <w:highlight w:val="none"/>
        </w:rPr>
        <w:t>专人密切监控发电机组的水温、油压、油温、频率、电压等参数，确保其稳定运行。</w:t>
      </w:r>
    </w:p>
    <w:p w14:paraId="69BCBD2A">
      <w:pPr>
        <w:tabs>
          <w:tab w:val="left" w:pos="720"/>
        </w:tabs>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w:t>
      </w:r>
      <w:r>
        <w:rPr>
          <w:rFonts w:ascii="仿宋_GB2312" w:hAnsi="仿宋_GB2312" w:eastAsia="仿宋_GB2312" w:cs="仿宋_GB2312"/>
          <w:color w:val="auto"/>
          <w:kern w:val="0"/>
          <w:sz w:val="28"/>
          <w:szCs w:val="28"/>
          <w:highlight w:val="none"/>
        </w:rPr>
        <w:t>记录燃油消耗，估算续</w:t>
      </w:r>
      <w:r>
        <w:rPr>
          <w:rFonts w:hint="eastAsia" w:ascii="仿宋_GB2312" w:hAnsi="仿宋_GB2312" w:eastAsia="仿宋_GB2312" w:cs="仿宋_GB2312"/>
          <w:color w:val="auto"/>
          <w:kern w:val="0"/>
          <w:sz w:val="28"/>
          <w:szCs w:val="28"/>
          <w:highlight w:val="none"/>
        </w:rPr>
        <w:t>航时间，提前准备燃油补给</w:t>
      </w:r>
      <w:r>
        <w:rPr>
          <w:rFonts w:ascii="仿宋_GB2312" w:hAnsi="仿宋_GB2312" w:eastAsia="仿宋_GB2312" w:cs="仿宋_GB2312"/>
          <w:color w:val="auto"/>
          <w:kern w:val="0"/>
          <w:sz w:val="28"/>
          <w:szCs w:val="28"/>
          <w:highlight w:val="none"/>
        </w:rPr>
        <w:t>。</w:t>
      </w:r>
    </w:p>
    <w:p w14:paraId="177949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8.矿井恢复供电后，按照主通风机停风的应急处置措施恢复井下通风。</w:t>
      </w:r>
    </w:p>
    <w:p w14:paraId="3C9091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9.矿井停电时恢复供电的操作流程：</w:t>
      </w:r>
    </w:p>
    <w:p w14:paraId="53AE362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对</w:t>
      </w:r>
      <w:r>
        <w:rPr>
          <w:rFonts w:hint="eastAsia" w:ascii="仿宋_GB2312" w:hAnsi="仿宋_GB2312" w:eastAsia="仿宋_GB2312" w:cs="仿宋_GB2312"/>
          <w:color w:val="auto"/>
          <w:kern w:val="0"/>
          <w:sz w:val="28"/>
          <w:szCs w:val="28"/>
          <w:highlight w:val="none"/>
        </w:rPr>
        <w:t>主通风机的停电应急处置措施</w:t>
      </w:r>
    </w:p>
    <w:p w14:paraId="6CE1A3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按照《矿井主通风机停止运转事故专项应急预案》执行。</w:t>
      </w:r>
    </w:p>
    <w:p w14:paraId="4108C4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（2）35kV变电站停电处置措施</w:t>
      </w:r>
    </w:p>
    <w:p w14:paraId="638A3B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双回路线均跳闸故障状态下的处置措施</w:t>
      </w:r>
    </w:p>
    <w:p w14:paraId="2305F94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①35KV变电所值班人员及时与上级供电公司取得联系，确认事故原因，并汇报调度室及相关矿领导。</w:t>
      </w:r>
    </w:p>
    <w:p w14:paraId="380BFB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②机电管理部根据上级公司提供的事故原因，积极配合供电部门进行巡线或事故处理。因双回路同时停电，主要通风机停止运转。停电超过十分钟时，应打开所有风门，以形成自然通风。</w:t>
      </w:r>
    </w:p>
    <w:p w14:paraId="0DEE3A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③停风超过10分钟时，调度室应通知井下所有人员撤至进风大巷及主井底，随时预备撤人升井。</w:t>
      </w:r>
    </w:p>
    <w:p w14:paraId="52C600A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恢复供电后，通防管理部立即关闭所有风门，请示调度室，经批准后，开启主要通风机，恢复正常通风。当气体不超限(甲烷浓度小于0.5%，二氧化碳浓度小于0.5%)时，调度室方可下达恢复送电命令，其送电顺序为：35kV变电站→地面10KV变电所→主变电所，具体事宜由机电管理部负责。</w:t>
      </w:r>
    </w:p>
    <w:p w14:paraId="4F21D60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⑤只有停风区中最高瓦斯浓度不超过1.0%和最高二氧化碳不超过1.5%，且在局部通风机及其开关附近10m以内风流中的瓦斯浓度都不超过0.5%时，方可人工开启局部通风机，恢复正常通风。</w:t>
      </w:r>
    </w:p>
    <w:p w14:paraId="600628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35kV主供线路跳闸故障状态下的处置措施：</w:t>
      </w:r>
    </w:p>
    <w:p w14:paraId="0BCA5C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先确认备供线路已在热备用状态，立即将变电所内主供线路断路器断开，再将备供线路热备转运行，按操作顺序逐步恢复送电。矿井恢复送电后，应立即向上级公司调度室汇报。</w:t>
      </w:r>
    </w:p>
    <w:p w14:paraId="6329F8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（3）井下各变电所的停电应急处置措施</w:t>
      </w:r>
    </w:p>
    <w:p w14:paraId="042209E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变电站同一电源经双回路电缆送到井下的不同电源。当因某回路的电源线路的线路或设备故障停止供电时，可由调度员通知变电所值班员断开停电进线柜隔离，然后操作联络柜，切换到另一回路供电，由该段母线承担停电母线段的全部负荷。同时，安排</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检修人员查明停电原因，排除线路或电气设备故障，恢复该线路的正常供电方式。</w:t>
      </w:r>
    </w:p>
    <w:p w14:paraId="28916ED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（4）综采、掘进工作面的停电应急措施</w:t>
      </w:r>
    </w:p>
    <w:p w14:paraId="2F0325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①当综采、掘进工作面出现停电时，要及时安排有关人员检查停电原因，排除故障，尽快恢复供电。</w:t>
      </w:r>
    </w:p>
    <w:p w14:paraId="7DA328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②对于掘进工作面要在保证通风良好的情况下，方可在该巷道内作业，否则，必须按照《煤矿安全规程》的规定执行。</w:t>
      </w:r>
    </w:p>
    <w:p w14:paraId="76EEE0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③属于变电所内高压开关柜的故障停电时，由</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负责查找、排除故障；属于高压供电线路故障时，由</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负责处理、故障单位配合负责查找、排除故障。</w:t>
      </w:r>
    </w:p>
    <w:p w14:paraId="691FC9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④采掘工作面用电设备故障时，由各综采、掘进用电单位负责查找、排除故障。</w:t>
      </w:r>
    </w:p>
    <w:p w14:paraId="615C6D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10.避灾路线</w:t>
      </w:r>
    </w:p>
    <w:p w14:paraId="3E031CF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当发生大面积停电事故时，采掘作业地点、主要硐室等避灾路线严格按《年度矿井灾害预防和处理计划》规定执行。</w:t>
      </w:r>
    </w:p>
    <w:p w14:paraId="6AA8DF5F">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289" w:name="_Toc31349"/>
      <w:bookmarkStart w:id="290" w:name="_Toc7375"/>
      <w:r>
        <w:rPr>
          <w:rFonts w:hint="eastAsia" w:ascii="仿宋" w:hAnsi="仿宋" w:eastAsia="仿宋" w:cs="仿宋"/>
          <w:b/>
          <w:bCs/>
          <w:color w:val="auto"/>
          <w:sz w:val="30"/>
          <w:szCs w:val="30"/>
          <w:highlight w:val="none"/>
        </w:rPr>
        <w:t>8.5 应急保障</w:t>
      </w:r>
      <w:bookmarkEnd w:id="289"/>
      <w:bookmarkEnd w:id="290"/>
    </w:p>
    <w:p w14:paraId="230B4CB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5.1 通信与信息保障</w:t>
      </w:r>
    </w:p>
    <w:p w14:paraId="1387AF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2AE1678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723D119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24FB23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3D7C1020">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598DDD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35D8487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8.</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0D11512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1E239AE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4654FBFA">
      <w:pPr>
        <w:spacing w:line="560" w:lineRule="exact"/>
        <w:ind w:firstLine="600" w:firstLineChars="200"/>
        <w:outlineLvl w:val="1"/>
        <w:rPr>
          <w:rFonts w:ascii="黑体" w:hAnsi="黑体" w:eastAsia="黑体" w:cs="黑体"/>
          <w:color w:val="auto"/>
          <w:sz w:val="30"/>
          <w:szCs w:val="30"/>
          <w:highlight w:val="none"/>
        </w:rPr>
      </w:pPr>
      <w:bookmarkStart w:id="291" w:name="_Toc16039"/>
      <w:bookmarkStart w:id="292" w:name="_Toc30092"/>
      <w:r>
        <w:rPr>
          <w:rFonts w:hint="eastAsia" w:ascii="黑体" w:hAnsi="黑体" w:eastAsia="黑体" w:cs="黑体"/>
          <w:color w:val="auto"/>
          <w:sz w:val="30"/>
          <w:szCs w:val="30"/>
          <w:highlight w:val="none"/>
        </w:rPr>
        <w:t>9 提升运输事故专项应急预案</w:t>
      </w:r>
      <w:bookmarkEnd w:id="291"/>
      <w:bookmarkEnd w:id="292"/>
    </w:p>
    <w:p w14:paraId="0FBE22A3">
      <w:pPr>
        <w:spacing w:line="560" w:lineRule="exact"/>
        <w:ind w:firstLine="600" w:firstLineChars="200"/>
        <w:outlineLvl w:val="2"/>
        <w:rPr>
          <w:rFonts w:ascii="楷体_GB2312" w:hAnsi="楷体_GB2312" w:eastAsia="楷体_GB2312" w:cs="楷体_GB2312"/>
          <w:color w:val="auto"/>
          <w:sz w:val="30"/>
          <w:szCs w:val="30"/>
          <w:highlight w:val="none"/>
        </w:rPr>
      </w:pPr>
      <w:bookmarkStart w:id="293" w:name="_Toc18869"/>
      <w:bookmarkStart w:id="294" w:name="_Toc4815"/>
      <w:r>
        <w:rPr>
          <w:rFonts w:hint="eastAsia" w:ascii="楷体_GB2312" w:hAnsi="楷体_GB2312" w:eastAsia="楷体_GB2312" w:cs="楷体_GB2312"/>
          <w:color w:val="auto"/>
          <w:sz w:val="30"/>
          <w:szCs w:val="30"/>
          <w:highlight w:val="none"/>
        </w:rPr>
        <w:t>9.1 适用范围</w:t>
      </w:r>
      <w:bookmarkEnd w:id="293"/>
      <w:bookmarkEnd w:id="294"/>
    </w:p>
    <w:p w14:paraId="3149E1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在矿井生产过程中，可能发生或已经发生的需要启动Ⅱ级及以上应急响应的提升运输（机械致害、起重致害、高处坠落、火灾、其他）等事故（包括涉险事故）的应急救援工作。</w:t>
      </w:r>
    </w:p>
    <w:p w14:paraId="0DAB5E2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rPr>
        <w:t>提升运输</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2C8C35E5">
      <w:pPr>
        <w:spacing w:line="560" w:lineRule="exact"/>
        <w:ind w:firstLine="600" w:firstLineChars="200"/>
        <w:outlineLvl w:val="2"/>
        <w:rPr>
          <w:rFonts w:ascii="楷体_GB2312" w:hAnsi="楷体_GB2312" w:eastAsia="楷体_GB2312" w:cs="楷体_GB2312"/>
          <w:color w:val="auto"/>
          <w:sz w:val="30"/>
          <w:szCs w:val="30"/>
          <w:highlight w:val="none"/>
        </w:rPr>
      </w:pPr>
      <w:bookmarkStart w:id="295" w:name="_Toc10619"/>
      <w:bookmarkStart w:id="296" w:name="_Toc11486"/>
      <w:r>
        <w:rPr>
          <w:rFonts w:hint="eastAsia" w:ascii="楷体_GB2312" w:hAnsi="楷体_GB2312" w:eastAsia="楷体_GB2312" w:cs="楷体_GB2312"/>
          <w:color w:val="auto"/>
          <w:sz w:val="30"/>
          <w:szCs w:val="30"/>
          <w:highlight w:val="none"/>
        </w:rPr>
        <w:t>9.2 应急组织机构及职责</w:t>
      </w:r>
      <w:bookmarkEnd w:id="295"/>
      <w:bookmarkEnd w:id="296"/>
    </w:p>
    <w:p w14:paraId="304660E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提升运输</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担任，副总指挥由</w:t>
      </w:r>
      <w:r>
        <w:rPr>
          <w:rFonts w:hint="eastAsia" w:ascii="仿宋_GB2312" w:hAnsi="仿宋_GB2312" w:eastAsia="仿宋_GB2312" w:cs="仿宋_GB2312"/>
          <w:color w:val="auto"/>
          <w:kern w:val="0"/>
          <w:sz w:val="28"/>
          <w:szCs w:val="28"/>
          <w:highlight w:val="none"/>
        </w:rPr>
        <w:t>机电副总经理</w:t>
      </w:r>
      <w:r>
        <w:rPr>
          <w:rFonts w:ascii="仿宋_GB2312" w:hAnsi="仿宋_GB2312" w:eastAsia="仿宋_GB2312" w:cs="仿宋_GB2312"/>
          <w:color w:val="auto"/>
          <w:kern w:val="0"/>
          <w:sz w:val="28"/>
          <w:szCs w:val="28"/>
          <w:highlight w:val="none"/>
        </w:rPr>
        <w:t>担任；其他执行综合应急预案“2应急组织机构及职责”相关规定。</w:t>
      </w:r>
    </w:p>
    <w:p w14:paraId="74DD99AD">
      <w:pPr>
        <w:spacing w:line="560" w:lineRule="exact"/>
        <w:ind w:firstLine="600" w:firstLineChars="200"/>
        <w:outlineLvl w:val="2"/>
        <w:rPr>
          <w:rFonts w:ascii="楷体_GB2312" w:hAnsi="楷体_GB2312" w:eastAsia="楷体_GB2312" w:cs="楷体_GB2312"/>
          <w:color w:val="auto"/>
          <w:sz w:val="30"/>
          <w:szCs w:val="30"/>
          <w:highlight w:val="none"/>
        </w:rPr>
      </w:pPr>
      <w:bookmarkStart w:id="297" w:name="_Toc28894"/>
      <w:bookmarkStart w:id="298" w:name="_Toc20295"/>
      <w:r>
        <w:rPr>
          <w:rFonts w:hint="eastAsia" w:ascii="楷体_GB2312" w:hAnsi="楷体_GB2312" w:eastAsia="楷体_GB2312" w:cs="楷体_GB2312"/>
          <w:color w:val="auto"/>
          <w:sz w:val="30"/>
          <w:szCs w:val="30"/>
          <w:highlight w:val="none"/>
        </w:rPr>
        <w:t>9.3 响应启动</w:t>
      </w:r>
      <w:bookmarkEnd w:id="297"/>
      <w:bookmarkEnd w:id="298"/>
      <w:r>
        <w:rPr>
          <w:rFonts w:hint="eastAsia" w:ascii="楷体_GB2312" w:hAnsi="楷体_GB2312" w:eastAsia="楷体_GB2312" w:cs="楷体_GB2312"/>
          <w:color w:val="auto"/>
          <w:sz w:val="30"/>
          <w:szCs w:val="30"/>
          <w:highlight w:val="none"/>
        </w:rPr>
        <w:t xml:space="preserve"> </w:t>
      </w:r>
    </w:p>
    <w:p w14:paraId="13E1DE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提升运输（机械致害、高处坠落、其他）事故（包括涉险事故）启动Ⅱ级应急响应，造成人员伤亡达到Ⅰ级应急响应条件的，启动Ⅰ级应急响应；提升运输（起重致害）事故（包括涉险事故）直接启动Ⅰ级应急响应；提升运输（火灾）事故，初期处置无法控制灾情时，启动矿井火灾事故Ⅰ级应急响应。</w:t>
      </w:r>
    </w:p>
    <w:p w14:paraId="786F2D2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3.1 召开现场应急会议</w:t>
      </w:r>
    </w:p>
    <w:p w14:paraId="608CC5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提升运输事故应急会议由总指挥主持召开。启动Ⅱ级响应的提升运输事故由第一副总指挥根据事故严重程度和救援难度，抽调综合协调组、抢险救灾组、技术专家组、安全监督组、医疗救护组有关成员参加应急会议，安排部署现场应急处置和救援工作。第一副总指挥根据事故现场的救援需要及人员伤害情况，必要时通知物资供应组、警戒保卫组、后勤保障组、信息发布组、善后处理组等应急救援工作组有关成员参加后续应急会议，并参加应急救援工作。其余事项按综合应急预案“3.3.2 召开应急会议”的要求执行。</w:t>
      </w:r>
    </w:p>
    <w:p w14:paraId="4F345262">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3.2 信息上报</w:t>
      </w:r>
    </w:p>
    <w:p w14:paraId="064B5A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2427EAD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3.3 资源协调</w:t>
      </w:r>
    </w:p>
    <w:p w14:paraId="6729904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0A8D75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4273FB5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495B397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7E76A4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32CA07F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3.4 信息公开</w:t>
      </w:r>
    </w:p>
    <w:p w14:paraId="26CEBFA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58F64F12">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3.5 后勤及财力保障</w:t>
      </w:r>
    </w:p>
    <w:p w14:paraId="697881D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59D77032">
      <w:pPr>
        <w:spacing w:line="560" w:lineRule="exact"/>
        <w:ind w:firstLine="600" w:firstLineChars="200"/>
        <w:outlineLvl w:val="2"/>
        <w:rPr>
          <w:rFonts w:ascii="楷体_GB2312" w:hAnsi="楷体_GB2312" w:eastAsia="楷体_GB2312" w:cs="楷体_GB2312"/>
          <w:color w:val="auto"/>
          <w:sz w:val="30"/>
          <w:szCs w:val="30"/>
          <w:highlight w:val="none"/>
        </w:rPr>
      </w:pPr>
      <w:bookmarkStart w:id="299" w:name="_Toc30396"/>
      <w:bookmarkStart w:id="300" w:name="_Toc30535"/>
      <w:r>
        <w:rPr>
          <w:rFonts w:hint="eastAsia" w:ascii="楷体_GB2312" w:hAnsi="楷体_GB2312" w:eastAsia="楷体_GB2312" w:cs="楷体_GB2312"/>
          <w:color w:val="auto"/>
          <w:sz w:val="30"/>
          <w:szCs w:val="30"/>
          <w:highlight w:val="none"/>
        </w:rPr>
        <w:t>9.</w:t>
      </w:r>
      <w:r>
        <w:rPr>
          <w:rFonts w:ascii="楷体_GB2312" w:hAnsi="楷体_GB2312" w:eastAsia="楷体_GB2312" w:cs="楷体_GB2312"/>
          <w:color w:val="auto"/>
          <w:sz w:val="30"/>
          <w:szCs w:val="30"/>
          <w:highlight w:val="none"/>
        </w:rPr>
        <w:t>4 处置措施</w:t>
      </w:r>
      <w:bookmarkEnd w:id="299"/>
      <w:bookmarkEnd w:id="300"/>
    </w:p>
    <w:p w14:paraId="77DBAF29">
      <w:pPr>
        <w:spacing w:line="520" w:lineRule="exact"/>
        <w:ind w:firstLine="560" w:firstLineChars="200"/>
        <w:rPr>
          <w:rFonts w:ascii="仿宋_GB2312" w:hAnsi="仿宋_GB2312" w:eastAsia="仿宋_GB2312" w:cs="仿宋_GB2312"/>
          <w:color w:val="auto"/>
          <w:sz w:val="30"/>
          <w:szCs w:val="30"/>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提升运输事故风险评估为重大风险。</w:t>
      </w:r>
    </w:p>
    <w:p w14:paraId="3B35ECC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（1）立井提升可能发生断绳、坠罐、坠箕斗、蹲罐等（起重致害）事故；发生卡罐、卡箕斗等（其他）事故；人员坠落、坠物等（高处坠落）事故。</w:t>
      </w:r>
    </w:p>
    <w:p w14:paraId="49B09C4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（2）斜巷轨道提升系统可能发生车辆挤人、撞人、钢丝绳伤人、车辆脱轨、车辆相撞、跑车伤人等（机械致害）事故。</w:t>
      </w:r>
    </w:p>
    <w:p w14:paraId="6FDFFEB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（3）机车运输可能发生车辆挤人、撞人、车辆脱轨、车辆相撞、人行车运行伤人、机车追尾、碰头等（机械致害）事故。</w:t>
      </w:r>
    </w:p>
    <w:p w14:paraId="74DA1AF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（4）架空乘人装置可能发生钢丝绳磨损、断丝超限、断绳、飞车、吊椅坠落、钢丝绳脱绳伤人等（机械致害）事故。</w:t>
      </w:r>
    </w:p>
    <w:p w14:paraId="41904DD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（5）单轨吊机车可能发生可燃液体火灾事故，单轨吊机车飞车撞人、挤伤人员，轨道脱落砸伤人员等（机械致害）事故。</w:t>
      </w:r>
    </w:p>
    <w:p w14:paraId="3418096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（6）带式输送机运行可能发生输送带打滑、倒转、堆煤、断带、撕带、挤伤人员等机械伤害事故和电气事故、带式输送机火灾事故等。</w:t>
      </w:r>
    </w:p>
    <w:p w14:paraId="1A2AF2C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（二）提升运输事故的危害后果：影响矿井原煤、人员、矸石物料运输，破坏运输系统相关设施、机电设备等，造成经济损失，威胁现场人员安全，严重时造成</w:t>
      </w:r>
      <w:r>
        <w:rPr>
          <w:rFonts w:hint="eastAsia" w:ascii="仿宋_GB2312" w:hAnsi="仿宋_GB2312" w:eastAsia="仿宋_GB2312" w:cs="仿宋_GB2312"/>
          <w:color w:val="auto"/>
          <w:kern w:val="0"/>
          <w:sz w:val="28"/>
          <w:szCs w:val="28"/>
          <w:highlight w:val="none"/>
          <w:lang w:val="en-US" w:eastAsia="zh-CN"/>
        </w:rPr>
        <w:t>人员</w:t>
      </w:r>
      <w:r>
        <w:rPr>
          <w:rFonts w:hint="eastAsia" w:ascii="仿宋_GB2312" w:hAnsi="仿宋_GB2312" w:eastAsia="仿宋_GB2312" w:cs="仿宋_GB2312"/>
          <w:color w:val="auto"/>
          <w:kern w:val="0"/>
          <w:sz w:val="28"/>
          <w:szCs w:val="28"/>
          <w:highlight w:val="none"/>
        </w:rPr>
        <w:t>伤亡。</w:t>
      </w:r>
    </w:p>
    <w:p w14:paraId="2E8729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w:t>
      </w:r>
      <w:r>
        <w:rPr>
          <w:rFonts w:hint="eastAsia" w:ascii="仿宋_GB2312" w:hAnsi="仿宋_GB2312" w:eastAsia="仿宋_GB2312" w:cs="仿宋_GB2312"/>
          <w:color w:val="auto"/>
          <w:kern w:val="0"/>
          <w:sz w:val="28"/>
          <w:szCs w:val="28"/>
          <w:highlight w:val="none"/>
          <w:lang w:val="en-US" w:eastAsia="zh-CN"/>
        </w:rPr>
        <w:t>矿井</w:t>
      </w:r>
      <w:r>
        <w:rPr>
          <w:rFonts w:hint="eastAsia" w:ascii="仿宋_GB2312" w:hAnsi="仿宋_GB2312" w:eastAsia="仿宋_GB2312" w:cs="仿宋_GB2312"/>
          <w:color w:val="auto"/>
          <w:kern w:val="0"/>
          <w:sz w:val="28"/>
          <w:szCs w:val="28"/>
          <w:highlight w:val="none"/>
        </w:rPr>
        <w:t>提升运输事故主要影响范围：主井提升系统、副井提升系统、</w:t>
      </w:r>
      <w:r>
        <w:rPr>
          <w:rFonts w:hint="eastAsia" w:ascii="仿宋_GB2312" w:hAnsi="仿宋_GB2312" w:eastAsia="仿宋_GB2312" w:cs="仿宋_GB2312"/>
          <w:color w:val="auto"/>
          <w:kern w:val="0"/>
          <w:sz w:val="28"/>
          <w:szCs w:val="28"/>
          <w:highlight w:val="none"/>
          <w:lang w:val="en-US" w:eastAsia="zh-CN"/>
        </w:rPr>
        <w:t>一采辅运上山</w:t>
      </w:r>
      <w:r>
        <w:rPr>
          <w:rFonts w:hint="eastAsia" w:ascii="仿宋_GB2312" w:hAnsi="仿宋_GB2312" w:eastAsia="仿宋_GB2312" w:cs="仿宋_GB2312"/>
          <w:color w:val="auto"/>
          <w:kern w:val="0"/>
          <w:sz w:val="28"/>
          <w:szCs w:val="28"/>
          <w:highlight w:val="none"/>
        </w:rPr>
        <w:t>斜巷轨道提升系统、电机车运输系统、架空乘人装置运输系统、单轨吊运输系统、带式输送机运输系统等。需制定相应的应急处置措施</w:t>
      </w:r>
      <w:r>
        <w:rPr>
          <w:rFonts w:hint="eastAsia" w:ascii="仿宋_GB2312" w:hAnsi="仿宋_GB2312" w:eastAsia="仿宋_GB2312" w:cs="仿宋_GB2312"/>
          <w:color w:val="auto"/>
          <w:kern w:val="0"/>
          <w:sz w:val="28"/>
          <w:szCs w:val="28"/>
          <w:highlight w:val="none"/>
          <w:lang w:eastAsia="zh-CN"/>
        </w:rPr>
        <w:t>：</w:t>
      </w:r>
    </w:p>
    <w:p w14:paraId="6F7DF10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4.1 应急处置指导原则</w:t>
      </w:r>
    </w:p>
    <w:p w14:paraId="20C69B7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2A78C9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70287BB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06C7B3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4604CAE2">
      <w:pPr>
        <w:spacing w:line="56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9.4.2 应急处置措施</w:t>
      </w:r>
    </w:p>
    <w:p w14:paraId="3C62280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1.综合应急处置措施</w:t>
      </w:r>
    </w:p>
    <w:p w14:paraId="279E734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矿井发生提升运输事故，事故现场负责人应立即启动现场处置方案，停止事故设备运行，必要时切断其供电电源，停止事故影响区域作业。同时向矿调度室和机电工区、运输工区值班领导报告。事故现场负责人根据事故危害程度，积极开展现场应急处置和自救互救。现场处置威胁人员安全的，现场作业人员应第一时间撤离危险区域，并向矿调度室汇报事故处置及人员撤离情况。</w:t>
      </w:r>
    </w:p>
    <w:p w14:paraId="38F448F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值班调度员接到供电事故报告后，若事故影响较大，应立即采用井上下通信、井下应急广播系统、手机、警笛、现场通知等方式，通知受事故波及区域人员撤离，并迅速向值班矿领导、矿长、带班矿领导、分管副矿长报告。带班矿领导应立即赶赴事故地点指导应急处置和救援。</w:t>
      </w:r>
    </w:p>
    <w:p w14:paraId="0CE386B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）指挥部总指挥按照提升运输事故类型启动相应的应急响应。立井提升发生断绳、坠罐等事故，直接启动Ⅰ级应急响应。</w:t>
      </w:r>
    </w:p>
    <w:p w14:paraId="1013F3F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救援人员应了解事故发生原因、矿井提升运输系统及设备、遇险人员数量，探察井筒（巷道）破坏程度，提升容器坠落或者运输车辆滑落位置，遇险人员状况以及井筒（巷道）内通风、氧气和有毒有害气体浓度等情况。</w:t>
      </w:r>
    </w:p>
    <w:p w14:paraId="40F24E6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5</w:t>
      </w:r>
      <w:r>
        <w:rPr>
          <w:rFonts w:hint="eastAsia" w:ascii="仿宋_GB2312" w:hAnsi="仿宋_GB2312" w:eastAsia="仿宋_GB2312" w:cs="仿宋_GB2312"/>
          <w:color w:val="auto"/>
          <w:kern w:val="0"/>
          <w:sz w:val="28"/>
          <w:szCs w:val="28"/>
          <w:highlight w:val="none"/>
        </w:rPr>
        <w:t>）发现遇险人员应立即救出至安全地点，对伤员进行止血、包扎和骨折固定等紧急处理后，迅速移交专业医护人员送医救治；不能立即救出的，在采取技术措施后施救。</w:t>
      </w:r>
    </w:p>
    <w:p w14:paraId="523552D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6</w:t>
      </w:r>
      <w:r>
        <w:rPr>
          <w:rFonts w:hint="eastAsia" w:ascii="仿宋_GB2312" w:hAnsi="仿宋_GB2312" w:eastAsia="仿宋_GB2312" w:cs="仿宋_GB2312"/>
          <w:color w:val="auto"/>
          <w:kern w:val="0"/>
          <w:sz w:val="28"/>
          <w:szCs w:val="28"/>
          <w:highlight w:val="none"/>
        </w:rPr>
        <w:t>）在使用起重、破拆、扩张、牵引、切割等工具处置罐笼、人车（矿车）及堆积杂物进行施救时，应当指定专人检查瓦斯等有毒有害气体和氧气浓度，观察井筒和巷道情况，采取防范措施确保作业安全；同时，应当采取措施避免被困人员受到二次伤害。</w:t>
      </w:r>
    </w:p>
    <w:p w14:paraId="24E46F6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2.主、副井提升系统坠罐（箕斗）事故应急处置措施</w:t>
      </w:r>
    </w:p>
    <w:p w14:paraId="29AB695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副井提升系统坠罐事故，罐内有人员时，应首先采取救人措施。若罐笼未坠入井底，救援时先行探察井筒内有毒有害气体和氧气浓度以及梯子间安全状况，在保证安全的情况下通过梯子间向下进入罐笼救援。</w:t>
      </w:r>
    </w:p>
    <w:p w14:paraId="7C5517B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副井提升系统坠罐事故，当罐笼坠入井底时，可以通过排水通道抢救遇险人员，积水较多时采取排水措施，并采取局部通风措施，防止人员窒息。救援时间较长时，可以通过绳索和吊篮等方式为被困人员输送食物、饮料、相关药品及通信工具，维持被困人员生命和情绪稳定。</w:t>
      </w:r>
    </w:p>
    <w:p w14:paraId="7B9ABC7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救援人员需要进入井筒时，应首先检查观察井筒上部是否有物品坠落危险，清理井架（塔）、井口附着物，井口设专人值守警戒，必要时在井筒上部断面安设防护盖板，防止施工过程中坠物伤人。同时对井筒、提升系统及设备进行安全评估、检查和提升测试，保障救援安全。</w:t>
      </w:r>
    </w:p>
    <w:p w14:paraId="43BFB3B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（4）主、副井提升系统坠罐（箕斗）事故，无人员伤亡时，应检查坠罐（箕斗）损坏情况，制定安全技术措施进行处理。若罐内（箕斗）存有物料，应采取措施卸掉负载，然后进行处理、恢复工作。</w:t>
      </w:r>
    </w:p>
    <w:p w14:paraId="0972E26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3.主、副井提升系统卡罐（箕斗）事故的应急处置措施</w:t>
      </w:r>
    </w:p>
    <w:p w14:paraId="3D36371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副井提升系统卡罐，若罐内有人员时，应首先采取救人措施。有梯子间的井筒，先行探察井筒内有毒有害气体和氧气浓度以及梯子间安全状况，在保证安全的情况下可以通过梯子间向下搜救；需要通过提升系统及设备进行探察搜救的，在经评估、检查和测试，确保提升系统及设备安全可靠后方可实施。</w:t>
      </w:r>
    </w:p>
    <w:p w14:paraId="77E7862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救援时清理井架、井口附着物，必要时在井筒上部断面安设防护盖板，井口设专人值守警戒，防止施工过程中坠物伤人。救援人员佩戴保险带，所带工具系绳入套防止掉落，配备使用通信工具保持联络；应急救援人员到达卡罐位置，先观察卡罐状况，必要时采取稳定或者加固措施，防止施救时罐笼再次坠落。救援时间较长时，可以通过绳索和吊篮等方式为被困人员输送食物、饮料、相关药品及通信工具。</w:t>
      </w:r>
    </w:p>
    <w:p w14:paraId="69E5051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若无人员伤亡或遇险人员已施救完毕，应检查卡罐（箕斗）损坏情况并进行处理。若罐内（箕斗）存有物料，应根据现场实际情况制定可行性措施卸掉负载，同时进行其它事项的处理。如果罐道损坏，先把单罐提到井口位置，处理损坏的罐耳和罐道，修复后恢复提升。</w:t>
      </w:r>
    </w:p>
    <w:p w14:paraId="38357D84">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（四）主井提升因为卡箕斗而损坏钢丝绳罐道，应首先对损坏的箕斗进行处置和固定，检查处理井筒设施，组织人员更换钢丝绳罐道。</w:t>
      </w:r>
    </w:p>
    <w:p w14:paraId="4B39BF7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4.主、副井提升机房火灾事故应急处置措施</w:t>
      </w:r>
    </w:p>
    <w:p w14:paraId="033F3BD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（1）主、副井提升机房发生火灾时，现场人员立即停止设备运行，使用现场的灭火器材在上风口积极进行灭火，扑灭初期火灾或控制灾情，同时汇报调度室和机电工区值班人员。</w:t>
      </w:r>
    </w:p>
    <w:p w14:paraId="07EF7BF0">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（2）初期火灾不能及时扑灭时，立即拨打“119”报警电话请求救援。火灾影响矿井井下安全时，立即启动《矿井火灾事故专项应急预案》进行处置。</w:t>
      </w:r>
    </w:p>
    <w:p w14:paraId="20EDC19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5.带式输送机火灾事故应急处置措施</w:t>
      </w:r>
    </w:p>
    <w:p w14:paraId="241C1A7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（1）带式输送机发生火灾时，带式输送机司机立即停机并切断电源，在上风口使用现场的灭火器材积极进行灭火，同时汇报调度室和运输工区值班人员。</w:t>
      </w:r>
    </w:p>
    <w:p w14:paraId="4D624D0A">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（2）初期火灾不能及时扑灭时，立即启动《矿井火灾事故专项应急预案》进行处置。</w:t>
      </w:r>
    </w:p>
    <w:p w14:paraId="539296A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6.带式输送机机械伤人事故应急处置措施</w:t>
      </w:r>
    </w:p>
    <w:p w14:paraId="49EF20B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（1）带式输送机转动部位伤人或运输胶带伤人时，要立即停止带式输送机运转并闭锁开关，及时抢救受伤人员。</w:t>
      </w:r>
    </w:p>
    <w:p w14:paraId="6696EFBE">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（2）运输胶带伤人，若人员被运输胶带卡挤不能救出时，停止带式输送机运转并断电后，松开胶带输送涨紧装置，截断胶带，救出受伤人员。</w:t>
      </w:r>
    </w:p>
    <w:p w14:paraId="0DE111D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7.架空乘人装置事故应急处置措施</w:t>
      </w:r>
    </w:p>
    <w:p w14:paraId="260C006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（1）发生架空乘人装置断绳、飞车事故时，操作人员应立即停止架空乘人装置运行并切断电源，积极实施救援。同时报告调度室和运输工区值班人员。</w:t>
      </w:r>
    </w:p>
    <w:p w14:paraId="6F8C9AE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架空乘人装置发生断绳、飞车，乘车人员应立即下车，拉动沿线急停装置，停止架空乘人装置运转。乘车人员要快速躲入最近安全硐内或尽可能远离绳道及座椅甩动轨迹区域，以避免车速过大造成人员伤害。</w:t>
      </w:r>
    </w:p>
    <w:p w14:paraId="617E1F0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（3）若有人员伤亡，现场人员应立即进行自救和互救。救援人员在事故巷道采取设置警戒线、警示灯等警戒措施，并设专人值守，禁止无关人员通行。</w:t>
      </w:r>
    </w:p>
    <w:p w14:paraId="7FE12173">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救援人员应注意观察事故现场周边设施、设备、巷道的变化情况，防止巷道塌落和构件伤人，必要时加固巷道，消除隐患。人员抢救结束后，应制定安全技术措施，做好安全防范措施后方可进行设备、钢丝绳更换工作。</w:t>
      </w:r>
    </w:p>
    <w:p w14:paraId="54FD58A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8.单轨吊运行、跑车伤人事故应急处置措施</w:t>
      </w:r>
    </w:p>
    <w:p w14:paraId="6B40E25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（1）发生事故后，现场负责人立即组织危险区域人员撤离至安全区域，在确保安全的情况下组织开展自救和互救，同时汇报调度室和运输工区值班人员。</w:t>
      </w:r>
    </w:p>
    <w:p w14:paraId="3290317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（2）有人员伤亡时，事故现场人员应立即将伤员救出至安全地点，对伤员进行止血、包扎和骨折固定等，紧急处理后迅速运送升井移交专业医护人员送医院救治。</w:t>
      </w:r>
    </w:p>
    <w:p w14:paraId="24AD78A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（3）事故现场人员在对遇险人员进行抢救的同时，应拉线划定警戒区域，采取措施防止事故扩大或导致次生事故的发生。</w:t>
      </w:r>
    </w:p>
    <w:p w14:paraId="4B6A1684">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（4）事故损坏巷道及顶板时，需将机车可靠固定，首先处理顶板，确认达到安全运行条件后方可恢复机车运行。</w:t>
      </w:r>
    </w:p>
    <w:p w14:paraId="0813B7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9.</w:t>
      </w:r>
      <w:r>
        <w:rPr>
          <w:rFonts w:hint="eastAsia" w:ascii="仿宋_GB2312" w:hAnsi="仿宋_GB2312" w:eastAsia="仿宋_GB2312" w:cs="仿宋_GB2312"/>
          <w:color w:val="auto"/>
          <w:kern w:val="0"/>
          <w:sz w:val="28"/>
          <w:szCs w:val="28"/>
          <w:highlight w:val="none"/>
        </w:rPr>
        <w:t>矿井提升事故处置措施</w:t>
      </w:r>
    </w:p>
    <w:p w14:paraId="477BE4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（1）乘罐人员发现罐笼运行异常时，应握紧罐笼内的扶手，不能握扶手的应抓住握扶手的人，以免罐笼快速停止时摔伤和出现其他伤害。所有人员应将两腿弯曲，以减少惯性冲击。</w:t>
      </w:r>
    </w:p>
    <w:p w14:paraId="535F26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（2）罐笼由于保险装置的作用减速并停稳后，乘罐人员要保持镇静，不可在罐笼中乱动、推拉，以保持罐笼平衡，以呼叫为主积极发出求救信号，并耐心等待救援。</w:t>
      </w:r>
    </w:p>
    <w:p w14:paraId="2D6D1E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底现场人员发现罐笼异常时，应立即撤离井底50m以外，或躲避到安全地点，待罐体稳定后及时报告，并在现场设立警戒。与井口和车房保持联络，确认井口无其他可坠物且由专人在井口警戒后，方可靠近观察和施救。</w:t>
      </w:r>
    </w:p>
    <w:p w14:paraId="05BBA5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（4）罐内未受伤人员应立即在现场为受伤矿工进行止血、包扎和骨折临时固定等紧急处理。</w:t>
      </w:r>
    </w:p>
    <w:p w14:paraId="04B688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（5）井口人员应首先避险，及时向调度室报告，并在井口警戒，封锁现场，防止其他人员、车辆靠近。</w:t>
      </w:r>
    </w:p>
    <w:p w14:paraId="21AB1BB7">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w:t>
      </w:r>
      <w:r>
        <w:rPr>
          <w:rFonts w:hint="eastAsia"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val="zh-CN"/>
        </w:rPr>
        <w:t>）当</w:t>
      </w:r>
      <w:r>
        <w:rPr>
          <w:rFonts w:hint="eastAsia" w:ascii="仿宋_GB2312" w:hAnsi="仿宋_GB2312" w:eastAsia="仿宋_GB2312" w:cs="仿宋_GB2312"/>
          <w:color w:val="auto"/>
          <w:kern w:val="0"/>
          <w:sz w:val="28"/>
          <w:szCs w:val="28"/>
          <w:highlight w:val="none"/>
        </w:rPr>
        <w:t>立</w:t>
      </w:r>
      <w:r>
        <w:rPr>
          <w:rFonts w:hint="eastAsia" w:ascii="仿宋_GB2312" w:hAnsi="仿宋_GB2312" w:eastAsia="仿宋_GB2312" w:cs="仿宋_GB2312"/>
          <w:color w:val="auto"/>
          <w:kern w:val="0"/>
          <w:sz w:val="28"/>
          <w:szCs w:val="28"/>
          <w:highlight w:val="none"/>
          <w:lang w:val="zh-CN"/>
        </w:rPr>
        <w:t>井提升机出现故障停车发生人员被困井筒时，提升机司机要及时采取安全措施使提升机处于安全制动状态。提升机司机和现场维护工应尽快查清故障原因，并对安全回路和设备进行全面检查。查清事故原因后立即向现场应急指挥部汇报。抢修人员要按抢修安全技术措施进行抢修，排除故障，恢复运行。</w:t>
      </w:r>
    </w:p>
    <w:p w14:paraId="4125ACD6">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rPr>
        <w:t>（7）</w:t>
      </w:r>
      <w:r>
        <w:rPr>
          <w:rFonts w:hint="eastAsia" w:ascii="仿宋_GB2312" w:hAnsi="仿宋_GB2312" w:eastAsia="仿宋_GB2312" w:cs="仿宋_GB2312"/>
          <w:color w:val="auto"/>
          <w:kern w:val="0"/>
          <w:sz w:val="28"/>
          <w:szCs w:val="28"/>
          <w:highlight w:val="none"/>
          <w:lang w:val="zh-CN"/>
        </w:rPr>
        <w:t>当钢丝绳在运行中遭受包括紧急制动等原因在内的猛烈拉动时，司机必须立即停车，采取措施了解乘坐人员安全情况，如有人员受伤要通知现场抢险指挥部，制定抢险措施，组织抢险专业对人员进行抢救。无人员伤亡时，维护工对提升机的各主要部件特别是钢丝绳和各部位连接装置以及制动机构进行详细检查，同时要对安全回路进行全面检查，确认完好后，方可开车。因钢丝绳或各部位连接装置以及制动机构存在异常情况，短时间无法恢复运行时，现场指挥部应制定人员撤离的抢险方案。人员撤离后，对提升机异常部位进行抢修。抢险时使用保险带等防护用具。</w:t>
      </w:r>
    </w:p>
    <w:p w14:paraId="3818A76E">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rPr>
        <w:t>（8）</w:t>
      </w:r>
      <w:r>
        <w:rPr>
          <w:rFonts w:hint="eastAsia" w:ascii="仿宋_GB2312" w:hAnsi="仿宋_GB2312" w:eastAsia="仿宋_GB2312" w:cs="仿宋_GB2312"/>
          <w:color w:val="auto"/>
          <w:kern w:val="0"/>
          <w:sz w:val="28"/>
          <w:szCs w:val="28"/>
          <w:highlight w:val="none"/>
          <w:lang w:val="zh-CN"/>
        </w:rPr>
        <w:t>当发生断绳、断轴等重大事故造成坠罐事故。</w:t>
      </w:r>
    </w:p>
    <w:p w14:paraId="471AA8A8">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①应该快速选择其他井筒入井侦察施救。如需使用原事故井筒，应对提升装备及井筒进行安全评估，临时提升人员要制定安全措施。</w:t>
      </w:r>
    </w:p>
    <w:p w14:paraId="7EE2498E">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②施救人员入井后，对现场进行勘查，发现能够立即救出的人员要立即救出，妥善安置，对不能立即救出的要在采取措施后施救；施救时必须先观察井筒上部是否有物品坠落危险，确认无危险后再进行救援。</w:t>
      </w:r>
    </w:p>
    <w:p w14:paraId="4174F0F6">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③在井底用槽钢、木板等封锁井底的井筒断面，防止意外物品掉入井筒造成人身伤亡。</w:t>
      </w:r>
    </w:p>
    <w:p w14:paraId="24AF081B">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④当罐笼坠入井底时，救援人员可通过排水通道直接进入罐笼，并通过排水通道抢救人员，如果排水通道受阻，也可采用绞车和吊桶运送人员。</w:t>
      </w:r>
    </w:p>
    <w:p w14:paraId="4C5887D1">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⑤当罐笼坠入井底遇到积水多井筒淋水大等情况，应采取排水、截水引水措施，井底较深还应考虑局部通风问题，防止人员窒息。</w:t>
      </w:r>
    </w:p>
    <w:p w14:paraId="6F351783">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⑥迅速搜寻幸存人员，发现伤员及时进行止血、包扎和骨折固定等紧急处理，并迅速运送升井到医院救治。</w:t>
      </w:r>
    </w:p>
    <w:p w14:paraId="352BB199">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rPr>
        <w:t>（9）</w:t>
      </w:r>
      <w:r>
        <w:rPr>
          <w:rFonts w:hint="eastAsia" w:ascii="仿宋_GB2312" w:hAnsi="仿宋_GB2312" w:eastAsia="仿宋_GB2312" w:cs="仿宋_GB2312"/>
          <w:color w:val="auto"/>
          <w:kern w:val="0"/>
          <w:sz w:val="28"/>
          <w:szCs w:val="28"/>
          <w:highlight w:val="none"/>
          <w:lang w:val="zh-CN"/>
        </w:rPr>
        <w:t>提升机发生火灾时，应立即切断事故现场电源，正确使用灭火器材扑灭初期火灾或控制灾情并及时上报。</w:t>
      </w:r>
    </w:p>
    <w:p w14:paraId="1A2D528E">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rPr>
        <w:t>（10）</w:t>
      </w:r>
      <w:r>
        <w:rPr>
          <w:rFonts w:hint="eastAsia" w:ascii="仿宋_GB2312" w:hAnsi="仿宋_GB2312" w:eastAsia="仿宋_GB2312" w:cs="仿宋_GB2312"/>
          <w:color w:val="auto"/>
          <w:kern w:val="0"/>
          <w:sz w:val="28"/>
          <w:szCs w:val="28"/>
          <w:highlight w:val="none"/>
          <w:lang w:val="zh-CN"/>
        </w:rPr>
        <w:t>发生全矿停电事故，副</w:t>
      </w:r>
      <w:r>
        <w:rPr>
          <w:rFonts w:hint="eastAsia" w:ascii="仿宋_GB2312" w:hAnsi="仿宋_GB2312" w:eastAsia="仿宋_GB2312" w:cs="仿宋_GB2312"/>
          <w:color w:val="auto"/>
          <w:kern w:val="0"/>
          <w:sz w:val="28"/>
          <w:szCs w:val="28"/>
          <w:highlight w:val="none"/>
        </w:rPr>
        <w:t>立</w:t>
      </w:r>
      <w:r>
        <w:rPr>
          <w:rFonts w:hint="eastAsia" w:ascii="仿宋_GB2312" w:hAnsi="仿宋_GB2312" w:eastAsia="仿宋_GB2312" w:cs="仿宋_GB2312"/>
          <w:color w:val="auto"/>
          <w:kern w:val="0"/>
          <w:sz w:val="28"/>
          <w:szCs w:val="28"/>
          <w:highlight w:val="none"/>
          <w:lang w:val="zh-CN"/>
        </w:rPr>
        <w:t>井绞车不能运行时，应立即启动备用发电机，确保副井正常运行。</w:t>
      </w:r>
    </w:p>
    <w:p w14:paraId="05AE957F">
      <w:pPr>
        <w:spacing w:line="440" w:lineRule="exact"/>
        <w:ind w:firstLine="560" w:firstLineChars="200"/>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rPr>
        <w:t>（11）</w:t>
      </w:r>
      <w:r>
        <w:rPr>
          <w:rFonts w:hint="eastAsia" w:ascii="仿宋_GB2312" w:hAnsi="仿宋_GB2312" w:eastAsia="仿宋_GB2312" w:cs="仿宋_GB2312"/>
          <w:color w:val="auto"/>
          <w:kern w:val="0"/>
          <w:sz w:val="28"/>
          <w:szCs w:val="28"/>
          <w:highlight w:val="none"/>
          <w:lang w:val="zh-CN"/>
        </w:rPr>
        <w:t>因电气故障造成绞车过放墩罐时，副</w:t>
      </w:r>
      <w:r>
        <w:rPr>
          <w:rFonts w:hint="eastAsia" w:ascii="仿宋_GB2312" w:hAnsi="仿宋_GB2312" w:eastAsia="仿宋_GB2312" w:cs="仿宋_GB2312"/>
          <w:color w:val="auto"/>
          <w:kern w:val="0"/>
          <w:sz w:val="28"/>
          <w:szCs w:val="28"/>
          <w:highlight w:val="none"/>
        </w:rPr>
        <w:t>立</w:t>
      </w:r>
      <w:r>
        <w:rPr>
          <w:rFonts w:hint="eastAsia" w:ascii="仿宋_GB2312" w:hAnsi="仿宋_GB2312" w:eastAsia="仿宋_GB2312" w:cs="仿宋_GB2312"/>
          <w:color w:val="auto"/>
          <w:kern w:val="0"/>
          <w:sz w:val="28"/>
          <w:szCs w:val="28"/>
          <w:highlight w:val="none"/>
          <w:lang w:val="zh-CN"/>
        </w:rPr>
        <w:t>井下口把钩工应及时查看乘罐人员有无伤情及受伤程度，同时检修工及时查出副井绞车故障原因并排除，尽快恢复副</w:t>
      </w:r>
      <w:r>
        <w:rPr>
          <w:rFonts w:hint="eastAsia" w:ascii="仿宋_GB2312" w:hAnsi="仿宋_GB2312" w:eastAsia="仿宋_GB2312" w:cs="仿宋_GB2312"/>
          <w:color w:val="auto"/>
          <w:kern w:val="0"/>
          <w:sz w:val="28"/>
          <w:szCs w:val="28"/>
          <w:highlight w:val="none"/>
        </w:rPr>
        <w:t>立</w:t>
      </w:r>
      <w:r>
        <w:rPr>
          <w:rFonts w:hint="eastAsia" w:ascii="仿宋_GB2312" w:hAnsi="仿宋_GB2312" w:eastAsia="仿宋_GB2312" w:cs="仿宋_GB2312"/>
          <w:color w:val="auto"/>
          <w:kern w:val="0"/>
          <w:sz w:val="28"/>
          <w:szCs w:val="28"/>
          <w:highlight w:val="none"/>
          <w:lang w:val="zh-CN"/>
        </w:rPr>
        <w:t>井绞车运行。如果井下伤员伤情严重，副井绞车又不能恢复运行，应立即将伤员从主</w:t>
      </w:r>
      <w:r>
        <w:rPr>
          <w:rFonts w:hint="eastAsia" w:ascii="仿宋_GB2312" w:hAnsi="仿宋_GB2312" w:eastAsia="仿宋_GB2312" w:cs="仿宋_GB2312"/>
          <w:color w:val="auto"/>
          <w:kern w:val="0"/>
          <w:sz w:val="28"/>
          <w:szCs w:val="28"/>
          <w:highlight w:val="none"/>
        </w:rPr>
        <w:t>立</w:t>
      </w:r>
      <w:r>
        <w:rPr>
          <w:rFonts w:hint="eastAsia" w:ascii="仿宋_GB2312" w:hAnsi="仿宋_GB2312" w:eastAsia="仿宋_GB2312" w:cs="仿宋_GB2312"/>
          <w:color w:val="auto"/>
          <w:kern w:val="0"/>
          <w:sz w:val="28"/>
          <w:szCs w:val="28"/>
          <w:highlight w:val="none"/>
          <w:lang w:val="zh-CN"/>
        </w:rPr>
        <w:t>井运送至地面，迅速送医院救治。</w:t>
      </w:r>
    </w:p>
    <w:p w14:paraId="44CFDA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2.矿井运输事故处置措施</w:t>
      </w:r>
    </w:p>
    <w:p w14:paraId="3AA87A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运输事故发生后，在总指挥的领导下迅速组织人员展开应急抢险工作。根据规划确定委派现场工作组人选，各成员单位按照应急方案认真履行各自的职责。首先确定是否有人员伤亡，若有人伤亡应首先救人，然后再处理毁坏的设备及安全设施等。及时向上级部门汇报事故和救援工作进展情况。根据现场情况，指挥部请求上级机构协调增援。</w:t>
      </w:r>
    </w:p>
    <w:p w14:paraId="36C24A0F">
      <w:pPr>
        <w:spacing w:line="440" w:lineRule="exact"/>
        <w:ind w:firstLine="560" w:firstLineChars="200"/>
        <w:rPr>
          <w:rFonts w:ascii="仿宋_GB2312" w:hAnsi="仿宋_GB2312" w:eastAsia="仿宋_GB2312" w:cs="仿宋_GB2312"/>
          <w:color w:val="auto"/>
          <w:kern w:val="0"/>
          <w:sz w:val="28"/>
          <w:szCs w:val="28"/>
          <w:highlight w:val="none"/>
        </w:rPr>
      </w:pPr>
      <w:bookmarkStart w:id="301" w:name="_Toc31802"/>
      <w:r>
        <w:rPr>
          <w:rFonts w:hint="eastAsia" w:ascii="仿宋_GB2312" w:hAnsi="仿宋_GB2312" w:eastAsia="仿宋_GB2312" w:cs="仿宋_GB2312"/>
          <w:color w:val="auto"/>
          <w:kern w:val="0"/>
          <w:sz w:val="28"/>
          <w:szCs w:val="28"/>
          <w:highlight w:val="none"/>
        </w:rPr>
        <w:t>（1）斜巷跑车伤人事故处置措施</w:t>
      </w:r>
      <w:bookmarkEnd w:id="301"/>
    </w:p>
    <w:p w14:paraId="5A31694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斜巷发生跑车事故时，信号工必须及时利用信号与司机或其他信号工取得联系，停止运输设备运转，防止事故扩大，并立即将事故发生的地点、性质、造成危害程度及人员伤亡情况向调度室和本单位值班领导进行汇报。</w:t>
      </w:r>
    </w:p>
    <w:p w14:paraId="4A2EA6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发生跑车事故造成人员伤害的，现场人员应同时现场进行急救，对因挤、压、碾、砸等原因引起的出血人员，应采取利用绷带、毛巾包扎止血，出血严重的用包扎法止血；对因外伤窒息引起的呼吸停止人员，应用人工呼吸法进行抢救，然后护送上井。</w:t>
      </w:r>
    </w:p>
    <w:p w14:paraId="1625DA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调度室在接到事故汇报后，应根据事故响应等级并按照信息报告程序立即电话报告总经理或机电副总经理或事故单位负责人。事故应急总指挥根据事故的情况启动相应等级的辅助运输事故应急预案，组织实施救援。</w:t>
      </w:r>
    </w:p>
    <w:p w14:paraId="5FE92C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④实施救援前，必须切断绞车电源，并将开关闭锁、挂牌。绞车司机必须坚守岗位。必须将斜巷所有阻车器搬至阻车位置。</w:t>
      </w:r>
    </w:p>
    <w:p w14:paraId="5AB2812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⑤实施救援时，必须从斜巷上头向下进行救援。</w:t>
      </w:r>
    </w:p>
    <w:p w14:paraId="0DB193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⑥救援受伤人员前，必须将斜巷的车辆可靠锁牢。</w:t>
      </w:r>
    </w:p>
    <w:p w14:paraId="5760FB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⑦受伤人员救援完毕，将事故中毁坏的车辆复轨后，运至修理点修理。</w:t>
      </w:r>
    </w:p>
    <w:p w14:paraId="31910011">
      <w:pPr>
        <w:spacing w:line="440" w:lineRule="exact"/>
        <w:ind w:firstLine="560" w:firstLineChars="200"/>
        <w:rPr>
          <w:rFonts w:ascii="仿宋_GB2312" w:hAnsi="仿宋_GB2312" w:eastAsia="仿宋_GB2312" w:cs="仿宋_GB2312"/>
          <w:color w:val="auto"/>
          <w:kern w:val="0"/>
          <w:sz w:val="28"/>
          <w:szCs w:val="28"/>
          <w:highlight w:val="none"/>
        </w:rPr>
      </w:pPr>
      <w:bookmarkStart w:id="302" w:name="_Toc18324"/>
      <w:r>
        <w:rPr>
          <w:rFonts w:hint="eastAsia" w:ascii="仿宋_GB2312" w:hAnsi="仿宋_GB2312" w:eastAsia="仿宋_GB2312" w:cs="仿宋_GB2312"/>
          <w:color w:val="auto"/>
          <w:kern w:val="0"/>
          <w:sz w:val="28"/>
          <w:szCs w:val="28"/>
          <w:highlight w:val="none"/>
        </w:rPr>
        <w:t>（2）车辆掉道伤人事故处置措施</w:t>
      </w:r>
      <w:bookmarkEnd w:id="302"/>
    </w:p>
    <w:p w14:paraId="7B5E78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①车辆掉道或复道过程中发生人身事故时，现场人员立即将事故发生的地点、性质、造成危害程度及人员伤亡情况向调度室和本单位值班领导进行汇报。</w:t>
      </w:r>
    </w:p>
    <w:p w14:paraId="4FDAF2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车辆掉道事故造成人员伤害的，现场人员应同时现场进行急救，对因挤、压、碾、砸等原因引起的出血人员，应采取利用绷带、毛巾包扎止血，出血严重的用包扎法止血；对因外伤窒息引起的呼吸停止人员，应用人工呼吸法进行抢救，然后护送上井。</w:t>
      </w:r>
    </w:p>
    <w:p w14:paraId="388015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调度室在接到事故汇报后，应根据事故响应等级并按照信息报告程序立即电话报告总经理或机电副总经理或事故单位负责人。事故应急总指挥根据事故的情况启动相应等级的辅助运输事故应急预案，组织实施救援。</w:t>
      </w:r>
    </w:p>
    <w:p w14:paraId="605380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④实施救援前，在事故区域前后设置阻车设施和警戒标志，救援期间严禁与救援无关的车辆通行。</w:t>
      </w:r>
    </w:p>
    <w:p w14:paraId="3445FF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⑤实施救援时，并用</w:t>
      </w:r>
      <w:r>
        <w:rPr>
          <w:rFonts w:hint="eastAsia" w:ascii="仿宋_GB2312" w:hAnsi="仿宋_GB2312" w:eastAsia="仿宋_GB2312" w:cs="仿宋_GB2312"/>
          <w:color w:val="auto"/>
          <w:kern w:val="0"/>
          <w:sz w:val="28"/>
          <w:szCs w:val="28"/>
          <w:highlight w:val="none"/>
          <w:lang w:eastAsia="zh-CN"/>
        </w:rPr>
        <w:t>木楔</w:t>
      </w:r>
      <w:r>
        <w:rPr>
          <w:rFonts w:hint="eastAsia" w:ascii="仿宋_GB2312" w:hAnsi="仿宋_GB2312" w:eastAsia="仿宋_GB2312" w:cs="仿宋_GB2312"/>
          <w:color w:val="auto"/>
          <w:kern w:val="0"/>
          <w:sz w:val="28"/>
          <w:szCs w:val="28"/>
          <w:highlight w:val="none"/>
        </w:rPr>
        <w:t>将车轮可靠掩住，防止车辆滑动出现二次伤人。</w:t>
      </w:r>
    </w:p>
    <w:p w14:paraId="66551CB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⑥受伤人员救援完毕，及时将掉道的车辆复轨、运走。</w:t>
      </w:r>
    </w:p>
    <w:p w14:paraId="7DD02D2C">
      <w:pPr>
        <w:spacing w:line="440" w:lineRule="exact"/>
        <w:ind w:firstLine="560" w:firstLineChars="200"/>
        <w:rPr>
          <w:rFonts w:ascii="仿宋_GB2312" w:hAnsi="仿宋_GB2312" w:eastAsia="仿宋_GB2312" w:cs="仿宋_GB2312"/>
          <w:color w:val="auto"/>
          <w:kern w:val="0"/>
          <w:sz w:val="28"/>
          <w:szCs w:val="28"/>
          <w:highlight w:val="none"/>
        </w:rPr>
      </w:pPr>
      <w:bookmarkStart w:id="303" w:name="_Toc18996"/>
      <w:r>
        <w:rPr>
          <w:rFonts w:hint="eastAsia" w:ascii="仿宋_GB2312" w:hAnsi="仿宋_GB2312" w:eastAsia="仿宋_GB2312" w:cs="仿宋_GB2312"/>
          <w:color w:val="auto"/>
          <w:kern w:val="0"/>
          <w:sz w:val="28"/>
          <w:szCs w:val="28"/>
          <w:highlight w:val="none"/>
        </w:rPr>
        <w:t>（3）乘坐架空乘人装置伤人事故处置措施</w:t>
      </w:r>
      <w:bookmarkEnd w:id="303"/>
    </w:p>
    <w:p w14:paraId="290847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①乘坐架空乘人装置发生人身伤害事故时，现场人员立即停止乘坐架空乘人装置运转，立即将事故发生的地点、性质、造成危害程度及人员伤亡情况向调度室和本单位值班领导进行汇报。</w:t>
      </w:r>
    </w:p>
    <w:p w14:paraId="23D29A1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事故造成人员伤害的，现场人员应同时现场进行急救，对因挤、压、碾、砸等原因引起的出血人员，应采取利用绷带、毛巾包扎止血，出血严重的用包扎法止血；对因外伤窒息引起的呼吸停止人员，应用人工呼吸法进行抢救，然后护送上井。</w:t>
      </w:r>
    </w:p>
    <w:p w14:paraId="63A3A5C8">
      <w:pPr>
        <w:spacing w:line="440" w:lineRule="exact"/>
        <w:ind w:firstLine="560" w:firstLineChars="200"/>
        <w:rPr>
          <w:rFonts w:ascii="仿宋_GB2312" w:hAnsi="仿宋_GB2312" w:eastAsia="仿宋_GB2312" w:cs="仿宋_GB2312"/>
          <w:color w:val="auto"/>
          <w:kern w:val="0"/>
          <w:sz w:val="28"/>
          <w:szCs w:val="28"/>
          <w:highlight w:val="none"/>
        </w:rPr>
      </w:pPr>
      <w:bookmarkStart w:id="304" w:name="_Toc25532"/>
      <w:r>
        <w:rPr>
          <w:rFonts w:hint="eastAsia" w:ascii="仿宋_GB2312" w:hAnsi="仿宋_GB2312" w:eastAsia="仿宋_GB2312" w:cs="仿宋_GB2312"/>
          <w:color w:val="auto"/>
          <w:kern w:val="0"/>
          <w:sz w:val="28"/>
          <w:szCs w:val="28"/>
          <w:highlight w:val="none"/>
        </w:rPr>
        <w:t>（4）胶带运输事故伤人处置措施</w:t>
      </w:r>
      <w:bookmarkEnd w:id="304"/>
    </w:p>
    <w:p w14:paraId="5722F9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①胶带着火,立即启动火灾专项预案。</w:t>
      </w:r>
    </w:p>
    <w:p w14:paraId="00961BF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②胶带发生伤人事故时,现场人员立即停止胶带的运转，立即将事故发生的地点、性质、造成危害程度及人员伤亡情况向调度室和本单位值班领导进行汇报。</w:t>
      </w:r>
    </w:p>
    <w:p w14:paraId="1BEB99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事故造成人员伤害的，现场人员应同时现场进行急救，对因挤、压、碾、砸等原因引起的出血人员，应采取利用绷带、毛巾包扎止血，出血严重的用包扎法止血；对因外伤窒息引起的呼吸停止人员，应用人工呼吸法进行抢救，然后护送上井。</w:t>
      </w:r>
    </w:p>
    <w:p w14:paraId="58FFD8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（5）刮板输送机运输伤人处置措施</w:t>
      </w:r>
    </w:p>
    <w:p w14:paraId="6E64D64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①发生伤人事故时,现场人员立即停止刮板机的运转，立即将事故发生的地点、性质、造成危害程度及人员伤亡情况向调度室和值班领导进行汇报。</w:t>
      </w:r>
    </w:p>
    <w:p w14:paraId="3E28D7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②事故造成人员伤害的，现场人员应同时现场进行急救，对出血人员应采取利用绷带、毛巾包扎止血，出血严重的用包扎法止血；对因外伤窒息引起的呼吸停止人员，应用人工呼吸法进行抢救，然后护送上井。</w:t>
      </w:r>
    </w:p>
    <w:p w14:paraId="25C904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5.救援人员管理及注意事项</w:t>
      </w:r>
    </w:p>
    <w:p w14:paraId="37DCB5CD">
      <w:pPr>
        <w:spacing w:line="440" w:lineRule="exact"/>
        <w:ind w:firstLine="560" w:firstLineChars="200"/>
        <w:rPr>
          <w:rFonts w:ascii="仿宋_GB2312" w:hAnsi="仿宋_GB2312" w:eastAsia="仿宋_GB2312" w:cs="仿宋_GB2312"/>
          <w:color w:val="auto"/>
          <w:kern w:val="0"/>
          <w:sz w:val="28"/>
          <w:szCs w:val="28"/>
          <w:highlight w:val="none"/>
        </w:rPr>
      </w:pPr>
      <w:bookmarkStart w:id="305" w:name="10.3.2_预警行动"/>
      <w:bookmarkEnd w:id="305"/>
      <w:bookmarkStart w:id="306" w:name="10.3.4_应急行动"/>
      <w:bookmarkEnd w:id="306"/>
      <w:r>
        <w:rPr>
          <w:rFonts w:hint="eastAsia" w:ascii="仿宋_GB2312" w:hAnsi="仿宋_GB2312" w:eastAsia="仿宋_GB2312" w:cs="仿宋_GB2312"/>
          <w:color w:val="auto"/>
          <w:kern w:val="0"/>
          <w:sz w:val="28"/>
          <w:szCs w:val="28"/>
          <w:highlight w:val="none"/>
        </w:rPr>
        <w:t>（1）正确选择符合要求的防护用品，并正确佩戴。</w:t>
      </w:r>
    </w:p>
    <w:p w14:paraId="76B01AD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（2）在有毒有害气体的环境中工作时，应尽量采取通风措施，排除有毒有害气体，避免佩带呼吸器工作。</w:t>
      </w:r>
    </w:p>
    <w:p w14:paraId="665A1C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（3）救灾时，首先以救人为主，并防止事故进一步扩大。救援时，应保持头脑清醒，不得盲目行动。</w:t>
      </w:r>
    </w:p>
    <w:p w14:paraId="37283C4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（4）抢救和运送长期被困井下的人员时，要注意外部环境的突然改变，防止造成二次伤害。</w:t>
      </w:r>
    </w:p>
    <w:p w14:paraId="47DB3275">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307" w:name="_Toc15677"/>
      <w:bookmarkStart w:id="308" w:name="_Toc4613"/>
      <w:r>
        <w:rPr>
          <w:rFonts w:hint="eastAsia" w:ascii="仿宋" w:hAnsi="仿宋" w:eastAsia="仿宋" w:cs="仿宋"/>
          <w:b/>
          <w:bCs/>
          <w:color w:val="auto"/>
          <w:sz w:val="30"/>
          <w:szCs w:val="30"/>
          <w:highlight w:val="none"/>
        </w:rPr>
        <w:t>9.5 应急保障</w:t>
      </w:r>
      <w:bookmarkEnd w:id="307"/>
      <w:bookmarkEnd w:id="308"/>
    </w:p>
    <w:p w14:paraId="3899480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5.1 通信与信息保障</w:t>
      </w:r>
    </w:p>
    <w:p w14:paraId="63999F2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73F5692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4CAE53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6434B1F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37321F5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37BEB9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1C1A333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9.</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6A8CE270">
      <w:pPr>
        <w:spacing w:line="440" w:lineRule="exact"/>
        <w:ind w:firstLine="560" w:firstLineChars="200"/>
        <w:rPr>
          <w:rFonts w:ascii="仿宋" w:hAnsi="仿宋" w:eastAsia="仿宋" w:cs="仿宋"/>
          <w:b/>
          <w:bCs/>
          <w:color w:val="auto"/>
          <w:sz w:val="30"/>
          <w:szCs w:val="30"/>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30EFDEA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157786E4">
      <w:pPr>
        <w:spacing w:line="560" w:lineRule="exact"/>
        <w:ind w:firstLine="600" w:firstLineChars="200"/>
        <w:outlineLvl w:val="1"/>
        <w:rPr>
          <w:rFonts w:ascii="黑体" w:hAnsi="黑体" w:eastAsia="黑体" w:cs="黑体"/>
          <w:color w:val="auto"/>
          <w:sz w:val="30"/>
          <w:szCs w:val="30"/>
          <w:highlight w:val="none"/>
        </w:rPr>
      </w:pPr>
      <w:bookmarkStart w:id="309" w:name="_Toc2126"/>
      <w:bookmarkStart w:id="310" w:name="_Toc23757"/>
      <w:r>
        <w:rPr>
          <w:rFonts w:hint="eastAsia" w:ascii="黑体" w:hAnsi="黑体" w:eastAsia="黑体" w:cs="黑体"/>
          <w:color w:val="auto"/>
          <w:sz w:val="30"/>
          <w:szCs w:val="30"/>
          <w:highlight w:val="none"/>
        </w:rPr>
        <w:t xml:space="preserve">10 </w:t>
      </w:r>
      <w:r>
        <w:rPr>
          <w:rFonts w:hint="eastAsia" w:ascii="黑体" w:hAnsi="黑体" w:eastAsia="黑体" w:cs="黑体"/>
          <w:color w:val="auto"/>
          <w:sz w:val="30"/>
          <w:szCs w:val="30"/>
          <w:highlight w:val="none"/>
          <w:lang w:val="en-US" w:eastAsia="zh-CN"/>
        </w:rPr>
        <w:t>民用</w:t>
      </w:r>
      <w:r>
        <w:rPr>
          <w:rFonts w:hint="eastAsia" w:ascii="黑体" w:hAnsi="黑体" w:eastAsia="黑体" w:cs="黑体"/>
          <w:color w:val="auto"/>
          <w:sz w:val="30"/>
          <w:szCs w:val="30"/>
          <w:highlight w:val="none"/>
        </w:rPr>
        <w:t>爆炸物品事故专项应急预案</w:t>
      </w:r>
      <w:bookmarkEnd w:id="309"/>
      <w:bookmarkEnd w:id="310"/>
    </w:p>
    <w:p w14:paraId="1232E950">
      <w:pPr>
        <w:spacing w:line="560" w:lineRule="exact"/>
        <w:ind w:firstLine="600" w:firstLineChars="200"/>
        <w:outlineLvl w:val="2"/>
        <w:rPr>
          <w:rFonts w:ascii="楷体_GB2312" w:hAnsi="楷体_GB2312" w:eastAsia="楷体_GB2312" w:cs="楷体_GB2312"/>
          <w:color w:val="auto"/>
          <w:sz w:val="30"/>
          <w:szCs w:val="30"/>
          <w:highlight w:val="none"/>
        </w:rPr>
      </w:pPr>
      <w:bookmarkStart w:id="311" w:name="_Toc26577"/>
      <w:bookmarkStart w:id="312" w:name="_Toc8342"/>
      <w:r>
        <w:rPr>
          <w:rFonts w:hint="eastAsia" w:ascii="楷体_GB2312" w:hAnsi="楷体_GB2312" w:eastAsia="楷体_GB2312" w:cs="楷体_GB2312"/>
          <w:color w:val="auto"/>
          <w:sz w:val="30"/>
          <w:szCs w:val="30"/>
          <w:highlight w:val="none"/>
        </w:rPr>
        <w:t>10.1 适用范围</w:t>
      </w:r>
      <w:bookmarkEnd w:id="311"/>
      <w:bookmarkEnd w:id="312"/>
    </w:p>
    <w:p w14:paraId="2A20C2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本专项应急预案适用于矿井在生产过程中，可能发生或已经发生的需要启动Ⅱ级及以上应急响应的民用爆炸物品爆炸事故（包括涉险事故）的应急救援工作。</w:t>
      </w:r>
    </w:p>
    <w:p w14:paraId="5EE113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爆炸物品</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6FFD6849">
      <w:pPr>
        <w:spacing w:line="560" w:lineRule="exact"/>
        <w:ind w:firstLine="600" w:firstLineChars="200"/>
        <w:outlineLvl w:val="2"/>
        <w:rPr>
          <w:rFonts w:ascii="楷体_GB2312" w:hAnsi="楷体_GB2312" w:eastAsia="楷体_GB2312" w:cs="楷体_GB2312"/>
          <w:color w:val="auto"/>
          <w:sz w:val="30"/>
          <w:szCs w:val="30"/>
          <w:highlight w:val="none"/>
        </w:rPr>
      </w:pPr>
      <w:bookmarkStart w:id="313" w:name="_Toc216"/>
      <w:bookmarkStart w:id="314" w:name="_Toc14915"/>
      <w:r>
        <w:rPr>
          <w:rFonts w:hint="eastAsia" w:ascii="楷体_GB2312" w:hAnsi="楷体_GB2312" w:eastAsia="楷体_GB2312" w:cs="楷体_GB2312"/>
          <w:color w:val="auto"/>
          <w:sz w:val="30"/>
          <w:szCs w:val="30"/>
          <w:highlight w:val="none"/>
        </w:rPr>
        <w:t>10.2 应急组织机构及职责</w:t>
      </w:r>
      <w:bookmarkEnd w:id="313"/>
      <w:bookmarkEnd w:id="314"/>
    </w:p>
    <w:p w14:paraId="3970A6A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爆炸物品</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27D597A3">
      <w:pPr>
        <w:spacing w:line="560" w:lineRule="exact"/>
        <w:ind w:firstLine="600" w:firstLineChars="200"/>
        <w:outlineLvl w:val="2"/>
        <w:rPr>
          <w:rFonts w:ascii="楷体_GB2312" w:hAnsi="楷体_GB2312" w:eastAsia="楷体_GB2312" w:cs="楷体_GB2312"/>
          <w:color w:val="auto"/>
          <w:sz w:val="30"/>
          <w:szCs w:val="30"/>
          <w:highlight w:val="none"/>
        </w:rPr>
      </w:pPr>
      <w:bookmarkStart w:id="315" w:name="_Toc2529"/>
      <w:bookmarkStart w:id="316" w:name="_Toc25080"/>
      <w:r>
        <w:rPr>
          <w:rFonts w:hint="eastAsia" w:ascii="楷体_GB2312" w:hAnsi="楷体_GB2312" w:eastAsia="楷体_GB2312" w:cs="楷体_GB2312"/>
          <w:color w:val="auto"/>
          <w:sz w:val="30"/>
          <w:szCs w:val="30"/>
          <w:highlight w:val="none"/>
        </w:rPr>
        <w:t>10.3 响应启动</w:t>
      </w:r>
      <w:bookmarkEnd w:id="315"/>
      <w:bookmarkEnd w:id="316"/>
      <w:r>
        <w:rPr>
          <w:rFonts w:hint="eastAsia" w:ascii="楷体_GB2312" w:hAnsi="楷体_GB2312" w:eastAsia="楷体_GB2312" w:cs="楷体_GB2312"/>
          <w:color w:val="auto"/>
          <w:sz w:val="30"/>
          <w:szCs w:val="30"/>
          <w:highlight w:val="none"/>
        </w:rPr>
        <w:t xml:space="preserve"> </w:t>
      </w:r>
    </w:p>
    <w:p w14:paraId="4B7180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w:t>
      </w:r>
      <w:r>
        <w:rPr>
          <w:rFonts w:hint="eastAsia" w:ascii="仿宋_GB2312" w:hAnsi="仿宋_GB2312" w:eastAsia="仿宋_GB2312" w:cs="仿宋_GB2312"/>
          <w:color w:val="auto"/>
          <w:kern w:val="0"/>
          <w:sz w:val="28"/>
          <w:szCs w:val="28"/>
          <w:highlight w:val="none"/>
          <w:lang w:val="en-US" w:eastAsia="zh-CN"/>
        </w:rPr>
        <w:t>民用</w:t>
      </w:r>
      <w:r>
        <w:rPr>
          <w:rFonts w:hint="eastAsia" w:ascii="仿宋_GB2312" w:hAnsi="仿宋_GB2312" w:eastAsia="仿宋_GB2312" w:cs="仿宋_GB2312"/>
          <w:color w:val="auto"/>
          <w:kern w:val="0"/>
          <w:sz w:val="28"/>
          <w:szCs w:val="28"/>
          <w:highlight w:val="none"/>
        </w:rPr>
        <w:t>爆炸物品爆炸后，直接启动Ⅰ级应急响应，开展应急救援行动</w:t>
      </w:r>
    </w:p>
    <w:p w14:paraId="1B5831B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3.1 召开现场应急会议</w:t>
      </w:r>
    </w:p>
    <w:p w14:paraId="28A252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指挥部根据事故性质，通知各指挥部成员、救援专业组，单位负责人，参加现场应急会议，通报事故情况，制定现场应急救援方案，明确各应急救援工作组的任务。根据事态发展情况，随时召开应急会议。</w:t>
      </w:r>
    </w:p>
    <w:p w14:paraId="2E5AF60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3.2 信息上报</w:t>
      </w:r>
    </w:p>
    <w:p w14:paraId="31619F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4DCFB11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3.3 资源协调</w:t>
      </w:r>
    </w:p>
    <w:p w14:paraId="1A20EFB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2ED08B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6A72972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036225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0EC4AD81">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57BB7DD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3.4 信息公开</w:t>
      </w:r>
    </w:p>
    <w:p w14:paraId="6CECD5C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535AFFA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3.5 后勤及财力保障</w:t>
      </w:r>
    </w:p>
    <w:p w14:paraId="72DC12C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43BA46B9">
      <w:pPr>
        <w:spacing w:line="560" w:lineRule="exact"/>
        <w:ind w:firstLine="600" w:firstLineChars="200"/>
        <w:outlineLvl w:val="2"/>
        <w:rPr>
          <w:rFonts w:ascii="楷体_GB2312" w:hAnsi="楷体_GB2312" w:eastAsia="楷体_GB2312" w:cs="楷体_GB2312"/>
          <w:color w:val="auto"/>
          <w:sz w:val="30"/>
          <w:szCs w:val="30"/>
          <w:highlight w:val="none"/>
        </w:rPr>
      </w:pPr>
      <w:bookmarkStart w:id="317" w:name="_Toc14469"/>
      <w:bookmarkStart w:id="318" w:name="_Toc27307"/>
      <w:r>
        <w:rPr>
          <w:rFonts w:hint="eastAsia" w:ascii="楷体_GB2312" w:hAnsi="楷体_GB2312" w:eastAsia="楷体_GB2312" w:cs="楷体_GB2312"/>
          <w:color w:val="auto"/>
          <w:sz w:val="30"/>
          <w:szCs w:val="30"/>
          <w:highlight w:val="none"/>
        </w:rPr>
        <w:t>10.</w:t>
      </w:r>
      <w:r>
        <w:rPr>
          <w:rFonts w:ascii="楷体_GB2312" w:hAnsi="楷体_GB2312" w:eastAsia="楷体_GB2312" w:cs="楷体_GB2312"/>
          <w:color w:val="auto"/>
          <w:sz w:val="30"/>
          <w:szCs w:val="30"/>
          <w:highlight w:val="none"/>
        </w:rPr>
        <w:t>4 处置措施</w:t>
      </w:r>
      <w:bookmarkEnd w:id="317"/>
      <w:bookmarkEnd w:id="318"/>
    </w:p>
    <w:p w14:paraId="2558386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爆炸物品</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lang w:val="en-US" w:eastAsia="zh-CN"/>
        </w:rPr>
        <w:t>重大</w:t>
      </w:r>
      <w:r>
        <w:rPr>
          <w:rFonts w:ascii="仿宋_GB2312" w:hAnsi="仿宋_GB2312" w:eastAsia="仿宋_GB2312" w:cs="仿宋_GB2312"/>
          <w:color w:val="auto"/>
          <w:kern w:val="0"/>
          <w:sz w:val="28"/>
          <w:szCs w:val="28"/>
          <w:highlight w:val="none"/>
        </w:rPr>
        <w:t>风险。</w:t>
      </w:r>
    </w:p>
    <w:p w14:paraId="458A33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井下爆破材料库存放的炸药、雷管内部发生化学反应或遇高温热源、撞击摩擦、静电、射频波等，如果发生爆炸、燃烧事故，产生大量有毒有害气体可直接进入矿井水平大巷，爆炸可能会摧毁巷道，严重破坏通风系统，造成人员中毒，影响整个矿井。爆炸物品在采掘等作业地点使用过程中发生爆炸，可造成人员伤亡，破坏采区通风设施，产生有毒有害气体，还可能引发煤尘、瓦斯爆炸、火灾事故等风险。将影响采掘工作面附近，如果通风系统被破坏时，将影响整个采区的安全。</w:t>
      </w:r>
    </w:p>
    <w:p w14:paraId="2BC5B18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4.1 应急处置指导原则</w:t>
      </w:r>
    </w:p>
    <w:p w14:paraId="361B6B8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5A869AA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04D66CA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004B4B1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77A85C9B">
      <w:pPr>
        <w:spacing w:line="56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10.4.2 应急处置措施</w:t>
      </w:r>
    </w:p>
    <w:p w14:paraId="6DAC00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w:t>
      </w:r>
      <w:r>
        <w:rPr>
          <w:rFonts w:hint="eastAsia" w:ascii="仿宋_GB2312" w:hAnsi="仿宋_GB2312" w:eastAsia="仿宋_GB2312" w:cs="仿宋_GB2312"/>
          <w:color w:val="auto"/>
          <w:kern w:val="0"/>
          <w:sz w:val="28"/>
          <w:szCs w:val="28"/>
          <w:highlight w:val="none"/>
          <w:lang w:val="en-US" w:eastAsia="zh-CN"/>
        </w:rPr>
        <w:t>民用</w:t>
      </w:r>
      <w:r>
        <w:rPr>
          <w:rFonts w:hint="eastAsia" w:ascii="仿宋_GB2312" w:hAnsi="仿宋_GB2312" w:eastAsia="仿宋_GB2312" w:cs="仿宋_GB2312"/>
          <w:color w:val="auto"/>
          <w:kern w:val="0"/>
          <w:sz w:val="28"/>
          <w:szCs w:val="28"/>
          <w:highlight w:val="none"/>
        </w:rPr>
        <w:t>爆炸物品</w:t>
      </w:r>
      <w:r>
        <w:rPr>
          <w:rFonts w:hint="eastAsia" w:ascii="仿宋_GB2312" w:hAnsi="仿宋_GB2312" w:eastAsia="仿宋_GB2312" w:cs="仿宋_GB2312"/>
          <w:color w:val="auto"/>
          <w:kern w:val="0"/>
          <w:sz w:val="28"/>
          <w:szCs w:val="28"/>
          <w:highlight w:val="none"/>
          <w:lang w:val="en-US" w:eastAsia="zh-CN"/>
        </w:rPr>
        <w:t>爆炸</w:t>
      </w:r>
      <w:r>
        <w:rPr>
          <w:rFonts w:hint="eastAsia" w:ascii="仿宋_GB2312" w:hAnsi="仿宋_GB2312" w:eastAsia="仿宋_GB2312" w:cs="仿宋_GB2312"/>
          <w:color w:val="auto"/>
          <w:kern w:val="0"/>
          <w:sz w:val="28"/>
          <w:szCs w:val="28"/>
          <w:highlight w:val="none"/>
        </w:rPr>
        <w:t>事故后，现场负责人立即启动现场处置方案，停止作业、切断电源，发出警报并按避灾路线撤离，并立即向调度室汇报，在确保安全的情况下组织开展自救和互救。</w:t>
      </w:r>
    </w:p>
    <w:p w14:paraId="04BC1E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接到事故汇报后，迅速了解爆炸物品爆炸事故的发生位置、波及范围、人员伤亡情况和现场通风情况，了解通风是否畅通、瓦斯浓度有无变化，根据灾情确定停电范围，下达停电撤人命令。调度员立即通过井下语音广播系统、调度通讯系统、人员位置监测系统紧急呼叫等，3分钟通知到井下所有人员撤离。调度室要利用井下人员位置监测系统对井下人员撤离情况进行监测，准确掌握井下人员的撤离情况。</w:t>
      </w:r>
    </w:p>
    <w:p w14:paraId="3A6B79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（3）通知专（兼）职救护队和内蒙能源医院集合待命，并立即报告值班矿领导和矿主要领导，通知指挥部成员、各救援小组到调度室或指定地点集合。</w:t>
      </w:r>
    </w:p>
    <w:p w14:paraId="0F48F4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（4）调度室利用安全监控系统不间断监测矿井各地点环境参数等情况，对监测数据进行分析，发生异常立即报告指挥部。</w:t>
      </w:r>
    </w:p>
    <w:p w14:paraId="4E0763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（5）指挥部根据灾情分析判断通风系统破坏程度及发生连续爆炸、火灾的可能性，积极研究制定救灾方案，并根据灾情发展及时调整优化方案。</w:t>
      </w:r>
    </w:p>
    <w:p w14:paraId="024683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（6）救护队按照救援方案携带必要技术装备入井，按照《矿山救援规程》有关规定进行灾区侦察、搜救遇险遇难人员，恢复巷道通风等。</w:t>
      </w:r>
    </w:p>
    <w:p w14:paraId="28F4CB3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（7）爆炸后发生冒顶，造成巷道堵塞，影响救护队员进行侦察抢救时，应考虑清理堵塞物的时间；若巷道堵塞严重，救护队员在短时间内不能清除时，应考虑其他能尽快恢复通风救人的可行办法。</w:t>
      </w:r>
    </w:p>
    <w:p w14:paraId="67E694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（8）爆炸产生火灾，应同时进行灭火和救人，并采取防止再次发生爆炸的措施，派专人监测瓦斯，当瓦斯浓度达到2％以上，并继续增加有爆炸危险时，必须把救护人员撤到安全地点。</w:t>
      </w:r>
    </w:p>
    <w:p w14:paraId="68C491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爆炸事故发生在井筒、井底车场或石门时，在侦查确定没有火源，无爆炸危险的情况下，尽快恢复通风，救人和恢复通风应同时进行。如果有害气体严重威胁回风流方向的人员，在进风方向的人员已安全撤退的情况下，可采取区域反风，救护队进入原回风侧引导人员撤离灾区。采取反风措施要慎重进行，未经周密研究不允许行动。</w:t>
      </w:r>
    </w:p>
    <w:p w14:paraId="11F74E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（10）爆炸事故发生在采煤工作面时，应沿进风侧和回风侧进入救人，在此期间必须维持通风系统原状。</w:t>
      </w:r>
    </w:p>
    <w:p w14:paraId="6825B2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（11）爆炸事故发生在炸药库时，应沿进风侧进入救人，回风系统内作业人员立即佩戴自救器通过最近的联络巷进入进风大巷撤离。</w:t>
      </w:r>
    </w:p>
    <w:p w14:paraId="01D6688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（12）爆炸事故发生在掘进工作面时，如遇独头巷道距离较长、有害气体浓度大、支架支护损坏严重的情况，严禁冒险进入工作；在恢复通风、进行临时支护后，确认没有火源方可进入救援。</w:t>
      </w:r>
    </w:p>
    <w:p w14:paraId="64C5E6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（13）对升井伤员，及时进行救治，严重伤员应立即转往内蒙能源医院救治。</w:t>
      </w:r>
    </w:p>
    <w:p w14:paraId="28767F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（14）有关区队、人员位置监测系统准确统计当班井下人数及姓名；统计已上井的人数及姓名，分析灾区人员数量及分布。</w:t>
      </w:r>
    </w:p>
    <w:p w14:paraId="4B4BD0A8">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319" w:name="_Toc14801"/>
      <w:bookmarkStart w:id="320" w:name="_Toc31307"/>
      <w:r>
        <w:rPr>
          <w:rFonts w:hint="eastAsia" w:ascii="仿宋" w:hAnsi="仿宋" w:eastAsia="仿宋" w:cs="仿宋"/>
          <w:b/>
          <w:bCs/>
          <w:color w:val="auto"/>
          <w:sz w:val="30"/>
          <w:szCs w:val="30"/>
          <w:highlight w:val="none"/>
        </w:rPr>
        <w:t>10.5 应急保障</w:t>
      </w:r>
      <w:bookmarkEnd w:id="319"/>
      <w:bookmarkEnd w:id="320"/>
    </w:p>
    <w:p w14:paraId="1F326613">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5.1 通信与信息保障</w:t>
      </w:r>
    </w:p>
    <w:p w14:paraId="7F9303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31B88A8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049CCC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0BCBAA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507FF5B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3631F8C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7FF7264E">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10.</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2E94093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649111D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07B7155E">
      <w:pPr>
        <w:spacing w:line="560" w:lineRule="exact"/>
        <w:ind w:firstLine="600" w:firstLineChars="200"/>
        <w:outlineLvl w:val="1"/>
        <w:rPr>
          <w:rFonts w:ascii="黑体" w:hAnsi="黑体" w:eastAsia="黑体" w:cs="黑体"/>
          <w:color w:val="auto"/>
          <w:sz w:val="30"/>
          <w:szCs w:val="30"/>
          <w:highlight w:val="none"/>
        </w:rPr>
      </w:pPr>
      <w:bookmarkStart w:id="321" w:name="_Toc1139"/>
      <w:bookmarkStart w:id="322" w:name="_Toc7479"/>
      <w:r>
        <w:rPr>
          <w:rFonts w:hint="eastAsia" w:ascii="黑体" w:hAnsi="黑体" w:eastAsia="黑体" w:cs="黑体"/>
          <w:color w:val="auto"/>
          <w:sz w:val="30"/>
          <w:szCs w:val="30"/>
          <w:highlight w:val="none"/>
        </w:rPr>
        <w:t xml:space="preserve">11 </w:t>
      </w:r>
      <w:r>
        <w:rPr>
          <w:rFonts w:hint="eastAsia" w:ascii="黑体" w:hAnsi="黑体" w:eastAsia="黑体" w:cs="黑体"/>
          <w:color w:val="auto"/>
          <w:sz w:val="30"/>
          <w:szCs w:val="30"/>
          <w:highlight w:val="none"/>
          <w:lang w:val="en-US" w:eastAsia="zh-CN"/>
        </w:rPr>
        <w:t>煤仓</w:t>
      </w:r>
      <w:r>
        <w:rPr>
          <w:rFonts w:hint="eastAsia" w:ascii="黑体" w:hAnsi="黑体" w:eastAsia="黑体" w:cs="黑体"/>
          <w:color w:val="auto"/>
          <w:sz w:val="30"/>
          <w:szCs w:val="30"/>
          <w:highlight w:val="none"/>
        </w:rPr>
        <w:t>事故专项应急预案</w:t>
      </w:r>
      <w:bookmarkEnd w:id="321"/>
      <w:bookmarkEnd w:id="322"/>
    </w:p>
    <w:p w14:paraId="2133056A">
      <w:pPr>
        <w:spacing w:line="560" w:lineRule="exact"/>
        <w:ind w:firstLine="600" w:firstLineChars="200"/>
        <w:outlineLvl w:val="2"/>
        <w:rPr>
          <w:rFonts w:ascii="楷体_GB2312" w:hAnsi="楷体_GB2312" w:eastAsia="楷体_GB2312" w:cs="楷体_GB2312"/>
          <w:color w:val="auto"/>
          <w:sz w:val="30"/>
          <w:szCs w:val="30"/>
          <w:highlight w:val="none"/>
        </w:rPr>
      </w:pPr>
      <w:bookmarkStart w:id="323" w:name="_Toc22608"/>
      <w:bookmarkStart w:id="324" w:name="_Toc20564"/>
      <w:r>
        <w:rPr>
          <w:rFonts w:hint="eastAsia" w:ascii="楷体_GB2312" w:hAnsi="楷体_GB2312" w:eastAsia="楷体_GB2312" w:cs="楷体_GB2312"/>
          <w:color w:val="auto"/>
          <w:sz w:val="30"/>
          <w:szCs w:val="30"/>
          <w:highlight w:val="none"/>
        </w:rPr>
        <w:t>11.1 适用范围</w:t>
      </w:r>
      <w:bookmarkEnd w:id="323"/>
      <w:bookmarkEnd w:id="324"/>
    </w:p>
    <w:p w14:paraId="54487EE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w:t>
      </w:r>
      <w:r>
        <w:rPr>
          <w:rFonts w:hint="eastAsia" w:ascii="仿宋_GB2312" w:hAnsi="仿宋_GB2312" w:eastAsia="仿宋_GB2312" w:cs="仿宋_GB2312"/>
          <w:color w:val="auto"/>
          <w:kern w:val="0"/>
          <w:sz w:val="28"/>
          <w:szCs w:val="28"/>
          <w:highlight w:val="none"/>
          <w:lang w:val="en-US" w:eastAsia="zh-CN"/>
        </w:rPr>
        <w:t>井</w:t>
      </w:r>
      <w:r>
        <w:rPr>
          <w:rFonts w:hint="eastAsia" w:ascii="仿宋_GB2312" w:hAnsi="仿宋_GB2312" w:eastAsia="仿宋_GB2312" w:cs="仿宋_GB2312"/>
          <w:color w:val="auto"/>
          <w:kern w:val="0"/>
          <w:sz w:val="28"/>
          <w:szCs w:val="28"/>
          <w:highlight w:val="none"/>
        </w:rPr>
        <w:t>在生产过程中，可能发生或已经发生的煤仓溃仓（坍塌）、坠仓（高处坠落）、堵仓（其他）等，需要启动Ⅱ级及以上应急响应的煤仓事故（包括涉险事故）的应急救援工作。</w:t>
      </w:r>
    </w:p>
    <w:p w14:paraId="543B75D8">
      <w:pPr>
        <w:spacing w:line="440" w:lineRule="exact"/>
        <w:ind w:firstLine="560" w:firstLineChars="200"/>
        <w:rPr>
          <w:rFonts w:ascii="仿宋_GB2312" w:hAnsi="仿宋_GB2312" w:eastAsia="仿宋_GB2312" w:cs="仿宋_GB2312"/>
          <w:color w:val="auto"/>
          <w:sz w:val="30"/>
          <w:szCs w:val="30"/>
          <w:highlight w:val="none"/>
        </w:rPr>
      </w:pPr>
      <w:r>
        <w:rPr>
          <w:rFonts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lang w:val="en-US" w:eastAsia="zh-CN"/>
        </w:rPr>
        <w:t>煤仓</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39D0F05F">
      <w:pPr>
        <w:spacing w:line="560" w:lineRule="exact"/>
        <w:ind w:firstLine="600" w:firstLineChars="200"/>
        <w:outlineLvl w:val="2"/>
        <w:rPr>
          <w:rFonts w:ascii="楷体_GB2312" w:hAnsi="楷体_GB2312" w:eastAsia="楷体_GB2312" w:cs="楷体_GB2312"/>
          <w:color w:val="auto"/>
          <w:sz w:val="30"/>
          <w:szCs w:val="30"/>
          <w:highlight w:val="none"/>
        </w:rPr>
      </w:pPr>
      <w:bookmarkStart w:id="325" w:name="_Toc9600"/>
      <w:bookmarkStart w:id="326" w:name="_Toc28007"/>
      <w:r>
        <w:rPr>
          <w:rFonts w:hint="eastAsia" w:ascii="楷体_GB2312" w:hAnsi="楷体_GB2312" w:eastAsia="楷体_GB2312" w:cs="楷体_GB2312"/>
          <w:color w:val="auto"/>
          <w:sz w:val="30"/>
          <w:szCs w:val="30"/>
          <w:highlight w:val="none"/>
        </w:rPr>
        <w:t>11.2 应急组织机构及职责</w:t>
      </w:r>
      <w:bookmarkEnd w:id="325"/>
      <w:bookmarkEnd w:id="326"/>
    </w:p>
    <w:p w14:paraId="3C99FFB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lang w:val="en-US" w:eastAsia="zh-CN"/>
        </w:rPr>
        <w:t>煤仓</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w:t>
      </w:r>
      <w:r>
        <w:rPr>
          <w:rFonts w:hint="eastAsia" w:ascii="仿宋_GB2312" w:hAnsi="仿宋_GB2312" w:eastAsia="仿宋_GB2312" w:cs="仿宋_GB2312"/>
          <w:color w:val="auto"/>
          <w:kern w:val="0"/>
          <w:sz w:val="28"/>
          <w:szCs w:val="28"/>
          <w:highlight w:val="none"/>
        </w:rPr>
        <w:t>机电副总经理</w:t>
      </w:r>
      <w:r>
        <w:rPr>
          <w:rFonts w:ascii="仿宋_GB2312" w:hAnsi="仿宋_GB2312" w:eastAsia="仿宋_GB2312" w:cs="仿宋_GB2312"/>
          <w:color w:val="auto"/>
          <w:kern w:val="0"/>
          <w:sz w:val="28"/>
          <w:szCs w:val="28"/>
          <w:highlight w:val="none"/>
        </w:rPr>
        <w:t>担任；其他执行综合应急预案“2应急组织机构及职责”相关规定。</w:t>
      </w:r>
    </w:p>
    <w:p w14:paraId="1EF4D954">
      <w:pPr>
        <w:spacing w:line="560" w:lineRule="exact"/>
        <w:ind w:firstLine="600" w:firstLineChars="200"/>
        <w:outlineLvl w:val="2"/>
        <w:rPr>
          <w:rFonts w:ascii="楷体_GB2312" w:hAnsi="楷体_GB2312" w:eastAsia="楷体_GB2312" w:cs="楷体_GB2312"/>
          <w:color w:val="auto"/>
          <w:sz w:val="30"/>
          <w:szCs w:val="30"/>
          <w:highlight w:val="none"/>
        </w:rPr>
      </w:pPr>
      <w:bookmarkStart w:id="327" w:name="_Toc1291"/>
      <w:bookmarkStart w:id="328" w:name="_Toc1825"/>
      <w:r>
        <w:rPr>
          <w:rFonts w:hint="eastAsia" w:ascii="楷体_GB2312" w:hAnsi="楷体_GB2312" w:eastAsia="楷体_GB2312" w:cs="楷体_GB2312"/>
          <w:color w:val="auto"/>
          <w:sz w:val="30"/>
          <w:szCs w:val="30"/>
          <w:highlight w:val="none"/>
        </w:rPr>
        <w:t>11.3 响应启动</w:t>
      </w:r>
      <w:bookmarkEnd w:id="327"/>
      <w:bookmarkEnd w:id="328"/>
      <w:r>
        <w:rPr>
          <w:rFonts w:hint="eastAsia" w:ascii="楷体_GB2312" w:hAnsi="楷体_GB2312" w:eastAsia="楷体_GB2312" w:cs="楷体_GB2312"/>
          <w:color w:val="auto"/>
          <w:sz w:val="30"/>
          <w:szCs w:val="30"/>
          <w:highlight w:val="none"/>
        </w:rPr>
        <w:t xml:space="preserve"> </w:t>
      </w:r>
    </w:p>
    <w:p w14:paraId="25EAEED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煤仓溃仓（坍塌）事故、坠仓（高处坠落）事故启动Ⅱ级应急响应；煤仓事故造成人员伤亡达到Ⅰ级应急响应条件的，启动Ⅰ级应急响应。</w:t>
      </w:r>
    </w:p>
    <w:p w14:paraId="7D3EE63A">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3.1 召开现场应急会议</w:t>
      </w:r>
    </w:p>
    <w:p w14:paraId="206A40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煤仓事故应急会议由总指挥主持召开。启动Ⅱ级响应的煤仓事故由第一副总指挥根据事故严重程度和救援难度，抽调综合协调组、抢险救灾组、技术专家组、安全监督组、医疗救护组有关成员参加应急会议，安排部署现场应急处置和救援工作。第一副总指挥根据事故现场的救援需要及人员伤害情况，必要时通知物资供应组、警戒保卫组、后勤保障组、信息发布组、善后处理组等应急救援工作组有关成员参加后续应急会议，并参加应急救援工作。</w:t>
      </w:r>
    </w:p>
    <w:p w14:paraId="20DF546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3.2 信息上报</w:t>
      </w:r>
    </w:p>
    <w:p w14:paraId="7C50CDE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2F4B8009">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3.3 资源协调</w:t>
      </w:r>
    </w:p>
    <w:p w14:paraId="768B3AE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6E09345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rPr>
        <w:t>上海庙消防大队</w:t>
      </w:r>
      <w:r>
        <w:rPr>
          <w:rFonts w:ascii="仿宋_GB2312" w:hAnsi="仿宋_GB2312" w:eastAsia="仿宋_GB2312" w:cs="仿宋_GB2312"/>
          <w:color w:val="auto"/>
          <w:kern w:val="0"/>
          <w:sz w:val="28"/>
          <w:szCs w:val="28"/>
          <w:highlight w:val="none"/>
        </w:rPr>
        <w:t>到矿搜救受伤或涉险人员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0CC11C3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57C66E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18131D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1B36615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3.4 信息公开</w:t>
      </w:r>
    </w:p>
    <w:p w14:paraId="7A59FB7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4337B5F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3.5 后勤及财力保障</w:t>
      </w:r>
    </w:p>
    <w:p w14:paraId="128017B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01271872">
      <w:pPr>
        <w:spacing w:line="560" w:lineRule="exact"/>
        <w:ind w:firstLine="600" w:firstLineChars="200"/>
        <w:outlineLvl w:val="2"/>
        <w:rPr>
          <w:rFonts w:ascii="楷体_GB2312" w:hAnsi="楷体_GB2312" w:eastAsia="楷体_GB2312" w:cs="楷体_GB2312"/>
          <w:color w:val="auto"/>
          <w:sz w:val="30"/>
          <w:szCs w:val="30"/>
          <w:highlight w:val="none"/>
        </w:rPr>
      </w:pPr>
      <w:bookmarkStart w:id="329" w:name="_Toc24217"/>
      <w:bookmarkStart w:id="330" w:name="_Toc30909"/>
      <w:r>
        <w:rPr>
          <w:rFonts w:hint="eastAsia" w:ascii="楷体_GB2312" w:hAnsi="楷体_GB2312" w:eastAsia="楷体_GB2312" w:cs="楷体_GB2312"/>
          <w:color w:val="auto"/>
          <w:sz w:val="30"/>
          <w:szCs w:val="30"/>
          <w:highlight w:val="none"/>
        </w:rPr>
        <w:t>11.</w:t>
      </w:r>
      <w:r>
        <w:rPr>
          <w:rFonts w:ascii="楷体_GB2312" w:hAnsi="楷体_GB2312" w:eastAsia="楷体_GB2312" w:cs="楷体_GB2312"/>
          <w:color w:val="auto"/>
          <w:sz w:val="30"/>
          <w:szCs w:val="30"/>
          <w:highlight w:val="none"/>
        </w:rPr>
        <w:t>4 处置措施</w:t>
      </w:r>
      <w:bookmarkEnd w:id="329"/>
      <w:bookmarkEnd w:id="330"/>
    </w:p>
    <w:p w14:paraId="0154827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lang w:val="en-US" w:eastAsia="zh-CN"/>
        </w:rPr>
        <w:t>煤仓事故</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lang w:val="en-US" w:eastAsia="zh-CN"/>
        </w:rPr>
        <w:t>重大</w:t>
      </w:r>
      <w:r>
        <w:rPr>
          <w:rFonts w:ascii="仿宋_GB2312" w:hAnsi="仿宋_GB2312" w:eastAsia="仿宋_GB2312" w:cs="仿宋_GB2312"/>
          <w:color w:val="auto"/>
          <w:kern w:val="0"/>
          <w:sz w:val="28"/>
          <w:szCs w:val="28"/>
          <w:highlight w:val="none"/>
        </w:rPr>
        <w:t>风险。</w:t>
      </w:r>
    </w:p>
    <w:p w14:paraId="39819B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危害程度和影响范围：煤仓上口作业时，人员可能发生高处坠入煤仓；大量潮湿黏着煤（矸石）、泥水混合物进入煤仓造成堵仓；堵仓处置不当或煤仓内煤泥与积水瞬间大量涌出，造成溃仓。煤仓溃仓（坍塌）、坠仓（高处坠落）、堵仓（其他）等事故，影响矿井原煤或矸石运输，威胁现场人员安全，或造成</w:t>
      </w:r>
      <w:r>
        <w:rPr>
          <w:rFonts w:hint="eastAsia" w:ascii="仿宋_GB2312" w:hAnsi="仿宋_GB2312" w:eastAsia="仿宋_GB2312" w:cs="仿宋_GB2312"/>
          <w:color w:val="auto"/>
          <w:kern w:val="0"/>
          <w:sz w:val="28"/>
          <w:szCs w:val="28"/>
          <w:highlight w:val="none"/>
          <w:lang w:val="en-US" w:eastAsia="zh-CN"/>
        </w:rPr>
        <w:t>人员</w:t>
      </w:r>
      <w:r>
        <w:rPr>
          <w:rFonts w:hint="eastAsia" w:ascii="仿宋_GB2312" w:hAnsi="仿宋_GB2312" w:eastAsia="仿宋_GB2312" w:cs="仿宋_GB2312"/>
          <w:color w:val="auto"/>
          <w:kern w:val="0"/>
          <w:sz w:val="28"/>
          <w:szCs w:val="28"/>
          <w:highlight w:val="none"/>
        </w:rPr>
        <w:t>伤亡、设备损坏等经济损失。因此，需制定相应的应急处置措施:</w:t>
      </w:r>
    </w:p>
    <w:p w14:paraId="0B9BA25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4.1 应急处置指导原则</w:t>
      </w:r>
    </w:p>
    <w:p w14:paraId="386D1C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02BB349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（2）坚持以人为本、生命至上原则，发生事故后迅速组织危险区域人员撤离，切实加强应急救援人员的安全防护，最大限度地减少事故造成的人员伤亡和危害，避免次生灾害事故发生。</w:t>
      </w:r>
    </w:p>
    <w:p w14:paraId="5218EA3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3A0A6F2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1AE38F99">
      <w:pPr>
        <w:spacing w:line="56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11.4.2 应急处置措施</w:t>
      </w:r>
    </w:p>
    <w:p w14:paraId="35B69D8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1.综合应急处置措施</w:t>
      </w:r>
    </w:p>
    <w:p w14:paraId="1531228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事故发生后，事故现场负责人应立即启动现场处置方案，根据事故危害程度，开展现场应急处置和自救互救，并在确保安全的前提下向矿调度室和工区值班领导汇报事故情况。现场处置威胁人员安全的，现场作业人员应第一时间撤离危险区域。</w:t>
      </w:r>
    </w:p>
    <w:p w14:paraId="41CACBD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（2）调度室应立即报告值班矿领导、矿长、带班矿领导、分管副矿长，同时通知协议救援队到矿实施救援。带班矿领导应立即赶赴事故地点指导应急处置和救援。</w:t>
      </w:r>
    </w:p>
    <w:p w14:paraId="3E6A4DE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（3）指挥部总指挥立即启动本预案。煤仓溃仓（坍塌）事故造成人员伤亡达到Ⅰ级应急响应条件的，启动Ⅰ级应急响应。指挥部成员、各救援工作组、专兼职救援队伍和翟镇医院，按各自职责实施应急救援。</w:t>
      </w:r>
    </w:p>
    <w:p w14:paraId="0DF6CAE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事故发生后，现场人员应立即停止事故现场设备（给煤机等）和上仓口入仓设备（带式输送机等）运行，发出警报，必要时切断其供电电源。若有人员遇险或伤亡，现场人员应立即组织抢救遇险人员。事故现场负责人应核实清楚遇险人员数量，观测煤仓内氧气、有毒有害气体浓度以及积水等情况。</w:t>
      </w:r>
    </w:p>
    <w:p w14:paraId="6622014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（5）遇险人员救出至安全地点后，应对伤员进行临时抢救等紧急处理措施，迅速移交专业医护人员送医院救治。不能立即救出的，在采取技术措施后施救，同时采取措施避免被困人员受到二次伤害。</w:t>
      </w:r>
    </w:p>
    <w:p w14:paraId="5263468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2.煤仓溃仓（坍塌）事故应急处置措施</w:t>
      </w:r>
    </w:p>
    <w:p w14:paraId="12E4190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（1）发生煤仓溃仓（坍塌）事故，第一副总指挥接报后应当组织现场勘查，根据勘查情况安排技术专家组研究制定安全技术措施，经总指挥批准后方可施工。严禁擅自盲目处理。</w:t>
      </w:r>
    </w:p>
    <w:p w14:paraId="285ADE5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（2）现场处置作业时必须有矿领导在现场监督指导，配备安全监护人员，并严格控制现场作业人数。</w:t>
      </w:r>
    </w:p>
    <w:p w14:paraId="7AD2CC3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（3）检查是否有继续溃仓的危险，确认没有发生二次溃仓风险，可组织人员清理下仓口。如有埋压人员，尽快搜寻遇险人员进行抢救。</w:t>
      </w:r>
    </w:p>
    <w:p w14:paraId="0C8AA8A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（4）处置溃仓时，必须明确给煤机闸板操作流程及现场安全监护人员职责，加强煤仓内水、煤仓位及给煤机闸板观测。在保证施工人员安全的前提下，适当调整给煤机闸板。</w:t>
      </w:r>
    </w:p>
    <w:p w14:paraId="27A11B4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（5）需要操作给煤机时，给煤机司机要按照流程在安全位置远距离操作，严防发生二次溃仓事故危及现场人员安全。</w:t>
      </w:r>
    </w:p>
    <w:p w14:paraId="327B34C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（6）处置溃仓时，施工区域设置警戒线，防止其他人员误入，确保施工人员站位安全。</w:t>
      </w:r>
    </w:p>
    <w:p w14:paraId="1DDD842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（7）出现给煤机塌落或仓底坠毁的，技术专家组要研究制定详细的安全技术措施，组织现场经验丰富的人员进行处置。</w:t>
      </w:r>
    </w:p>
    <w:p w14:paraId="69A484B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3.煤仓坠仓（高处坠落）事故应急处置措施</w:t>
      </w:r>
    </w:p>
    <w:p w14:paraId="451F0EC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人员坠入煤仓（溜煤眼）事故时，现场人员应立即停止上仓口带式输送机运行，并汇报调度室，通知给煤机司机停止给煤机运行。实现集中或远距离控制的煤仓系统，应及时通知中心控制室停止给煤机运行。</w:t>
      </w:r>
    </w:p>
    <w:p w14:paraId="5FEB8BD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（2）现场作业人员在具备救人条件时应及时组织抢救。需人员入仓救援的，应研究制定安全技术措施。救援人员必须全程佩戴安全带，且安全带有可靠固定点，严禁从煤仓下方进入煤仓。</w:t>
      </w:r>
    </w:p>
    <w:p w14:paraId="2F07830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（3）救援人员进入煤仓前，应先行检测煤仓内有毒有害气体、氧气浓度，探察积水以及煤仓周边安全状况，煤仓上口有专人观察，在保证安全的情况下进行救援。</w:t>
      </w:r>
    </w:p>
    <w:p w14:paraId="10993D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（4）若人员被仓内积煤埋压，技术专家组应立即制定救援方案和安全技术措施，组织经验丰富的人员进行处置。现场处置作业时必须有矿领导在现场监督指导，配备安全监护人员，并严格控制现场作业人数</w:t>
      </w:r>
      <w:r>
        <w:rPr>
          <w:rFonts w:hint="eastAsia" w:ascii="仿宋_GB2312" w:hAnsi="仿宋_GB2312" w:eastAsia="仿宋_GB2312" w:cs="仿宋_GB2312"/>
          <w:color w:val="auto"/>
          <w:kern w:val="0"/>
          <w:sz w:val="28"/>
          <w:szCs w:val="28"/>
          <w:highlight w:val="none"/>
        </w:rPr>
        <w:t>。</w:t>
      </w:r>
    </w:p>
    <w:p w14:paraId="12C0C495">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331" w:name="_Toc16626"/>
      <w:bookmarkStart w:id="332" w:name="_Toc29342"/>
      <w:r>
        <w:rPr>
          <w:rFonts w:hint="eastAsia" w:ascii="仿宋" w:hAnsi="仿宋" w:eastAsia="仿宋" w:cs="仿宋"/>
          <w:b/>
          <w:bCs/>
          <w:color w:val="auto"/>
          <w:sz w:val="30"/>
          <w:szCs w:val="30"/>
          <w:highlight w:val="none"/>
        </w:rPr>
        <w:t>11.5 应急保障</w:t>
      </w:r>
      <w:bookmarkEnd w:id="331"/>
      <w:bookmarkEnd w:id="332"/>
    </w:p>
    <w:p w14:paraId="67BEA0C4">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5.1 通信与信息保障</w:t>
      </w:r>
    </w:p>
    <w:p w14:paraId="3C19D6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1DD43BAF">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2170752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376AC26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650CE7E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1B2189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3062EF7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11.</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13F7976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2210793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4D9BF0EA">
      <w:pPr>
        <w:spacing w:line="520" w:lineRule="exact"/>
        <w:ind w:firstLine="600" w:firstLineChars="200"/>
        <w:outlineLvl w:val="0"/>
        <w:rPr>
          <w:rFonts w:ascii="黑体" w:hAnsi="黑体" w:eastAsia="黑体" w:cs="黑体"/>
          <w:color w:val="auto"/>
          <w:sz w:val="30"/>
          <w:szCs w:val="30"/>
          <w:highlight w:val="none"/>
        </w:rPr>
      </w:pPr>
      <w:bookmarkStart w:id="333" w:name="_Toc7051"/>
      <w:bookmarkStart w:id="334" w:name="_Toc8784"/>
      <w:r>
        <w:rPr>
          <w:rFonts w:hint="eastAsia" w:ascii="黑体" w:hAnsi="黑体" w:eastAsia="黑体" w:cs="黑体"/>
          <w:color w:val="auto"/>
          <w:sz w:val="30"/>
          <w:szCs w:val="30"/>
          <w:highlight w:val="none"/>
        </w:rPr>
        <w:t>12 自然灾害事故专项应急预案</w:t>
      </w:r>
      <w:bookmarkEnd w:id="333"/>
      <w:bookmarkEnd w:id="334"/>
    </w:p>
    <w:p w14:paraId="706D3832">
      <w:pPr>
        <w:spacing w:line="560" w:lineRule="exact"/>
        <w:ind w:firstLine="602" w:firstLineChars="200"/>
        <w:outlineLvl w:val="2"/>
        <w:rPr>
          <w:rFonts w:ascii="仿宋" w:hAnsi="仿宋" w:eastAsia="仿宋" w:cs="仿宋"/>
          <w:b/>
          <w:bCs/>
          <w:color w:val="auto"/>
          <w:sz w:val="30"/>
          <w:szCs w:val="30"/>
          <w:highlight w:val="none"/>
        </w:rPr>
      </w:pPr>
      <w:bookmarkStart w:id="335" w:name="_Toc24299"/>
      <w:bookmarkStart w:id="336" w:name="_Toc23237"/>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.1 适用范围</w:t>
      </w:r>
      <w:bookmarkEnd w:id="335"/>
      <w:bookmarkEnd w:id="336"/>
    </w:p>
    <w:p w14:paraId="6989C2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本专项应急预案适用于矿井在生产过程中，可能发生或已经发生的需要启动Ⅱ级及以上应急响应的自然灾害引发矿山事故（包括涉险事故）的应急救援工作。</w:t>
      </w:r>
    </w:p>
    <w:p w14:paraId="3BE56A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201FBDDA">
      <w:pPr>
        <w:spacing w:line="560" w:lineRule="exact"/>
        <w:ind w:firstLine="602" w:firstLineChars="200"/>
        <w:outlineLvl w:val="2"/>
        <w:rPr>
          <w:rFonts w:ascii="仿宋" w:hAnsi="仿宋" w:eastAsia="仿宋" w:cs="仿宋"/>
          <w:b/>
          <w:bCs/>
          <w:color w:val="auto"/>
          <w:sz w:val="30"/>
          <w:szCs w:val="30"/>
          <w:highlight w:val="none"/>
        </w:rPr>
      </w:pPr>
      <w:bookmarkStart w:id="337" w:name="_Toc29757"/>
      <w:bookmarkStart w:id="338" w:name="_Toc6904"/>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.2 应急组织机构及职责</w:t>
      </w:r>
      <w:bookmarkEnd w:id="337"/>
      <w:bookmarkEnd w:id="338"/>
    </w:p>
    <w:p w14:paraId="7455BD6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15168EB0">
      <w:pPr>
        <w:spacing w:line="560" w:lineRule="exact"/>
        <w:ind w:firstLine="602" w:firstLineChars="200"/>
        <w:outlineLvl w:val="2"/>
        <w:rPr>
          <w:rFonts w:ascii="仿宋" w:hAnsi="仿宋" w:eastAsia="仿宋" w:cs="仿宋"/>
          <w:b/>
          <w:bCs/>
          <w:color w:val="auto"/>
          <w:sz w:val="30"/>
          <w:szCs w:val="30"/>
          <w:highlight w:val="none"/>
        </w:rPr>
      </w:pPr>
      <w:bookmarkStart w:id="339" w:name="_Toc19657"/>
      <w:bookmarkStart w:id="340" w:name="_Toc21092"/>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.3 响应启动</w:t>
      </w:r>
      <w:bookmarkEnd w:id="339"/>
      <w:bookmarkEnd w:id="340"/>
      <w:r>
        <w:rPr>
          <w:rFonts w:hint="eastAsia" w:ascii="仿宋" w:hAnsi="仿宋" w:eastAsia="仿宋" w:cs="仿宋"/>
          <w:b/>
          <w:bCs/>
          <w:color w:val="auto"/>
          <w:sz w:val="30"/>
          <w:szCs w:val="30"/>
          <w:highlight w:val="none"/>
        </w:rPr>
        <w:t xml:space="preserve"> </w:t>
      </w:r>
    </w:p>
    <w:p w14:paraId="406A6B3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发生自然灾害后，立即启动Ⅱ级应急响应，按本预案组织开展应急救援行动；若事故不能得到控制，有扩大趋势，由</w:t>
      </w:r>
      <w:r>
        <w:rPr>
          <w:rFonts w:hint="eastAsia" w:ascii="仿宋_GB2312" w:hAnsi="仿宋_GB2312" w:eastAsia="仿宋_GB2312" w:cs="仿宋_GB2312"/>
          <w:color w:val="auto"/>
          <w:kern w:val="0"/>
          <w:sz w:val="28"/>
          <w:szCs w:val="28"/>
          <w:highlight w:val="none"/>
        </w:rPr>
        <w:t>总经理</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授权人</w:t>
      </w:r>
      <w:r>
        <w:rPr>
          <w:rFonts w:ascii="仿宋_GB2312" w:hAnsi="仿宋_GB2312" w:eastAsia="仿宋_GB2312" w:cs="仿宋_GB2312"/>
          <w:color w:val="auto"/>
          <w:kern w:val="0"/>
          <w:sz w:val="28"/>
          <w:szCs w:val="28"/>
          <w:highlight w:val="none"/>
        </w:rPr>
        <w:t>）立即启动Ⅰ级应急响应。</w:t>
      </w:r>
    </w:p>
    <w:p w14:paraId="1B8297B0">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3.1 召开现场应急会议</w:t>
      </w:r>
    </w:p>
    <w:p w14:paraId="6F4A023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会议由总指挥主持召开。第一副总指挥根据灾害严重程度，抽调综合协调组、抢险救灾组、技术专家组、物资供应组、后勤保障组、安全监督组、医疗救护组有关成员参加应急会议，安排部署灾害预防和应急处置工作。必要时通知警戒保卫组、信息发布组、善后处理组参加后续应急会议。</w:t>
      </w:r>
    </w:p>
    <w:p w14:paraId="579C61A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3.2 信息上报</w:t>
      </w:r>
    </w:p>
    <w:p w14:paraId="3AADEE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6A2EC2A5">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3.3 资源协调</w:t>
      </w:r>
    </w:p>
    <w:p w14:paraId="5C4EF1A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0A98D4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744829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25C622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7285A0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煤尘事故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18CB5C3C">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3.4 信息公开</w:t>
      </w:r>
    </w:p>
    <w:p w14:paraId="3C11346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2893ADFC">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3.5 后勤及财力保障</w:t>
      </w:r>
    </w:p>
    <w:p w14:paraId="5CF5BF6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2145BA8C">
      <w:pPr>
        <w:spacing w:line="560" w:lineRule="exact"/>
        <w:ind w:firstLine="602" w:firstLineChars="200"/>
        <w:outlineLvl w:val="2"/>
        <w:rPr>
          <w:rFonts w:ascii="仿宋" w:hAnsi="仿宋" w:eastAsia="仿宋" w:cs="仿宋"/>
          <w:b/>
          <w:bCs/>
          <w:color w:val="auto"/>
          <w:sz w:val="30"/>
          <w:szCs w:val="30"/>
          <w:highlight w:val="none"/>
        </w:rPr>
      </w:pPr>
      <w:bookmarkStart w:id="341" w:name="_Toc26069"/>
      <w:bookmarkStart w:id="342" w:name="_Toc25518"/>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4 处置措施</w:t>
      </w:r>
      <w:bookmarkEnd w:id="341"/>
      <w:bookmarkEnd w:id="342"/>
    </w:p>
    <w:p w14:paraId="60D61ED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风险为较大风险。</w:t>
      </w:r>
    </w:p>
    <w:p w14:paraId="62CD06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危害程度和影响范围：因飓风、台风、地震、特大暴雨、雷雨、暴风、暴风雪、冰凌等自然灾害，造成矿井地面35kV线路供电中断，矿井总停电造成矿井停风，有可能造成井下人员的窒息，引起井下瓦斯积聚，矿井水害；地震可能引发煤矿地面生产系统严重破坏，造成地面设施、建筑物倒塌垮落、人员大量伤亡，人员提升设施和撤离通道遭到损坏，大量人员被困井下。因此，需制定相应的应急处置措施:</w:t>
      </w:r>
    </w:p>
    <w:p w14:paraId="54B355AC">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.4.1 应急处置原则</w:t>
      </w:r>
    </w:p>
    <w:p w14:paraId="042EE6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1CF3609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5AE31F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1B7379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585C75E7">
      <w:pPr>
        <w:spacing w:line="560" w:lineRule="exact"/>
        <w:ind w:firstLine="643" w:firstLineChars="200"/>
        <w:rPr>
          <w:b/>
          <w:bCs/>
          <w:color w:val="auto"/>
          <w:sz w:val="32"/>
          <w:highlight w:val="none"/>
        </w:rPr>
      </w:pPr>
      <w:r>
        <w:rPr>
          <w:rFonts w:hint="eastAsia"/>
          <w:b/>
          <w:bCs/>
          <w:color w:val="auto"/>
          <w:sz w:val="32"/>
          <w:highlight w:val="none"/>
        </w:rPr>
        <w:t>1</w:t>
      </w:r>
      <w:r>
        <w:rPr>
          <w:rFonts w:hint="eastAsia"/>
          <w:b/>
          <w:bCs/>
          <w:color w:val="auto"/>
          <w:sz w:val="32"/>
          <w:highlight w:val="none"/>
          <w:lang w:val="en-US" w:eastAsia="zh-CN"/>
        </w:rPr>
        <w:t>2</w:t>
      </w:r>
      <w:r>
        <w:rPr>
          <w:rFonts w:hint="eastAsia"/>
          <w:b/>
          <w:bCs/>
          <w:color w:val="auto"/>
          <w:sz w:val="32"/>
          <w:highlight w:val="none"/>
        </w:rPr>
        <w:t>.</w:t>
      </w:r>
      <w:r>
        <w:rPr>
          <w:b/>
          <w:bCs/>
          <w:color w:val="auto"/>
          <w:sz w:val="32"/>
          <w:highlight w:val="none"/>
        </w:rPr>
        <w:t>4.2 处置措施</w:t>
      </w:r>
    </w:p>
    <w:p w14:paraId="4BB1E4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大雨、暴雨蓝色预警，停产撤人，巡查观测；大风、雷电、冰雹、海啸造成外电中断，立即启动相关专项应急预案，启动应急备用电源，停产撤人；遇到洪涝灾害，威胁矿井时，立即停产撤人，进行防洪抢险。</w:t>
      </w:r>
    </w:p>
    <w:p w14:paraId="4D7A64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出现自然灾害威胁矿井安全生产及人身安全时，调度室值班员按照上级赋予的应急处置权规定，立即通过井下语音广播系统、调度通讯系统等，3分钟内通知到井下所有可能受事故波及区域人员撤离，然后按程序汇报有关领导和部门，启动应急预案。</w:t>
      </w:r>
    </w:p>
    <w:p w14:paraId="4BCF4E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（2）利用安全监控系统不间断监测矿井各地点环境参数等情况，对监测数据进行分析，发生异常立即报告指挥部。</w:t>
      </w:r>
    </w:p>
    <w:p w14:paraId="33BB97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（3）指挥部应根据事故严重程度和影响范围，确定井下停产撤人和留守人员范围及撤人程序。</w:t>
      </w:r>
    </w:p>
    <w:p w14:paraId="503AEC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（4）井下人员接到停产撤人命令后，立即快速有序地实施撤离。现场安监员、跟班人员、班组长负责维持现场秩序。</w:t>
      </w:r>
    </w:p>
    <w:p w14:paraId="4CC120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（5）利用井下人员定位系统对井下人员撤离情况进行监测，准确掌握井下人员的撤离情况。</w:t>
      </w:r>
    </w:p>
    <w:p w14:paraId="525B5E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（6）采掘工作面按照停电撤人顺序实施撤离。</w:t>
      </w:r>
    </w:p>
    <w:p w14:paraId="1830819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（7）接到停产撤人命令后，区队值班人员必须立即将井下各施工地点人员姓名及具体人数核对清楚并报告调度室，做好升井人员清点，及时向调度室汇报人员升井情况。</w:t>
      </w:r>
    </w:p>
    <w:p w14:paraId="1F44169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（8）机电管理部和</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负责对副井提升系统、主要通风机、井上下变电所、主要排水泵等主要设备的运行状况进行有效监控，确保矿井供电、排水系统正常。</w:t>
      </w:r>
    </w:p>
    <w:p w14:paraId="3114030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（9）地质测量部组织人员开展地面巡查，并向调度室报告巡查情况。机电管理部组织防洪抢险队对井口进行垒砌防洪沙袋，防止雨水倒灌，并向调度室报告措施落实情况。机电管理部组织</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管理人员对井上各重点场所进行巡查，并向调度室报告巡查情况。治安保障中心组织人员对各入井口拉警戒线进行人员管控，并向调度室报告管控情况。调度室负责通知各铲车、叉车司机做好车辆调用准备，并向调度室报告到位情况。机电管理部分管雨季“三防”库人员立即打开库房并执行现场值班，做好设备、物资的随时调用，并向调度室报告设备物资准备和应急值守情况。</w:t>
      </w:r>
    </w:p>
    <w:p w14:paraId="231ED15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若事故严重程度若超出本矿处置能力，应急救援指挥部应向公司及上级有关部门请求支援，在公司及上级应急救援指挥部成立、人员到位后，矿应急救援指挥部和下属各抢险救援小组按照“归口”原则，立即归属公司及上级应急救援指挥部领导，服从其调配。</w:t>
      </w:r>
    </w:p>
    <w:p w14:paraId="795742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（11）矿井恢复生产前，安全监察部、通防工区、</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等要按照职责分工确定好首批下井人员，做好运输、送电、排水、通风、气体监测等安全工作；确保各工作地点安全后方可允许作业人员进入。</w:t>
      </w:r>
    </w:p>
    <w:p w14:paraId="360A681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（12）地表水泄漏时，救援指挥中心办公室立即通知井下相关地点撤人。根据井下排查发现的地表水进入矿井通道和地表排查结果确定地表水泄漏地点，抢险物资供应队负责将抢险物资，及时运往指定地点。</w:t>
      </w:r>
    </w:p>
    <w:p w14:paraId="4030C9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①应急救援指挥部负责调集车辆、铲车、推土机，筑一条通往泄水口的通道，利用装土、沙的编织袋、竹笆、圆木、木桩将泄水口封住，然后覆土，彻底切断水源。</w:t>
      </w:r>
    </w:p>
    <w:p w14:paraId="37BF63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②做好井下出水地点涌水量的观测工作，将泄漏地点水量和矿井总涌水量每半小时向救援指挥中心办公室汇报一次。由地测专业负责。</w:t>
      </w:r>
    </w:p>
    <w:p w14:paraId="711E4D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③井下疏通控制排水路线，及时在有可能造成向下山构筑挡水墙，防止水流下泻，冲毁巷道、设备。确保水流进入中央水仓，由井下抢险队负责。</w:t>
      </w:r>
    </w:p>
    <w:p w14:paraId="44D250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④做好开泵排水工作，确保水量能及时排出，必要时敷设临时管路或改用风水管，安装临时排水泵进行扩排，机电抢险队负责。</w:t>
      </w:r>
    </w:p>
    <w:p w14:paraId="144B6AE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⑤救援指挥部立即通知井下相关地点撤人。</w:t>
      </w:r>
    </w:p>
    <w:p w14:paraId="166D9A9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（13）在行动中，应注意以下事项：</w:t>
      </w:r>
    </w:p>
    <w:p w14:paraId="0C1A0A3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①撤离时，应设法将撤退的行动路线和目的地告知指挥部。</w:t>
      </w:r>
    </w:p>
    <w:p w14:paraId="0E1A96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②行进中，应靠巷道一侧，抓牢支架或其他固定物体，尽量避开压力水头和泄水主流，并注意防止被水中滚动的矸石和木料撞伤。</w:t>
      </w:r>
    </w:p>
    <w:p w14:paraId="322B19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③如因突水后破坏了巷道中的照明和指示牌，迷失了行进方向时，遇险人员应朝着有风流通过的巷道高处撤退。</w:t>
      </w:r>
    </w:p>
    <w:p w14:paraId="1B87A9D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撤退中，如因冒顶或大量积水造成巷道堵塞，可寻找其他安全通道撤出。在唯一的出口堵塞无法撤退时，应自行组织进入巷道最高点避灾，并不断敲击管路等发出求救信号，有计划的使用矿灯、补给食物和饮用水，等待救援人员营救，严禁盲目潜水等冒险行为。</w:t>
      </w:r>
    </w:p>
    <w:p w14:paraId="2ADC98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（14）矿井全部停电时</w:t>
      </w:r>
    </w:p>
    <w:p w14:paraId="746C0CF9">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供电系统事故停电值班员迅速查明情况，通知有关人员应急抢修，各级领导迅速到达事故现场，按《电力安全规程》进行指挥处理，优先保证矿井主要通风机、井下主排水泵等一级负荷的供电。如果短时间内恢复不了矿井供电，及时汇报内蒙能源、集团公司调度室，通知矿井撤出井下所有工作人员和通知</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前来救援，立即启动停风应急处置预案。</w:t>
      </w:r>
    </w:p>
    <w:p w14:paraId="2730DEB8">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343" w:name="_Toc18712"/>
      <w:bookmarkStart w:id="344" w:name="_Toc32463"/>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.5 应急保障</w:t>
      </w:r>
      <w:bookmarkEnd w:id="343"/>
      <w:bookmarkEnd w:id="344"/>
    </w:p>
    <w:p w14:paraId="43466360">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5.1 通信与信息保障</w:t>
      </w:r>
    </w:p>
    <w:p w14:paraId="5B9B189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p>
    <w:p w14:paraId="3C5E4B8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41983C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085D1DB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5D6115D8">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295139F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5582E4E6">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2</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769A22A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p>
    <w:p w14:paraId="2829C72D">
      <w:pPr>
        <w:spacing w:line="440" w:lineRule="exact"/>
        <w:ind w:firstLine="560" w:firstLineChars="200"/>
        <w:rPr>
          <w:rFonts w:ascii="仿宋_GB2312" w:hAnsi="仿宋_GB2312" w:eastAsia="仿宋_GB2312" w:cs="仿宋_GB2312"/>
          <w:color w:val="auto"/>
          <w:kern w:val="0"/>
          <w:sz w:val="28"/>
          <w:szCs w:val="28"/>
          <w:highlight w:val="none"/>
        </w:rPr>
      </w:pPr>
    </w:p>
    <w:p w14:paraId="0EAAD36B">
      <w:pPr>
        <w:spacing w:line="440" w:lineRule="exact"/>
        <w:ind w:firstLine="560" w:firstLineChars="200"/>
        <w:rPr>
          <w:rFonts w:ascii="仿宋_GB2312" w:hAnsi="仿宋_GB2312" w:eastAsia="仿宋_GB2312" w:cs="仿宋_GB2312"/>
          <w:color w:val="auto"/>
          <w:kern w:val="0"/>
          <w:sz w:val="28"/>
          <w:szCs w:val="28"/>
          <w:highlight w:val="none"/>
        </w:rPr>
      </w:pPr>
    </w:p>
    <w:p w14:paraId="6234BDAF">
      <w:pPr>
        <w:spacing w:line="440" w:lineRule="exact"/>
        <w:ind w:firstLine="560" w:firstLineChars="200"/>
        <w:rPr>
          <w:rFonts w:ascii="仿宋_GB2312" w:hAnsi="仿宋_GB2312" w:eastAsia="仿宋_GB2312" w:cs="仿宋_GB2312"/>
          <w:color w:val="auto"/>
          <w:kern w:val="0"/>
          <w:sz w:val="28"/>
          <w:szCs w:val="28"/>
          <w:highlight w:val="none"/>
        </w:rPr>
      </w:pPr>
    </w:p>
    <w:p w14:paraId="332943F6">
      <w:pPr>
        <w:spacing w:line="440" w:lineRule="exact"/>
        <w:ind w:firstLine="560" w:firstLineChars="200"/>
        <w:rPr>
          <w:rFonts w:ascii="仿宋_GB2312" w:hAnsi="仿宋_GB2312" w:eastAsia="仿宋_GB2312" w:cs="仿宋_GB2312"/>
          <w:color w:val="auto"/>
          <w:kern w:val="0"/>
          <w:sz w:val="28"/>
          <w:szCs w:val="28"/>
          <w:highlight w:val="none"/>
        </w:rPr>
      </w:pPr>
    </w:p>
    <w:p w14:paraId="515625B2">
      <w:pPr>
        <w:spacing w:line="440" w:lineRule="exact"/>
        <w:ind w:firstLine="560" w:firstLineChars="200"/>
        <w:rPr>
          <w:rFonts w:ascii="仿宋_GB2312" w:hAnsi="仿宋_GB2312" w:eastAsia="仿宋_GB2312" w:cs="仿宋_GB2312"/>
          <w:color w:val="auto"/>
          <w:kern w:val="0"/>
          <w:sz w:val="28"/>
          <w:szCs w:val="28"/>
          <w:highlight w:val="none"/>
        </w:rPr>
      </w:pPr>
    </w:p>
    <w:p w14:paraId="415C10DF">
      <w:pPr>
        <w:spacing w:line="440" w:lineRule="exact"/>
        <w:ind w:firstLine="560" w:firstLineChars="200"/>
        <w:rPr>
          <w:rFonts w:ascii="仿宋_GB2312" w:hAnsi="仿宋_GB2312" w:eastAsia="仿宋_GB2312" w:cs="仿宋_GB2312"/>
          <w:color w:val="auto"/>
          <w:kern w:val="0"/>
          <w:sz w:val="28"/>
          <w:szCs w:val="28"/>
          <w:highlight w:val="none"/>
        </w:rPr>
      </w:pPr>
    </w:p>
    <w:p w14:paraId="79E9DA8E">
      <w:pPr>
        <w:spacing w:line="440" w:lineRule="exact"/>
        <w:ind w:firstLine="560" w:firstLineChars="200"/>
        <w:rPr>
          <w:rFonts w:ascii="仿宋_GB2312" w:hAnsi="仿宋_GB2312" w:eastAsia="仿宋_GB2312" w:cs="仿宋_GB2312"/>
          <w:color w:val="auto"/>
          <w:kern w:val="0"/>
          <w:sz w:val="28"/>
          <w:szCs w:val="28"/>
          <w:highlight w:val="none"/>
        </w:rPr>
      </w:pPr>
    </w:p>
    <w:p w14:paraId="5C01E118">
      <w:pPr>
        <w:spacing w:line="440" w:lineRule="exact"/>
        <w:ind w:firstLine="560" w:firstLineChars="200"/>
        <w:rPr>
          <w:rFonts w:ascii="仿宋_GB2312" w:hAnsi="仿宋_GB2312" w:eastAsia="仿宋_GB2312" w:cs="仿宋_GB2312"/>
          <w:color w:val="auto"/>
          <w:kern w:val="0"/>
          <w:sz w:val="28"/>
          <w:szCs w:val="28"/>
          <w:highlight w:val="none"/>
        </w:rPr>
      </w:pPr>
    </w:p>
    <w:p w14:paraId="46B98B52">
      <w:pPr>
        <w:spacing w:line="440" w:lineRule="exact"/>
        <w:ind w:firstLine="560" w:firstLineChars="200"/>
        <w:rPr>
          <w:rFonts w:ascii="仿宋_GB2312" w:hAnsi="仿宋_GB2312" w:eastAsia="仿宋_GB2312" w:cs="仿宋_GB2312"/>
          <w:color w:val="auto"/>
          <w:kern w:val="0"/>
          <w:sz w:val="28"/>
          <w:szCs w:val="28"/>
          <w:highlight w:val="none"/>
        </w:rPr>
      </w:pPr>
    </w:p>
    <w:p w14:paraId="711C3F7E">
      <w:pPr>
        <w:spacing w:line="440" w:lineRule="exact"/>
        <w:ind w:firstLine="560" w:firstLineChars="200"/>
        <w:rPr>
          <w:rFonts w:ascii="仿宋_GB2312" w:hAnsi="仿宋_GB2312" w:eastAsia="仿宋_GB2312" w:cs="仿宋_GB2312"/>
          <w:color w:val="auto"/>
          <w:kern w:val="0"/>
          <w:sz w:val="28"/>
          <w:szCs w:val="28"/>
          <w:highlight w:val="none"/>
        </w:rPr>
      </w:pPr>
    </w:p>
    <w:p w14:paraId="607FF91A">
      <w:pPr>
        <w:spacing w:line="440" w:lineRule="exact"/>
        <w:ind w:firstLine="560" w:firstLineChars="200"/>
        <w:rPr>
          <w:rFonts w:ascii="仿宋_GB2312" w:hAnsi="仿宋_GB2312" w:eastAsia="仿宋_GB2312" w:cs="仿宋_GB2312"/>
          <w:color w:val="auto"/>
          <w:kern w:val="0"/>
          <w:sz w:val="28"/>
          <w:szCs w:val="28"/>
          <w:highlight w:val="none"/>
        </w:rPr>
      </w:pPr>
    </w:p>
    <w:p w14:paraId="5E5936AE">
      <w:pPr>
        <w:spacing w:line="440" w:lineRule="exact"/>
        <w:ind w:firstLine="560" w:firstLineChars="200"/>
        <w:rPr>
          <w:rFonts w:ascii="仿宋_GB2312" w:hAnsi="仿宋_GB2312" w:eastAsia="仿宋_GB2312" w:cs="仿宋_GB2312"/>
          <w:color w:val="auto"/>
          <w:kern w:val="0"/>
          <w:sz w:val="28"/>
          <w:szCs w:val="28"/>
          <w:highlight w:val="none"/>
        </w:rPr>
      </w:pPr>
    </w:p>
    <w:p w14:paraId="43820F03">
      <w:pPr>
        <w:spacing w:line="440" w:lineRule="exact"/>
        <w:ind w:firstLine="560" w:firstLineChars="200"/>
        <w:rPr>
          <w:rFonts w:ascii="仿宋_GB2312" w:hAnsi="仿宋_GB2312" w:eastAsia="仿宋_GB2312" w:cs="仿宋_GB2312"/>
          <w:color w:val="auto"/>
          <w:kern w:val="0"/>
          <w:sz w:val="28"/>
          <w:szCs w:val="28"/>
          <w:highlight w:val="none"/>
        </w:rPr>
      </w:pPr>
    </w:p>
    <w:p w14:paraId="24A1AE18">
      <w:pPr>
        <w:spacing w:line="440" w:lineRule="exact"/>
        <w:ind w:firstLine="560" w:firstLineChars="200"/>
        <w:rPr>
          <w:rFonts w:ascii="仿宋_GB2312" w:hAnsi="仿宋_GB2312" w:eastAsia="仿宋_GB2312" w:cs="仿宋_GB2312"/>
          <w:color w:val="auto"/>
          <w:kern w:val="0"/>
          <w:sz w:val="28"/>
          <w:szCs w:val="28"/>
          <w:highlight w:val="none"/>
        </w:rPr>
      </w:pPr>
    </w:p>
    <w:p w14:paraId="2C908706">
      <w:pPr>
        <w:spacing w:line="440" w:lineRule="exact"/>
        <w:ind w:firstLine="560" w:firstLineChars="200"/>
        <w:rPr>
          <w:rFonts w:ascii="仿宋_GB2312" w:hAnsi="仿宋_GB2312" w:eastAsia="仿宋_GB2312" w:cs="仿宋_GB2312"/>
          <w:color w:val="auto"/>
          <w:kern w:val="0"/>
          <w:sz w:val="28"/>
          <w:szCs w:val="28"/>
          <w:highlight w:val="none"/>
        </w:rPr>
      </w:pPr>
    </w:p>
    <w:p w14:paraId="1A881293">
      <w:pPr>
        <w:spacing w:line="440" w:lineRule="exact"/>
        <w:ind w:firstLine="560" w:firstLineChars="200"/>
        <w:rPr>
          <w:rFonts w:ascii="仿宋_GB2312" w:hAnsi="仿宋_GB2312" w:eastAsia="仿宋_GB2312" w:cs="仿宋_GB2312"/>
          <w:color w:val="auto"/>
          <w:kern w:val="0"/>
          <w:sz w:val="28"/>
          <w:szCs w:val="28"/>
          <w:highlight w:val="none"/>
        </w:rPr>
      </w:pPr>
    </w:p>
    <w:p w14:paraId="40644F69">
      <w:pPr>
        <w:spacing w:line="440" w:lineRule="exact"/>
        <w:ind w:firstLine="560" w:firstLineChars="200"/>
        <w:rPr>
          <w:rFonts w:ascii="仿宋_GB2312" w:hAnsi="仿宋_GB2312" w:eastAsia="仿宋_GB2312" w:cs="仿宋_GB2312"/>
          <w:color w:val="auto"/>
          <w:kern w:val="0"/>
          <w:sz w:val="28"/>
          <w:szCs w:val="28"/>
          <w:highlight w:val="none"/>
        </w:rPr>
      </w:pPr>
    </w:p>
    <w:p w14:paraId="2A68C018">
      <w:pPr>
        <w:spacing w:line="440" w:lineRule="exact"/>
        <w:ind w:firstLine="560" w:firstLineChars="200"/>
        <w:rPr>
          <w:rFonts w:ascii="仿宋_GB2312" w:hAnsi="仿宋_GB2312" w:eastAsia="仿宋_GB2312" w:cs="仿宋_GB2312"/>
          <w:color w:val="auto"/>
          <w:kern w:val="0"/>
          <w:sz w:val="28"/>
          <w:szCs w:val="28"/>
          <w:highlight w:val="none"/>
        </w:rPr>
      </w:pPr>
    </w:p>
    <w:p w14:paraId="3976E2A6">
      <w:pPr>
        <w:spacing w:line="520" w:lineRule="exact"/>
        <w:ind w:firstLine="600" w:firstLineChars="200"/>
        <w:outlineLvl w:val="0"/>
        <w:rPr>
          <w:rFonts w:ascii="黑体" w:hAnsi="黑体" w:eastAsia="黑体" w:cs="黑体"/>
          <w:color w:val="auto"/>
          <w:sz w:val="30"/>
          <w:szCs w:val="30"/>
          <w:highlight w:val="none"/>
        </w:rPr>
      </w:pPr>
      <w:bookmarkStart w:id="345" w:name="_Toc9851"/>
      <w:r>
        <w:rPr>
          <w:rFonts w:hint="eastAsia" w:ascii="黑体" w:hAnsi="黑体" w:eastAsia="黑体" w:cs="黑体"/>
          <w:color w:val="auto"/>
          <w:sz w:val="30"/>
          <w:szCs w:val="30"/>
          <w:highlight w:val="none"/>
        </w:rPr>
        <w:t>1</w:t>
      </w:r>
      <w:r>
        <w:rPr>
          <w:rFonts w:hint="eastAsia" w:ascii="黑体" w:hAnsi="黑体" w:eastAsia="黑体" w:cs="黑体"/>
          <w:color w:val="auto"/>
          <w:sz w:val="30"/>
          <w:szCs w:val="30"/>
          <w:highlight w:val="none"/>
          <w:lang w:val="en-US" w:eastAsia="zh-CN"/>
        </w:rPr>
        <w:t>3</w:t>
      </w:r>
      <w:r>
        <w:rPr>
          <w:rFonts w:hint="eastAsia" w:ascii="黑体" w:hAnsi="黑体" w:eastAsia="黑体" w:cs="黑体"/>
          <w:color w:val="auto"/>
          <w:sz w:val="30"/>
          <w:szCs w:val="30"/>
          <w:highlight w:val="none"/>
        </w:rPr>
        <w:t xml:space="preserve"> </w:t>
      </w:r>
      <w:r>
        <w:rPr>
          <w:rFonts w:hint="eastAsia" w:ascii="黑体" w:hAnsi="黑体" w:eastAsia="黑体" w:cs="黑体"/>
          <w:color w:val="auto"/>
          <w:sz w:val="30"/>
          <w:szCs w:val="30"/>
          <w:highlight w:val="none"/>
          <w:lang w:val="en-US" w:eastAsia="zh-CN"/>
        </w:rPr>
        <w:t>压力容器爆炸</w:t>
      </w:r>
      <w:r>
        <w:rPr>
          <w:rFonts w:hint="eastAsia" w:ascii="黑体" w:hAnsi="黑体" w:eastAsia="黑体" w:cs="黑体"/>
          <w:color w:val="auto"/>
          <w:sz w:val="30"/>
          <w:szCs w:val="30"/>
          <w:highlight w:val="none"/>
        </w:rPr>
        <w:t>事故专项应急预案</w:t>
      </w:r>
      <w:bookmarkEnd w:id="345"/>
    </w:p>
    <w:p w14:paraId="20BF9538">
      <w:pPr>
        <w:spacing w:line="560" w:lineRule="exact"/>
        <w:ind w:firstLine="602" w:firstLineChars="200"/>
        <w:outlineLvl w:val="2"/>
        <w:rPr>
          <w:rFonts w:ascii="仿宋" w:hAnsi="仿宋" w:eastAsia="仿宋" w:cs="仿宋"/>
          <w:b/>
          <w:bCs/>
          <w:color w:val="auto"/>
          <w:sz w:val="30"/>
          <w:szCs w:val="30"/>
          <w:highlight w:val="none"/>
        </w:rPr>
      </w:pPr>
      <w:bookmarkStart w:id="346" w:name="_Toc6402"/>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.1 适用范围</w:t>
      </w:r>
      <w:bookmarkEnd w:id="346"/>
    </w:p>
    <w:p w14:paraId="3D163E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本专项应急预案适用于矿井在生产过程中，可能发生或已经发生的需要启动Ⅱ级及以上应急响应的自然灾害引发矿山事故（包括涉险事故）的应急救援工作。</w:t>
      </w:r>
    </w:p>
    <w:p w14:paraId="039583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事故专项应急预案是综合应急预案的细化与延伸，综合应急预案是矿井专项应急预案的支持性</w:t>
      </w:r>
      <w:r>
        <w:rPr>
          <w:rFonts w:hint="eastAsia" w:ascii="仿宋_GB2312" w:hAnsi="仿宋_GB2312" w:eastAsia="仿宋_GB2312" w:cs="仿宋_GB2312"/>
          <w:color w:val="auto"/>
          <w:kern w:val="0"/>
          <w:sz w:val="28"/>
          <w:szCs w:val="28"/>
          <w:highlight w:val="none"/>
        </w:rPr>
        <w:t>方案</w:t>
      </w:r>
      <w:r>
        <w:rPr>
          <w:rFonts w:ascii="仿宋_GB2312" w:hAnsi="仿宋_GB2312" w:eastAsia="仿宋_GB2312" w:cs="仿宋_GB2312"/>
          <w:color w:val="auto"/>
          <w:kern w:val="0"/>
          <w:sz w:val="28"/>
          <w:szCs w:val="28"/>
          <w:highlight w:val="none"/>
        </w:rPr>
        <w:t>。</w:t>
      </w:r>
    </w:p>
    <w:p w14:paraId="48F5D828">
      <w:pPr>
        <w:spacing w:line="560" w:lineRule="exact"/>
        <w:ind w:firstLine="602" w:firstLineChars="200"/>
        <w:outlineLvl w:val="2"/>
        <w:rPr>
          <w:rFonts w:ascii="仿宋" w:hAnsi="仿宋" w:eastAsia="仿宋" w:cs="仿宋"/>
          <w:b/>
          <w:bCs/>
          <w:color w:val="auto"/>
          <w:sz w:val="30"/>
          <w:szCs w:val="30"/>
          <w:highlight w:val="none"/>
        </w:rPr>
      </w:pPr>
      <w:bookmarkStart w:id="347" w:name="_Toc202"/>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.2 应急组织机构及职责</w:t>
      </w:r>
      <w:bookmarkEnd w:id="347"/>
    </w:p>
    <w:p w14:paraId="066C6B3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设立</w:t>
      </w: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事故应急救援指挥部，负责组织指挥应急救援工作，总指挥由</w:t>
      </w:r>
      <w:r>
        <w:rPr>
          <w:rFonts w:hint="eastAsia" w:ascii="仿宋_GB2312" w:hAnsi="仿宋_GB2312" w:eastAsia="仿宋_GB2312" w:cs="仿宋_GB2312"/>
          <w:color w:val="auto"/>
          <w:kern w:val="0"/>
          <w:sz w:val="28"/>
          <w:szCs w:val="28"/>
          <w:highlight w:val="none"/>
        </w:rPr>
        <w:t>党委书记、总经理</w:t>
      </w:r>
      <w:r>
        <w:rPr>
          <w:rFonts w:ascii="仿宋_GB2312" w:hAnsi="仿宋_GB2312" w:eastAsia="仿宋_GB2312" w:cs="仿宋_GB2312"/>
          <w:color w:val="auto"/>
          <w:kern w:val="0"/>
          <w:sz w:val="28"/>
          <w:szCs w:val="28"/>
          <w:highlight w:val="none"/>
        </w:rPr>
        <w:t>担任，</w:t>
      </w:r>
      <w:r>
        <w:rPr>
          <w:rFonts w:hint="eastAsia" w:ascii="仿宋_GB2312" w:hAnsi="仿宋_GB2312" w:eastAsia="仿宋_GB2312" w:cs="仿宋_GB2312"/>
          <w:color w:val="auto"/>
          <w:kern w:val="0"/>
          <w:sz w:val="28"/>
          <w:szCs w:val="28"/>
          <w:highlight w:val="none"/>
          <w:lang w:val="en-US" w:eastAsia="zh-CN"/>
        </w:rPr>
        <w:t>第一</w:t>
      </w:r>
      <w:r>
        <w:rPr>
          <w:rFonts w:ascii="仿宋_GB2312" w:hAnsi="仿宋_GB2312" w:eastAsia="仿宋_GB2312" w:cs="仿宋_GB2312"/>
          <w:color w:val="auto"/>
          <w:kern w:val="0"/>
          <w:sz w:val="28"/>
          <w:szCs w:val="28"/>
          <w:highlight w:val="none"/>
        </w:rPr>
        <w:t>副总指挥由总工程师担任；其他执行综合应急预案“2应急组织机构及职责”相关规定。</w:t>
      </w:r>
    </w:p>
    <w:p w14:paraId="7603BAE7">
      <w:pPr>
        <w:spacing w:line="560" w:lineRule="exact"/>
        <w:ind w:firstLine="602" w:firstLineChars="200"/>
        <w:outlineLvl w:val="2"/>
        <w:rPr>
          <w:rFonts w:ascii="仿宋" w:hAnsi="仿宋" w:eastAsia="仿宋" w:cs="仿宋"/>
          <w:b/>
          <w:bCs/>
          <w:color w:val="auto"/>
          <w:sz w:val="30"/>
          <w:szCs w:val="30"/>
          <w:highlight w:val="none"/>
        </w:rPr>
      </w:pPr>
      <w:bookmarkStart w:id="348" w:name="_Toc11532"/>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.3 响应启动</w:t>
      </w:r>
      <w:bookmarkEnd w:id="348"/>
      <w:r>
        <w:rPr>
          <w:rFonts w:hint="eastAsia" w:ascii="仿宋" w:hAnsi="仿宋" w:eastAsia="仿宋" w:cs="仿宋"/>
          <w:b/>
          <w:bCs/>
          <w:color w:val="auto"/>
          <w:sz w:val="30"/>
          <w:szCs w:val="30"/>
          <w:highlight w:val="none"/>
        </w:rPr>
        <w:t xml:space="preserve"> </w:t>
      </w:r>
    </w:p>
    <w:p w14:paraId="2272EE0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发生自然灾害后，立即启动Ⅱ级应急响应，按本预案组织开展应急救援行动；若事故不能得到控制，有扩大趋势，由</w:t>
      </w:r>
      <w:r>
        <w:rPr>
          <w:rFonts w:hint="eastAsia" w:ascii="仿宋_GB2312" w:hAnsi="仿宋_GB2312" w:eastAsia="仿宋_GB2312" w:cs="仿宋_GB2312"/>
          <w:color w:val="auto"/>
          <w:kern w:val="0"/>
          <w:sz w:val="28"/>
          <w:szCs w:val="28"/>
          <w:highlight w:val="none"/>
        </w:rPr>
        <w:t>总经理</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授权人</w:t>
      </w:r>
      <w:r>
        <w:rPr>
          <w:rFonts w:ascii="仿宋_GB2312" w:hAnsi="仿宋_GB2312" w:eastAsia="仿宋_GB2312" w:cs="仿宋_GB2312"/>
          <w:color w:val="auto"/>
          <w:kern w:val="0"/>
          <w:sz w:val="28"/>
          <w:szCs w:val="28"/>
          <w:highlight w:val="none"/>
        </w:rPr>
        <w:t>）立即启动Ⅰ级应急响应。</w:t>
      </w:r>
    </w:p>
    <w:p w14:paraId="7A89276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3.1 召开现场应急会议</w:t>
      </w:r>
    </w:p>
    <w:p w14:paraId="4E93F9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会议由总指挥主持召开。第一副总指挥根据灾害严重程度，抽调综合协调组、抢险救灾组、技术专家组、物资供应组、后勤保障组、安全监督组、医疗救护组有关成员参加应急会议，安排部署灾害预防和应急处置工作。必要时通知警戒保卫组、信息发布组、善后处理组参加后续应急会议。</w:t>
      </w:r>
    </w:p>
    <w:p w14:paraId="6A50C638">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3.2 信息上报</w:t>
      </w:r>
    </w:p>
    <w:p w14:paraId="508E05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信息上报按综合应急预案“3.3.3 信息上报”部分的要求执行。</w:t>
      </w:r>
    </w:p>
    <w:p w14:paraId="7A99BD7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3.3 资源协调</w:t>
      </w:r>
    </w:p>
    <w:p w14:paraId="16FE6E2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根据事故性质和严重程度，按照应急预案提供的应急资源信息，经指挥部批准：</w:t>
      </w:r>
    </w:p>
    <w:p w14:paraId="11B28A5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ascii="仿宋_GB2312" w:hAnsi="仿宋_GB2312" w:eastAsia="仿宋_GB2312" w:cs="仿宋_GB2312"/>
          <w:color w:val="auto"/>
          <w:kern w:val="0"/>
          <w:sz w:val="28"/>
          <w:szCs w:val="28"/>
          <w:highlight w:val="none"/>
        </w:rPr>
        <w:t>发生事故，</w:t>
      </w:r>
      <w:r>
        <w:rPr>
          <w:rFonts w:hint="eastAsia" w:ascii="仿宋_GB2312" w:hAnsi="仿宋_GB2312" w:eastAsia="仿宋_GB2312" w:cs="仿宋_GB2312"/>
          <w:color w:val="auto"/>
          <w:kern w:val="0"/>
          <w:sz w:val="28"/>
          <w:szCs w:val="28"/>
          <w:highlight w:val="none"/>
        </w:rPr>
        <w:t>调度室</w:t>
      </w:r>
      <w:r>
        <w:rPr>
          <w:rFonts w:ascii="仿宋_GB2312" w:hAnsi="仿宋_GB2312" w:eastAsia="仿宋_GB2312" w:cs="仿宋_GB2312"/>
          <w:color w:val="auto"/>
          <w:kern w:val="0"/>
          <w:sz w:val="28"/>
          <w:szCs w:val="28"/>
          <w:highlight w:val="none"/>
        </w:rPr>
        <w:t>立即召请</w:t>
      </w:r>
      <w:r>
        <w:rPr>
          <w:rFonts w:hint="eastAsia" w:ascii="仿宋_GB2312" w:hAnsi="仿宋_GB2312" w:eastAsia="仿宋_GB2312" w:cs="仿宋_GB2312"/>
          <w:color w:val="auto"/>
          <w:kern w:val="0"/>
          <w:sz w:val="28"/>
          <w:szCs w:val="28"/>
          <w:highlight w:val="none"/>
          <w:lang w:eastAsia="zh-CN"/>
        </w:rPr>
        <w:t>山能救护二大队</w:t>
      </w:r>
      <w:r>
        <w:rPr>
          <w:rFonts w:ascii="仿宋_GB2312" w:hAnsi="仿宋_GB2312" w:eastAsia="仿宋_GB2312" w:cs="仿宋_GB2312"/>
          <w:color w:val="auto"/>
          <w:kern w:val="0"/>
          <w:sz w:val="28"/>
          <w:szCs w:val="28"/>
          <w:highlight w:val="none"/>
        </w:rPr>
        <w:t>到矿下井搜救受伤或涉险人员</w:t>
      </w:r>
      <w:r>
        <w:rPr>
          <w:rFonts w:hint="eastAsia" w:ascii="仿宋_GB2312" w:hAnsi="仿宋_GB2312" w:eastAsia="仿宋_GB2312" w:cs="仿宋_GB2312"/>
          <w:color w:val="auto"/>
          <w:kern w:val="0"/>
          <w:sz w:val="28"/>
          <w:szCs w:val="28"/>
          <w:highlight w:val="none"/>
        </w:rPr>
        <w:t>；内蒙能源医院</w:t>
      </w:r>
      <w:r>
        <w:rPr>
          <w:rFonts w:ascii="仿宋_GB2312" w:hAnsi="仿宋_GB2312" w:eastAsia="仿宋_GB2312" w:cs="仿宋_GB2312"/>
          <w:color w:val="auto"/>
          <w:kern w:val="0"/>
          <w:sz w:val="28"/>
          <w:szCs w:val="28"/>
          <w:highlight w:val="none"/>
        </w:rPr>
        <w:t>驻矿</w:t>
      </w:r>
      <w:r>
        <w:rPr>
          <w:rFonts w:hint="eastAsia" w:ascii="仿宋_GB2312" w:hAnsi="仿宋_GB2312" w:eastAsia="仿宋_GB2312" w:cs="仿宋_GB2312"/>
          <w:color w:val="auto"/>
          <w:kern w:val="0"/>
          <w:sz w:val="28"/>
          <w:szCs w:val="28"/>
          <w:highlight w:val="none"/>
        </w:rPr>
        <w:t>保健站</w:t>
      </w:r>
      <w:r>
        <w:rPr>
          <w:rFonts w:ascii="仿宋_GB2312" w:hAnsi="仿宋_GB2312" w:eastAsia="仿宋_GB2312" w:cs="仿宋_GB2312"/>
          <w:color w:val="auto"/>
          <w:kern w:val="0"/>
          <w:sz w:val="28"/>
          <w:szCs w:val="28"/>
          <w:highlight w:val="none"/>
        </w:rPr>
        <w:t>负责对伤员先期救护，联系</w:t>
      </w:r>
      <w:r>
        <w:rPr>
          <w:rFonts w:hint="eastAsia" w:ascii="仿宋_GB2312" w:hAnsi="仿宋_GB2312" w:eastAsia="仿宋_GB2312" w:cs="仿宋_GB2312"/>
          <w:color w:val="auto"/>
          <w:kern w:val="0"/>
          <w:sz w:val="28"/>
          <w:szCs w:val="28"/>
          <w:highlight w:val="none"/>
          <w:lang w:eastAsia="zh-CN"/>
        </w:rPr>
        <w:t>山东颐养健康集团内蒙能源医院</w:t>
      </w:r>
      <w:r>
        <w:rPr>
          <w:rFonts w:ascii="仿宋_GB2312" w:hAnsi="仿宋_GB2312" w:eastAsia="仿宋_GB2312" w:cs="仿宋_GB2312"/>
          <w:color w:val="auto"/>
          <w:kern w:val="0"/>
          <w:sz w:val="28"/>
          <w:szCs w:val="28"/>
          <w:highlight w:val="none"/>
        </w:rPr>
        <w:t>到矿对受伤人员进行医疗救治。</w:t>
      </w:r>
    </w:p>
    <w:p w14:paraId="007A4F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ascii="仿宋_GB2312" w:hAnsi="仿宋_GB2312" w:eastAsia="仿宋_GB2312" w:cs="仿宋_GB2312"/>
          <w:color w:val="auto"/>
          <w:kern w:val="0"/>
          <w:sz w:val="28"/>
          <w:szCs w:val="28"/>
          <w:highlight w:val="none"/>
        </w:rPr>
        <w:t>调集事故应急救援技术专家，研究制定应急救援方案。</w:t>
      </w:r>
    </w:p>
    <w:p w14:paraId="431BD4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w:t>
      </w:r>
      <w:r>
        <w:rPr>
          <w:rFonts w:ascii="仿宋_GB2312" w:hAnsi="仿宋_GB2312" w:eastAsia="仿宋_GB2312" w:cs="仿宋_GB2312"/>
          <w:color w:val="auto"/>
          <w:kern w:val="0"/>
          <w:sz w:val="28"/>
          <w:szCs w:val="28"/>
          <w:highlight w:val="none"/>
        </w:rPr>
        <w:t>调集事故所需各类应急物资，通知</w:t>
      </w:r>
      <w:r>
        <w:rPr>
          <w:rFonts w:hint="eastAsia" w:ascii="仿宋_GB2312" w:hAnsi="仿宋_GB2312" w:eastAsia="仿宋_GB2312" w:cs="仿宋_GB2312"/>
          <w:color w:val="auto"/>
          <w:kern w:val="0"/>
          <w:sz w:val="28"/>
          <w:szCs w:val="28"/>
          <w:highlight w:val="none"/>
        </w:rPr>
        <w:t>运营管理部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供应分部</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机电工区</w:t>
      </w:r>
      <w:r>
        <w:rPr>
          <w:rFonts w:ascii="仿宋_GB2312" w:hAnsi="仿宋_GB2312" w:eastAsia="仿宋_GB2312" w:cs="仿宋_GB2312"/>
          <w:color w:val="auto"/>
          <w:kern w:val="0"/>
          <w:sz w:val="28"/>
          <w:szCs w:val="28"/>
          <w:highlight w:val="none"/>
        </w:rPr>
        <w:t>做好应急物资调配、运输准备。</w:t>
      </w:r>
    </w:p>
    <w:p w14:paraId="157D9B1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专（兼）职应急救援队伍、医疗救护队伍、</w:t>
      </w:r>
      <w:r>
        <w:rPr>
          <w:rFonts w:hint="eastAsia" w:ascii="仿宋_GB2312" w:hAnsi="仿宋_GB2312" w:eastAsia="仿宋_GB2312" w:cs="仿宋_GB2312"/>
          <w:color w:val="auto"/>
          <w:kern w:val="0"/>
          <w:sz w:val="28"/>
          <w:szCs w:val="28"/>
          <w:highlight w:val="none"/>
        </w:rPr>
        <w:t>煤尘事故</w:t>
      </w:r>
      <w:r>
        <w:rPr>
          <w:rFonts w:ascii="仿宋_GB2312" w:hAnsi="仿宋_GB2312" w:eastAsia="仿宋_GB2312" w:cs="仿宋_GB2312"/>
          <w:color w:val="auto"/>
          <w:kern w:val="0"/>
          <w:sz w:val="28"/>
          <w:szCs w:val="28"/>
          <w:highlight w:val="none"/>
        </w:rPr>
        <w:t>技术专家、</w:t>
      </w:r>
      <w:r>
        <w:rPr>
          <w:rFonts w:hint="eastAsia" w:ascii="仿宋_GB2312" w:hAnsi="仿宋_GB2312" w:eastAsia="仿宋_GB2312" w:cs="仿宋_GB2312"/>
          <w:color w:val="auto"/>
          <w:kern w:val="0"/>
          <w:sz w:val="28"/>
          <w:szCs w:val="28"/>
          <w:highlight w:val="none"/>
        </w:rPr>
        <w:t>应急救援物资、</w:t>
      </w:r>
      <w:r>
        <w:rPr>
          <w:rFonts w:ascii="仿宋_GB2312" w:hAnsi="仿宋_GB2312" w:eastAsia="仿宋_GB2312" w:cs="仿宋_GB2312"/>
          <w:color w:val="auto"/>
          <w:kern w:val="0"/>
          <w:sz w:val="28"/>
          <w:szCs w:val="28"/>
          <w:highlight w:val="none"/>
        </w:rPr>
        <w:t>警戒保卫人员</w:t>
      </w:r>
      <w:r>
        <w:rPr>
          <w:rFonts w:hint="eastAsia" w:ascii="仿宋_GB2312" w:hAnsi="仿宋_GB2312" w:eastAsia="仿宋_GB2312" w:cs="仿宋_GB2312"/>
          <w:color w:val="auto"/>
          <w:kern w:val="0"/>
          <w:sz w:val="28"/>
          <w:szCs w:val="28"/>
          <w:highlight w:val="none"/>
        </w:rPr>
        <w:t>不能满足应急救援工作时</w:t>
      </w:r>
      <w:r>
        <w:rPr>
          <w:rFonts w:ascii="仿宋_GB2312" w:hAnsi="仿宋_GB2312" w:eastAsia="仿宋_GB2312" w:cs="仿宋_GB2312"/>
          <w:color w:val="auto"/>
          <w:kern w:val="0"/>
          <w:sz w:val="28"/>
          <w:szCs w:val="28"/>
          <w:highlight w:val="none"/>
        </w:rPr>
        <w:t>，由指挥部提出申请外援。</w:t>
      </w:r>
    </w:p>
    <w:p w14:paraId="75CEB4FB">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3.4 信息公开</w:t>
      </w:r>
    </w:p>
    <w:p w14:paraId="545EC7C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信息发布组及时收集、汇总事故发展态势及现场救援信息，遵照“实事求是、客观公正、及时准确”原则，拟定信息发布材料，报应急救援指挥部审查批准后，及时向社会发布事故应急救援有关信息。必要时，采用新闻发布会的形式进行，信息发言人由应急救援指挥部确定。</w:t>
      </w:r>
    </w:p>
    <w:p w14:paraId="611105B3">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3.5 后勤及财力保障</w:t>
      </w:r>
    </w:p>
    <w:p w14:paraId="51F8EDC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后勤保障组做好应急救援指挥人员、应急救援队伍、医疗救护</w:t>
      </w:r>
      <w:r>
        <w:rPr>
          <w:rFonts w:hint="eastAsia" w:ascii="仿宋_GB2312" w:hAnsi="仿宋_GB2312" w:eastAsia="仿宋_GB2312" w:cs="仿宋_GB2312"/>
          <w:color w:val="auto"/>
          <w:kern w:val="0"/>
          <w:sz w:val="28"/>
          <w:szCs w:val="28"/>
          <w:highlight w:val="none"/>
        </w:rPr>
        <w:t>队伍、受困人员家属接待、食宿等后勤工作；做好</w:t>
      </w:r>
      <w:r>
        <w:rPr>
          <w:rFonts w:ascii="仿宋_GB2312" w:hAnsi="仿宋_GB2312" w:eastAsia="仿宋_GB2312" w:cs="仿宋_GB2312"/>
          <w:color w:val="auto"/>
          <w:kern w:val="0"/>
          <w:sz w:val="28"/>
          <w:szCs w:val="28"/>
          <w:highlight w:val="none"/>
        </w:rPr>
        <w:t>抢险救灾</w:t>
      </w:r>
      <w:r>
        <w:rPr>
          <w:rFonts w:hint="eastAsia" w:ascii="仿宋_GB2312" w:hAnsi="仿宋_GB2312" w:eastAsia="仿宋_GB2312" w:cs="仿宋_GB2312"/>
          <w:color w:val="auto"/>
          <w:kern w:val="0"/>
          <w:sz w:val="28"/>
          <w:szCs w:val="28"/>
          <w:highlight w:val="none"/>
        </w:rPr>
        <w:t>所需</w:t>
      </w:r>
      <w:r>
        <w:rPr>
          <w:rFonts w:ascii="仿宋_GB2312" w:hAnsi="仿宋_GB2312" w:eastAsia="仿宋_GB2312" w:cs="仿宋_GB2312"/>
          <w:color w:val="auto"/>
          <w:kern w:val="0"/>
          <w:sz w:val="28"/>
          <w:szCs w:val="28"/>
          <w:highlight w:val="none"/>
        </w:rPr>
        <w:t>资金</w:t>
      </w:r>
      <w:r>
        <w:rPr>
          <w:rFonts w:hint="eastAsia" w:ascii="仿宋_GB2312" w:hAnsi="仿宋_GB2312" w:eastAsia="仿宋_GB2312" w:cs="仿宋_GB2312"/>
          <w:color w:val="auto"/>
          <w:kern w:val="0"/>
          <w:sz w:val="28"/>
          <w:szCs w:val="28"/>
          <w:highlight w:val="none"/>
        </w:rPr>
        <w:t>协调</w:t>
      </w:r>
      <w:r>
        <w:rPr>
          <w:rFonts w:ascii="仿宋_GB2312" w:hAnsi="仿宋_GB2312" w:eastAsia="仿宋_GB2312" w:cs="仿宋_GB2312"/>
          <w:color w:val="auto"/>
          <w:kern w:val="0"/>
          <w:sz w:val="28"/>
          <w:szCs w:val="28"/>
          <w:highlight w:val="none"/>
        </w:rPr>
        <w:t>。</w:t>
      </w:r>
    </w:p>
    <w:p w14:paraId="4E2C23C9">
      <w:pPr>
        <w:spacing w:line="560" w:lineRule="exact"/>
        <w:ind w:firstLine="602" w:firstLineChars="200"/>
        <w:outlineLvl w:val="2"/>
        <w:rPr>
          <w:rFonts w:ascii="仿宋" w:hAnsi="仿宋" w:eastAsia="仿宋" w:cs="仿宋"/>
          <w:b/>
          <w:bCs/>
          <w:color w:val="auto"/>
          <w:sz w:val="30"/>
          <w:szCs w:val="30"/>
          <w:highlight w:val="none"/>
        </w:rPr>
      </w:pPr>
      <w:bookmarkStart w:id="349" w:name="_Toc22630"/>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4 处置措施</w:t>
      </w:r>
      <w:bookmarkEnd w:id="349"/>
    </w:p>
    <w:p w14:paraId="53CFF83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lang w:val="en-US" w:eastAsia="zh-CN"/>
        </w:rPr>
        <w:t>压力容器事故风险</w:t>
      </w:r>
      <w:r>
        <w:rPr>
          <w:rFonts w:ascii="仿宋_GB2312" w:hAnsi="仿宋_GB2312" w:eastAsia="仿宋_GB2312" w:cs="仿宋_GB2312"/>
          <w:color w:val="auto"/>
          <w:kern w:val="0"/>
          <w:sz w:val="28"/>
          <w:szCs w:val="28"/>
          <w:highlight w:val="none"/>
        </w:rPr>
        <w:t>为较大风险。</w:t>
      </w:r>
    </w:p>
    <w:p w14:paraId="1C504F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危害程度和影响范围：</w:t>
      </w:r>
      <w:r>
        <w:rPr>
          <w:rFonts w:hint="eastAsia" w:ascii="仿宋_GB2312" w:hAnsi="仿宋_GB2312" w:eastAsia="仿宋_GB2312" w:cs="仿宋_GB2312"/>
          <w:color w:val="auto"/>
          <w:kern w:val="0"/>
          <w:sz w:val="28"/>
          <w:szCs w:val="28"/>
          <w:highlight w:val="none"/>
          <w:lang w:val="en-US" w:eastAsia="zh-CN"/>
        </w:rPr>
        <w:t>空气压缩机油气桶及储气罐、压风管道、氧气、乙炔气体瓶等。受压容器或管道发生爆炸事故，不但使整个设备遭到破坏，而且会破坏周围的设备和建筑物，并造成人员伤亡事故</w:t>
      </w:r>
      <w:r>
        <w:rPr>
          <w:rFonts w:hint="eastAsia" w:ascii="仿宋_GB2312" w:hAnsi="仿宋_GB2312" w:eastAsia="仿宋_GB2312" w:cs="仿宋_GB2312"/>
          <w:color w:val="auto"/>
          <w:kern w:val="0"/>
          <w:sz w:val="28"/>
          <w:szCs w:val="28"/>
          <w:highlight w:val="none"/>
        </w:rPr>
        <w:t>。因此，需制定相应的应急处置措施:</w:t>
      </w:r>
    </w:p>
    <w:p w14:paraId="453017EB">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.4.1 应急处置原则</w:t>
      </w:r>
    </w:p>
    <w:p w14:paraId="6D9A90E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（1）坚持统一领导、协调联动原则。抢险救灾必须在总指挥的统一领导和具体指挥下开展工作；公司各专业部室（中心）区队按照应急管理职责有序开展应急管理工作，做好协调联动。</w:t>
      </w:r>
    </w:p>
    <w:p w14:paraId="1D7E47F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（2）坚持以人为本、生命至上原则，发生事故后迅速组织危险区域人员沿避灾路线撤离，切实加强应急救援人员的安全防护，最大限度地减少事故造成的人员伤亡和危害，避免次生灾害事故发生。</w:t>
      </w:r>
    </w:p>
    <w:p w14:paraId="6D3BCC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（3）坚持安全第一、科学施救原则。在事故抢救过程中，应采取措施，确保救护人员的安全，严防抢救过程中发生事故。事故现场勘察工作由专业救护人员完成，其他任何人员未经总指挥部许可严禁进入险区。</w:t>
      </w:r>
    </w:p>
    <w:p w14:paraId="2C5C59D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（4）坚持高效救援、科学灾害。井上下应设立专线指挥电话，并保持畅通；做好事故现场视频传输工作，实现应急处置全过程监控，确保应急处置措施科学合理。</w:t>
      </w:r>
    </w:p>
    <w:p w14:paraId="5CB5C867">
      <w:pPr>
        <w:spacing w:line="560" w:lineRule="exact"/>
        <w:ind w:firstLine="643" w:firstLineChars="200"/>
        <w:rPr>
          <w:b/>
          <w:bCs/>
          <w:color w:val="auto"/>
          <w:sz w:val="32"/>
          <w:highlight w:val="none"/>
        </w:rPr>
      </w:pPr>
      <w:r>
        <w:rPr>
          <w:rFonts w:hint="eastAsia"/>
          <w:b/>
          <w:bCs/>
          <w:color w:val="auto"/>
          <w:sz w:val="32"/>
          <w:highlight w:val="none"/>
        </w:rPr>
        <w:t>1</w:t>
      </w:r>
      <w:r>
        <w:rPr>
          <w:rFonts w:hint="eastAsia"/>
          <w:b/>
          <w:bCs/>
          <w:color w:val="auto"/>
          <w:sz w:val="32"/>
          <w:highlight w:val="none"/>
          <w:lang w:val="en-US" w:eastAsia="zh-CN"/>
        </w:rPr>
        <w:t>3</w:t>
      </w:r>
      <w:r>
        <w:rPr>
          <w:rFonts w:hint="eastAsia"/>
          <w:b/>
          <w:bCs/>
          <w:color w:val="auto"/>
          <w:sz w:val="32"/>
          <w:highlight w:val="none"/>
        </w:rPr>
        <w:t>.</w:t>
      </w:r>
      <w:r>
        <w:rPr>
          <w:b/>
          <w:bCs/>
          <w:color w:val="auto"/>
          <w:sz w:val="32"/>
          <w:highlight w:val="none"/>
        </w:rPr>
        <w:t>4.2 处置措施</w:t>
      </w:r>
    </w:p>
    <w:p w14:paraId="7FB626E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（1）发生事故后，现场人员应立即紧急停机、停止工作，发出警报并紧急撤离，同时立即向调度室和本单位值班人员汇报。</w:t>
      </w:r>
    </w:p>
    <w:p w14:paraId="4E45D6F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（2）调度室接到事故汇报后，立即通知所有可能受威胁区域的人员，撤离危险区。</w:t>
      </w:r>
    </w:p>
    <w:p w14:paraId="45263D7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（3）封锁事故现场。严禁一切无关的人员、车辆和物品进入事故危险区域，开辟应急救援人员、车辆及物资进出的安全通道，维持事故现场的社会治安和交通秩序。</w:t>
      </w:r>
    </w:p>
    <w:p w14:paraId="26E27AB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（4）设立现场工作区域。应当根据事故的危害、地形特征、天气条件（特别是风向）等因素，设立现场抢险救援的安全工作区域。</w:t>
      </w:r>
    </w:p>
    <w:p w14:paraId="6DF7E4F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（5）抢救受伤人员。及时、科学、有序地开展受伤人员的现场抢救或者安全转移，尽最大的可能降低人员的伤亡、减少事故所造成的财产损失。</w:t>
      </w:r>
    </w:p>
    <w:p w14:paraId="5ED3AF8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（6）设立人员疏散区。根据事故的类别、规模和危害程度，在必要时，应当果断迅速地划定危险波及范围和区域，组织相关人员和物资安全撤离危险波及范围和区域。</w:t>
      </w:r>
    </w:p>
    <w:p w14:paraId="56A5DF0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（7）事故现场应当在专业技术人员的指导下进行必要的技术处理。事故现场应当开辟应急抢险人员和车辆出入的专用通道和安全通道。</w:t>
      </w:r>
    </w:p>
    <w:p w14:paraId="031848F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（8）压风机、压力容器、压力管道泄漏、爆炸事故应急措施：</w:t>
      </w:r>
    </w:p>
    <w:p w14:paraId="5E3C74E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①爆炸现场</w:t>
      </w:r>
    </w:p>
    <w:p w14:paraId="40F2C9A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如压力容器发生爆炸事故后，为防止事故扩大，压力容器所有阀门应迅速关闭或采取堵漏；对可燃气体和油类应用砂石或二氧化碳、干粉等灭火器进行灭火，同时设置隔离带以防火灾事故蔓延；对受伤人员立即实行现场救护，伤势严重的立即送往附近医院。</w:t>
      </w:r>
    </w:p>
    <w:p w14:paraId="600D133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②泄漏现场</w:t>
      </w:r>
    </w:p>
    <w:p w14:paraId="626019A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a.当压力容器及其设备发生爆裂、鼓包、变形造成大量泄漏或突然停电、停水，使压力容器及其设备不能正常运转，或压力容器及其设备周围发生火灾时，必须紧急停止运行。</w:t>
      </w:r>
    </w:p>
    <w:p w14:paraId="7B27F63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b.进入泄漏现场进行处理时严禁单独行动，必须有监护人，必要时用水枪、水炮掩护，根据防护等级划分标准选择相应等级的个人安全防护措施。</w:t>
      </w:r>
    </w:p>
    <w:p w14:paraId="48B975A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c.根据事故情况和事故发展，应急指挥部确定事故可能波及区人员的撤离，疏散人员至安全地带，根据泄漏物影响区域，划定警戒区域。</w:t>
      </w:r>
    </w:p>
    <w:p w14:paraId="0B7926E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d.泄漏源控制</w:t>
      </w:r>
    </w:p>
    <w:p w14:paraId="5814523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关闭前置阀门、停止作业或改变工艺流程、物料走副线、局部停车、打循环、减负荷运行或排空等。堵漏。采用合适的材料和技术手段堵住泄漏处。</w:t>
      </w:r>
    </w:p>
    <w:p w14:paraId="608D7BB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e.泄漏物处理</w:t>
      </w:r>
    </w:p>
    <w:p w14:paraId="304C5EE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防止泄漏物进入水体、下水道、地下室或密闭性空间，喷雾状水抑制蒸气或改变蒸气云流向，或适当使用防爆型移动风机送风，驱散泄漏物。避免水流接触泄漏物。禁止用水直接冲击泄漏物或泄漏源。隔离泄漏区直至气体散尽。应急处置用水排入污水系统处理。</w:t>
      </w:r>
    </w:p>
    <w:p w14:paraId="4D2EE70D">
      <w:pPr>
        <w:autoSpaceDE w:val="0"/>
        <w:autoSpaceDN w:val="0"/>
        <w:spacing w:line="560" w:lineRule="exact"/>
        <w:ind w:firstLine="602" w:firstLineChars="200"/>
        <w:outlineLvl w:val="2"/>
        <w:rPr>
          <w:rFonts w:ascii="仿宋" w:hAnsi="仿宋" w:eastAsia="仿宋" w:cs="仿宋"/>
          <w:b/>
          <w:bCs/>
          <w:color w:val="auto"/>
          <w:sz w:val="30"/>
          <w:szCs w:val="30"/>
          <w:highlight w:val="none"/>
        </w:rPr>
      </w:pPr>
      <w:bookmarkStart w:id="350" w:name="_Toc29986"/>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.5 应急保障</w:t>
      </w:r>
      <w:bookmarkEnd w:id="350"/>
    </w:p>
    <w:p w14:paraId="6066C0D7">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5.1 通信与信息保障</w:t>
      </w:r>
    </w:p>
    <w:p w14:paraId="21EC49A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通讯与信息保障按照综合应急预案“5.1通讯与信息保障”相关要求执行</w:t>
      </w:r>
      <w:r>
        <w:rPr>
          <w:rFonts w:hint="eastAsia" w:ascii="仿宋_GB2312" w:hAnsi="仿宋_GB2312" w:eastAsia="仿宋_GB2312" w:cs="仿宋_GB2312"/>
          <w:color w:val="auto"/>
          <w:kern w:val="0"/>
          <w:sz w:val="28"/>
          <w:szCs w:val="28"/>
          <w:highlight w:val="none"/>
          <w:lang w:eastAsia="zh-CN"/>
        </w:rPr>
        <w:t>。</w:t>
      </w:r>
    </w:p>
    <w:p w14:paraId="04DB86C3">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2</w:t>
      </w:r>
      <w:r>
        <w:rPr>
          <w:rFonts w:ascii="仿宋" w:hAnsi="仿宋" w:eastAsia="仿宋" w:cs="仿宋"/>
          <w:b/>
          <w:bCs/>
          <w:color w:val="auto"/>
          <w:sz w:val="30"/>
          <w:szCs w:val="30"/>
          <w:highlight w:val="none"/>
        </w:rPr>
        <w:t xml:space="preserve"> 应急队伍保障</w:t>
      </w:r>
    </w:p>
    <w:p w14:paraId="7D1DB48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eastAsia="zh-CN"/>
        </w:rPr>
        <w:t>长城一矿于2026年1月1日与山能救护二大队</w:t>
      </w:r>
      <w:r>
        <w:rPr>
          <w:rFonts w:hint="eastAsia" w:ascii="仿宋_GB2312" w:hAnsi="仿宋_GB2312" w:eastAsia="仿宋_GB2312" w:cs="仿宋_GB2312"/>
          <w:color w:val="auto"/>
          <w:kern w:val="0"/>
          <w:sz w:val="28"/>
          <w:szCs w:val="28"/>
          <w:highlight w:val="none"/>
        </w:rPr>
        <w:t>签订了《煤矿救护技术服务协议书》，有效保证了矿井应急处置保障能力。该矿山救护队是一支专业矿山救护队伍，设备齐全，人员配备充足。</w:t>
      </w:r>
    </w:p>
    <w:p w14:paraId="30DD6E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eastAsia="zh-CN"/>
        </w:rPr>
        <w:t>长城一矿兼职矿山救护队在册兼职矿山救护指战员21人，配备专职队长、副队长与仪器装备管理员各1人，兼职技术员1人。下设2个救护小队，每个小队由9人组成</w:t>
      </w:r>
      <w:r>
        <w:rPr>
          <w:rFonts w:hint="eastAsia" w:ascii="仿宋_GB2312" w:hAnsi="仿宋_GB2312" w:eastAsia="仿宋_GB2312" w:cs="仿宋_GB2312"/>
          <w:color w:val="auto"/>
          <w:kern w:val="0"/>
          <w:sz w:val="28"/>
          <w:szCs w:val="28"/>
          <w:highlight w:val="none"/>
        </w:rPr>
        <w:t>。</w:t>
      </w:r>
    </w:p>
    <w:p w14:paraId="4AD3FA68">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3</w:t>
      </w:r>
      <w:r>
        <w:rPr>
          <w:rFonts w:ascii="仿宋" w:hAnsi="仿宋" w:eastAsia="仿宋" w:cs="仿宋"/>
          <w:b/>
          <w:bCs/>
          <w:color w:val="auto"/>
          <w:sz w:val="30"/>
          <w:szCs w:val="30"/>
          <w:highlight w:val="none"/>
        </w:rPr>
        <w:t xml:space="preserve"> </w:t>
      </w:r>
      <w:r>
        <w:rPr>
          <w:rFonts w:hint="eastAsia" w:ascii="仿宋" w:hAnsi="仿宋" w:eastAsia="仿宋" w:cs="仿宋"/>
          <w:b/>
          <w:bCs/>
          <w:color w:val="auto"/>
          <w:sz w:val="30"/>
          <w:szCs w:val="30"/>
          <w:highlight w:val="none"/>
        </w:rPr>
        <w:t>物资装备保障</w:t>
      </w:r>
    </w:p>
    <w:p w14:paraId="39F81D1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物资装备保障按照综合应急预案“5.3 应急物资装备保障”相关要求执行</w:t>
      </w:r>
    </w:p>
    <w:p w14:paraId="4263B3B1">
      <w:pPr>
        <w:spacing w:line="52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hint="eastAsia" w:ascii="仿宋" w:hAnsi="仿宋" w:eastAsia="仿宋" w:cs="仿宋"/>
          <w:b/>
          <w:bCs/>
          <w:color w:val="auto"/>
          <w:sz w:val="30"/>
          <w:szCs w:val="30"/>
          <w:highlight w:val="none"/>
          <w:lang w:val="en-US" w:eastAsia="zh-CN"/>
        </w:rPr>
        <w:t>3</w:t>
      </w:r>
      <w:r>
        <w:rPr>
          <w:rFonts w:hint="eastAsia" w:ascii="仿宋" w:hAnsi="仿宋" w:eastAsia="仿宋" w:cs="仿宋"/>
          <w:b/>
          <w:bCs/>
          <w:color w:val="auto"/>
          <w:sz w:val="30"/>
          <w:szCs w:val="30"/>
          <w:highlight w:val="none"/>
        </w:rPr>
        <w:t>.</w:t>
      </w:r>
      <w:r>
        <w:rPr>
          <w:rFonts w:ascii="仿宋" w:hAnsi="仿宋" w:eastAsia="仿宋" w:cs="仿宋"/>
          <w:b/>
          <w:bCs/>
          <w:color w:val="auto"/>
          <w:sz w:val="30"/>
          <w:szCs w:val="30"/>
          <w:highlight w:val="none"/>
        </w:rPr>
        <w:t>5.</w:t>
      </w:r>
      <w:r>
        <w:rPr>
          <w:rFonts w:hint="eastAsia" w:ascii="仿宋" w:hAnsi="仿宋" w:eastAsia="仿宋" w:cs="仿宋"/>
          <w:b/>
          <w:bCs/>
          <w:color w:val="auto"/>
          <w:sz w:val="30"/>
          <w:szCs w:val="30"/>
          <w:highlight w:val="none"/>
        </w:rPr>
        <w:t>4</w:t>
      </w:r>
      <w:r>
        <w:rPr>
          <w:rFonts w:ascii="仿宋" w:hAnsi="仿宋" w:eastAsia="仿宋" w:cs="仿宋"/>
          <w:b/>
          <w:bCs/>
          <w:color w:val="auto"/>
          <w:sz w:val="30"/>
          <w:szCs w:val="30"/>
          <w:highlight w:val="none"/>
        </w:rPr>
        <w:t xml:space="preserve"> 其他保障</w:t>
      </w:r>
    </w:p>
    <w:p w14:paraId="4A3880C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其他保障按照综合应急预案“5.4其他保障”相关要求执行。</w:t>
      </w:r>
      <w:r>
        <w:rPr>
          <w:rFonts w:ascii="仿宋_GB2312" w:hAnsi="仿宋_GB2312" w:eastAsia="仿宋_GB2312" w:cs="仿宋_GB2312"/>
          <w:color w:val="auto"/>
          <w:kern w:val="0"/>
          <w:sz w:val="28"/>
          <w:szCs w:val="28"/>
          <w:highlight w:val="none"/>
        </w:rPr>
        <w:br w:type="page"/>
      </w:r>
    </w:p>
    <w:bookmarkEnd w:id="245"/>
    <w:bookmarkEnd w:id="246"/>
    <w:bookmarkEnd w:id="247"/>
    <w:bookmarkEnd w:id="248"/>
    <w:bookmarkEnd w:id="249"/>
    <w:bookmarkEnd w:id="250"/>
    <w:bookmarkEnd w:id="251"/>
    <w:p w14:paraId="07448C97">
      <w:pPr>
        <w:keepNext/>
        <w:keepLines/>
        <w:spacing w:line="560" w:lineRule="exact"/>
        <w:jc w:val="center"/>
        <w:outlineLvl w:val="0"/>
        <w:rPr>
          <w:rFonts w:ascii="方正小标宋简体" w:hAnsi="方正小标宋简体" w:eastAsia="方正小标宋简体" w:cs="方正小标宋简体"/>
          <w:b/>
          <w:color w:val="auto"/>
          <w:kern w:val="44"/>
          <w:sz w:val="44"/>
          <w:szCs w:val="44"/>
          <w:highlight w:val="none"/>
        </w:rPr>
      </w:pPr>
      <w:bookmarkStart w:id="351" w:name="_Toc5231"/>
      <w:bookmarkStart w:id="352" w:name="_Toc29953"/>
      <w:r>
        <w:rPr>
          <w:rFonts w:hint="eastAsia" w:ascii="方正小标宋简体" w:hAnsi="方正小标宋简体" w:eastAsia="方正小标宋简体" w:cs="方正小标宋简体"/>
          <w:b/>
          <w:color w:val="auto"/>
          <w:kern w:val="44"/>
          <w:sz w:val="44"/>
          <w:szCs w:val="44"/>
          <w:highlight w:val="none"/>
        </w:rPr>
        <w:t>第三部分 现场处置方案</w:t>
      </w:r>
      <w:bookmarkEnd w:id="351"/>
      <w:bookmarkEnd w:id="352"/>
    </w:p>
    <w:bookmarkEnd w:id="226"/>
    <w:bookmarkEnd w:id="252"/>
    <w:bookmarkEnd w:id="253"/>
    <w:p w14:paraId="1409739D">
      <w:pPr>
        <w:tabs>
          <w:tab w:val="left" w:pos="0"/>
        </w:tabs>
        <w:spacing w:line="560" w:lineRule="exact"/>
        <w:ind w:firstLine="600" w:firstLineChars="200"/>
        <w:outlineLvl w:val="0"/>
        <w:rPr>
          <w:rFonts w:ascii="黑体" w:hAnsi="黑体" w:eastAsia="黑体" w:cs="黑体"/>
          <w:color w:val="auto"/>
          <w:sz w:val="30"/>
          <w:szCs w:val="30"/>
          <w:highlight w:val="none"/>
        </w:rPr>
      </w:pPr>
      <w:bookmarkStart w:id="353" w:name="_Toc19253"/>
      <w:bookmarkStart w:id="354" w:name="_Toc27481"/>
      <w:bookmarkStart w:id="355" w:name="_Toc7132"/>
      <w:bookmarkStart w:id="356" w:name="_Toc12204"/>
      <w:r>
        <w:rPr>
          <w:rFonts w:hint="eastAsia" w:ascii="黑体" w:hAnsi="黑体" w:eastAsia="黑体" w:cs="黑体"/>
          <w:color w:val="auto"/>
          <w:sz w:val="30"/>
          <w:szCs w:val="30"/>
          <w:highlight w:val="none"/>
        </w:rPr>
        <w:t xml:space="preserve">1 </w:t>
      </w:r>
      <w:r>
        <w:rPr>
          <w:rFonts w:hint="eastAsia" w:ascii="黑体" w:hAnsi="黑体" w:eastAsia="黑体" w:cs="黑体"/>
          <w:color w:val="auto"/>
          <w:sz w:val="30"/>
          <w:szCs w:val="30"/>
          <w:highlight w:val="none"/>
          <w:lang w:val="en-US" w:eastAsia="zh-CN"/>
        </w:rPr>
        <w:t>瓦斯</w:t>
      </w:r>
      <w:r>
        <w:rPr>
          <w:rFonts w:hint="eastAsia" w:ascii="黑体" w:hAnsi="黑体" w:eastAsia="黑体" w:cs="黑体"/>
          <w:color w:val="auto"/>
          <w:sz w:val="30"/>
          <w:szCs w:val="30"/>
          <w:highlight w:val="none"/>
        </w:rPr>
        <w:t>事故现场处置方案</w:t>
      </w:r>
      <w:bookmarkEnd w:id="353"/>
      <w:bookmarkEnd w:id="354"/>
      <w:bookmarkEnd w:id="355"/>
      <w:bookmarkEnd w:id="356"/>
    </w:p>
    <w:p w14:paraId="1AF09715">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57" w:name="_Toc31201"/>
      <w:bookmarkStart w:id="358" w:name="_Toc31186"/>
      <w:bookmarkStart w:id="359" w:name="_Toc16847"/>
      <w:bookmarkStart w:id="360" w:name="_Toc720"/>
      <w:r>
        <w:rPr>
          <w:rFonts w:hint="eastAsia" w:ascii="楷体_GB2312" w:hAnsi="楷体_GB2312" w:eastAsia="楷体_GB2312" w:cs="楷体_GB2312"/>
          <w:color w:val="auto"/>
          <w:sz w:val="30"/>
          <w:szCs w:val="30"/>
          <w:highlight w:val="none"/>
        </w:rPr>
        <w:t>1.1事故风险描述</w:t>
      </w:r>
      <w:bookmarkEnd w:id="357"/>
      <w:bookmarkEnd w:id="358"/>
      <w:bookmarkEnd w:id="359"/>
      <w:bookmarkEnd w:id="360"/>
    </w:p>
    <w:p w14:paraId="35AF9AC0">
      <w:pPr>
        <w:spacing w:line="560" w:lineRule="exact"/>
        <w:ind w:firstLine="602" w:firstLineChars="200"/>
        <w:rPr>
          <w:rFonts w:ascii="仿宋" w:hAnsi="仿宋" w:eastAsia="仿宋" w:cs="仿宋"/>
          <w:b/>
          <w:bCs/>
          <w:color w:val="auto"/>
          <w:sz w:val="30"/>
          <w:szCs w:val="30"/>
          <w:highlight w:val="none"/>
        </w:rPr>
      </w:pPr>
      <w:bookmarkStart w:id="361" w:name="_Toc15587"/>
      <w:bookmarkStart w:id="362" w:name="_Toc18334"/>
      <w:bookmarkStart w:id="363" w:name="_Toc17723"/>
      <w:r>
        <w:rPr>
          <w:rFonts w:hint="eastAsia" w:ascii="仿宋" w:hAnsi="仿宋" w:eastAsia="仿宋" w:cs="仿宋"/>
          <w:b/>
          <w:bCs/>
          <w:color w:val="auto"/>
          <w:sz w:val="30"/>
          <w:szCs w:val="30"/>
          <w:highlight w:val="none"/>
        </w:rPr>
        <w:t>1.1.1 风险描述</w:t>
      </w:r>
    </w:p>
    <w:p w14:paraId="4E0BE9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本矿属于低</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瓦斯属于可燃气体，</w:t>
      </w:r>
      <w:r>
        <w:rPr>
          <w:rFonts w:hint="eastAsia" w:ascii="仿宋_GB2312" w:hAnsi="仿宋_GB2312" w:eastAsia="仿宋_GB2312" w:cs="仿宋_GB2312"/>
          <w:color w:val="auto"/>
          <w:kern w:val="0"/>
          <w:sz w:val="28"/>
          <w:szCs w:val="28"/>
          <w:highlight w:val="none"/>
        </w:rPr>
        <w:t>根据地质报告可采煤层</w:t>
      </w:r>
      <w:r>
        <w:rPr>
          <w:rFonts w:hint="eastAsia" w:ascii="仿宋_GB2312" w:hAnsi="仿宋_GB2312" w:eastAsia="仿宋_GB2312" w:cs="仿宋_GB2312"/>
          <w:color w:val="auto"/>
          <w:kern w:val="0"/>
          <w:sz w:val="28"/>
          <w:szCs w:val="28"/>
          <w:highlight w:val="none"/>
          <w:lang w:val="en-US" w:eastAsia="zh-CN"/>
        </w:rPr>
        <w:t>瓦斯</w:t>
      </w:r>
      <w:r>
        <w:rPr>
          <w:rFonts w:hint="eastAsia" w:ascii="仿宋_GB2312" w:hAnsi="仿宋_GB2312" w:eastAsia="仿宋_GB2312" w:cs="仿宋_GB2312"/>
          <w:color w:val="auto"/>
          <w:kern w:val="0"/>
          <w:sz w:val="28"/>
          <w:szCs w:val="28"/>
          <w:highlight w:val="none"/>
        </w:rPr>
        <w:t>成分中：CH</w:t>
      </w:r>
      <w:r>
        <w:rPr>
          <w:rFonts w:hint="eastAsia" w:ascii="仿宋_GB2312" w:hAnsi="仿宋_GB2312" w:eastAsia="仿宋_GB2312" w:cs="仿宋_GB2312"/>
          <w:color w:val="auto"/>
          <w:kern w:val="0"/>
          <w:sz w:val="28"/>
          <w:szCs w:val="28"/>
          <w:highlight w:val="none"/>
          <w:vertAlign w:val="subscript"/>
        </w:rPr>
        <w:t>4</w:t>
      </w:r>
      <w:r>
        <w:rPr>
          <w:rFonts w:hint="eastAsia" w:ascii="仿宋_GB2312" w:hAnsi="仿宋_GB2312" w:eastAsia="仿宋_GB2312" w:cs="仿宋_GB2312"/>
          <w:color w:val="auto"/>
          <w:kern w:val="0"/>
          <w:sz w:val="28"/>
          <w:szCs w:val="28"/>
          <w:highlight w:val="none"/>
        </w:rPr>
        <w:t>为0.00～58.73%，CO</w:t>
      </w:r>
      <w:r>
        <w:rPr>
          <w:rFonts w:hint="eastAsia" w:ascii="仿宋_GB2312" w:hAnsi="仿宋_GB2312" w:eastAsia="仿宋_GB2312" w:cs="仿宋_GB2312"/>
          <w:color w:val="auto"/>
          <w:kern w:val="0"/>
          <w:sz w:val="28"/>
          <w:szCs w:val="28"/>
          <w:highlight w:val="none"/>
          <w:vertAlign w:val="subscript"/>
        </w:rPr>
        <w:t>2</w:t>
      </w:r>
      <w:r>
        <w:rPr>
          <w:rFonts w:hint="eastAsia" w:ascii="仿宋_GB2312" w:hAnsi="仿宋_GB2312" w:eastAsia="仿宋_GB2312" w:cs="仿宋_GB2312"/>
          <w:color w:val="auto"/>
          <w:kern w:val="0"/>
          <w:sz w:val="28"/>
          <w:szCs w:val="28"/>
          <w:highlight w:val="none"/>
        </w:rPr>
        <w:t>为</w:t>
      </w:r>
      <w:r>
        <w:rPr>
          <w:rFonts w:hint="eastAsia" w:ascii="仿宋_GB2312" w:hAnsi="仿宋_GB2312" w:eastAsia="仿宋_GB2312" w:cs="仿宋_GB2312"/>
          <w:color w:val="auto"/>
          <w:kern w:val="0"/>
          <w:sz w:val="28"/>
          <w:szCs w:val="28"/>
          <w:highlight w:val="none"/>
          <w:lang w:eastAsia="zh-CN"/>
        </w:rPr>
        <w:t>0.38%～28.30%</w:t>
      </w:r>
      <w:r>
        <w:rPr>
          <w:rFonts w:hint="eastAsia" w:ascii="仿宋_GB2312" w:hAnsi="仿宋_GB2312" w:eastAsia="仿宋_GB2312" w:cs="仿宋_GB2312"/>
          <w:color w:val="auto"/>
          <w:kern w:val="0"/>
          <w:sz w:val="28"/>
          <w:szCs w:val="28"/>
          <w:highlight w:val="none"/>
        </w:rPr>
        <w:t>，N</w:t>
      </w:r>
      <w:r>
        <w:rPr>
          <w:rFonts w:hint="eastAsia" w:ascii="仿宋_GB2312" w:hAnsi="仿宋_GB2312" w:eastAsia="仿宋_GB2312" w:cs="仿宋_GB2312"/>
          <w:color w:val="auto"/>
          <w:kern w:val="0"/>
          <w:sz w:val="28"/>
          <w:szCs w:val="28"/>
          <w:highlight w:val="none"/>
          <w:vertAlign w:val="subscript"/>
        </w:rPr>
        <w:t>2</w:t>
      </w:r>
      <w:r>
        <w:rPr>
          <w:rFonts w:hint="eastAsia" w:ascii="仿宋_GB2312" w:hAnsi="仿宋_GB2312" w:eastAsia="仿宋_GB2312" w:cs="仿宋_GB2312"/>
          <w:color w:val="auto"/>
          <w:kern w:val="0"/>
          <w:sz w:val="28"/>
          <w:szCs w:val="28"/>
          <w:highlight w:val="none"/>
        </w:rPr>
        <w:t>为</w:t>
      </w:r>
      <w:r>
        <w:rPr>
          <w:rFonts w:hint="eastAsia" w:ascii="仿宋_GB2312" w:hAnsi="仿宋_GB2312" w:eastAsia="仿宋_GB2312" w:cs="仿宋_GB2312"/>
          <w:color w:val="auto"/>
          <w:kern w:val="0"/>
          <w:sz w:val="28"/>
          <w:szCs w:val="28"/>
          <w:highlight w:val="none"/>
          <w:lang w:eastAsia="zh-CN"/>
        </w:rPr>
        <w:t>38.72%～99.44%</w:t>
      </w:r>
      <w:r>
        <w:rPr>
          <w:rFonts w:hint="eastAsia" w:ascii="仿宋_GB2312" w:hAnsi="仿宋_GB2312" w:eastAsia="仿宋_GB2312" w:cs="仿宋_GB2312"/>
          <w:color w:val="auto"/>
          <w:kern w:val="0"/>
          <w:sz w:val="28"/>
          <w:szCs w:val="28"/>
          <w:highlight w:val="none"/>
        </w:rPr>
        <w:t>，矿井</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分带为CO</w:t>
      </w:r>
      <w:r>
        <w:rPr>
          <w:rFonts w:hint="eastAsia" w:ascii="仿宋_GB2312" w:hAnsi="仿宋_GB2312" w:eastAsia="仿宋_GB2312" w:cs="仿宋_GB2312"/>
          <w:color w:val="auto"/>
          <w:kern w:val="0"/>
          <w:sz w:val="28"/>
          <w:szCs w:val="28"/>
          <w:highlight w:val="none"/>
          <w:vertAlign w:val="subscript"/>
        </w:rPr>
        <w:t>2</w:t>
      </w:r>
      <w:r>
        <w:rPr>
          <w:rFonts w:hint="eastAsia" w:ascii="仿宋_GB2312" w:hAnsi="仿宋_GB2312" w:eastAsia="仿宋_GB2312" w:cs="仿宋_GB2312"/>
          <w:color w:val="auto"/>
          <w:kern w:val="0"/>
          <w:sz w:val="28"/>
          <w:szCs w:val="28"/>
          <w:highlight w:val="none"/>
        </w:rPr>
        <w:t>～N</w:t>
      </w:r>
      <w:r>
        <w:rPr>
          <w:rFonts w:hint="eastAsia" w:ascii="仿宋_GB2312" w:hAnsi="仿宋_GB2312" w:eastAsia="仿宋_GB2312" w:cs="仿宋_GB2312"/>
          <w:color w:val="auto"/>
          <w:kern w:val="0"/>
          <w:sz w:val="28"/>
          <w:szCs w:val="28"/>
          <w:highlight w:val="none"/>
          <w:vertAlign w:val="subscript"/>
        </w:rPr>
        <w:t>2</w:t>
      </w:r>
      <w:r>
        <w:rPr>
          <w:rFonts w:hint="eastAsia" w:ascii="仿宋_GB2312" w:hAnsi="仿宋_GB2312" w:eastAsia="仿宋_GB2312" w:cs="仿宋_GB2312"/>
          <w:color w:val="auto"/>
          <w:kern w:val="0"/>
          <w:sz w:val="28"/>
          <w:szCs w:val="28"/>
          <w:highlight w:val="none"/>
        </w:rPr>
        <w:t>带。</w:t>
      </w:r>
    </w:p>
    <w:p w14:paraId="603A5C30">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 xml:space="preserve">1.1.2 </w:t>
      </w:r>
      <w:r>
        <w:rPr>
          <w:rFonts w:ascii="仿宋" w:hAnsi="仿宋" w:eastAsia="仿宋" w:cs="仿宋"/>
          <w:b/>
          <w:bCs/>
          <w:color w:val="auto"/>
          <w:sz w:val="30"/>
          <w:szCs w:val="30"/>
          <w:highlight w:val="none"/>
        </w:rPr>
        <w:t>风险评估结果</w:t>
      </w:r>
    </w:p>
    <w:p w14:paraId="366650A7">
      <w:pPr>
        <w:spacing w:line="440" w:lineRule="exact"/>
        <w:ind w:firstLine="560" w:firstLineChars="200"/>
        <w:rPr>
          <w:rFonts w:ascii="仿宋_GB2312" w:hAnsi="仿宋_GB2312" w:eastAsia="仿宋_GB2312" w:cs="仿宋_GB2312"/>
          <w:color w:val="auto"/>
          <w:kern w:val="0"/>
          <w:sz w:val="28"/>
          <w:szCs w:val="28"/>
          <w:highlight w:val="yellow"/>
        </w:rPr>
      </w:pPr>
      <w:r>
        <w:rPr>
          <w:rFonts w:ascii="仿宋_GB2312" w:hAnsi="仿宋_GB2312" w:eastAsia="仿宋_GB2312" w:cs="仿宋_GB2312"/>
          <w:color w:val="auto"/>
          <w:kern w:val="0"/>
          <w:sz w:val="28"/>
          <w:szCs w:val="28"/>
          <w:highlight w:val="yellow"/>
        </w:rPr>
        <w:t>根据《生产安全事故风险评估报告》评估结果，</w:t>
      </w:r>
      <w:r>
        <w:rPr>
          <w:rFonts w:hint="eastAsia" w:ascii="仿宋_GB2312" w:hAnsi="仿宋_GB2312" w:eastAsia="仿宋_GB2312" w:cs="仿宋_GB2312"/>
          <w:color w:val="auto"/>
          <w:kern w:val="0"/>
          <w:sz w:val="28"/>
          <w:szCs w:val="28"/>
          <w:highlight w:val="yellow"/>
        </w:rPr>
        <w:t>瓦斯事故辨识评估为重大风险</w:t>
      </w:r>
      <w:r>
        <w:rPr>
          <w:rFonts w:ascii="仿宋_GB2312" w:hAnsi="仿宋_GB2312" w:eastAsia="仿宋_GB2312" w:cs="仿宋_GB2312"/>
          <w:color w:val="auto"/>
          <w:kern w:val="0"/>
          <w:sz w:val="28"/>
          <w:szCs w:val="28"/>
          <w:highlight w:val="yellow"/>
        </w:rPr>
        <w:t>。</w:t>
      </w:r>
    </w:p>
    <w:p w14:paraId="1DEAC79A">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64" w:name="_Toc1809"/>
      <w:bookmarkStart w:id="365" w:name="_Toc22158"/>
      <w:r>
        <w:rPr>
          <w:rFonts w:hint="eastAsia" w:ascii="楷体_GB2312" w:hAnsi="楷体_GB2312" w:eastAsia="楷体_GB2312" w:cs="楷体_GB2312"/>
          <w:color w:val="auto"/>
          <w:sz w:val="30"/>
          <w:szCs w:val="30"/>
          <w:highlight w:val="none"/>
        </w:rPr>
        <w:t>1.2 应急工作职责</w:t>
      </w:r>
      <w:bookmarkEnd w:id="361"/>
      <w:bookmarkEnd w:id="362"/>
      <w:bookmarkEnd w:id="363"/>
      <w:bookmarkEnd w:id="364"/>
      <w:bookmarkEnd w:id="365"/>
    </w:p>
    <w:p w14:paraId="4B25DAA8">
      <w:pPr>
        <w:spacing w:line="560" w:lineRule="exact"/>
        <w:ind w:firstLine="602" w:firstLineChars="200"/>
        <w:rPr>
          <w:rFonts w:ascii="仿宋" w:hAnsi="仿宋" w:eastAsia="仿宋" w:cs="仿宋"/>
          <w:b/>
          <w:bCs/>
          <w:color w:val="auto"/>
          <w:sz w:val="30"/>
          <w:szCs w:val="30"/>
          <w:highlight w:val="none"/>
        </w:rPr>
      </w:pPr>
      <w:bookmarkStart w:id="366" w:name="_Toc3231"/>
      <w:bookmarkStart w:id="367" w:name="_Toc9783"/>
      <w:bookmarkStart w:id="368" w:name="_Toc16137"/>
      <w:r>
        <w:rPr>
          <w:rFonts w:hint="eastAsia" w:ascii="仿宋" w:hAnsi="仿宋" w:eastAsia="仿宋" w:cs="仿宋"/>
          <w:b/>
          <w:bCs/>
          <w:color w:val="auto"/>
          <w:sz w:val="30"/>
          <w:szCs w:val="30"/>
          <w:highlight w:val="none"/>
        </w:rPr>
        <w:t>1.2.1 应急自救小组</w:t>
      </w:r>
    </w:p>
    <w:p w14:paraId="287B21D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事故发生区队立即成立应急自救互救小组，负责组织实施事故应急处置和现场自救互救工作。</w:t>
      </w:r>
    </w:p>
    <w:p w14:paraId="1E3530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长：灾害现场负责人</w:t>
      </w:r>
    </w:p>
    <w:p w14:paraId="274EED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员：管理人员、班组长、安监员、现场作业人员</w:t>
      </w:r>
    </w:p>
    <w:p w14:paraId="0F46D3C6">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ascii="仿宋" w:hAnsi="仿宋" w:eastAsia="仿宋" w:cs="仿宋"/>
          <w:b/>
          <w:bCs/>
          <w:color w:val="auto"/>
          <w:sz w:val="30"/>
          <w:szCs w:val="30"/>
          <w:highlight w:val="none"/>
        </w:rPr>
        <w:t>2.2 具体职责</w:t>
      </w:r>
    </w:p>
    <w:p w14:paraId="0DC8AB6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1FBCAF5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w:t>
      </w:r>
      <w:r>
        <w:rPr>
          <w:rFonts w:ascii="仿宋_GB2312" w:hAnsi="仿宋_GB2312" w:eastAsia="仿宋_GB2312" w:cs="仿宋_GB2312"/>
          <w:color w:val="auto"/>
          <w:kern w:val="0"/>
          <w:sz w:val="28"/>
          <w:szCs w:val="28"/>
          <w:highlight w:val="none"/>
        </w:rPr>
        <w:t>灾害现场负责人</w:t>
      </w:r>
      <w:r>
        <w:rPr>
          <w:rFonts w:hint="eastAsia" w:ascii="仿宋_GB2312" w:hAnsi="仿宋_GB2312" w:eastAsia="仿宋_GB2312" w:cs="仿宋_GB2312"/>
          <w:color w:val="auto"/>
          <w:kern w:val="0"/>
          <w:sz w:val="28"/>
          <w:szCs w:val="28"/>
          <w:highlight w:val="none"/>
        </w:rPr>
        <w:t>组织现场应急处置，救治伤员。</w:t>
      </w:r>
    </w:p>
    <w:p w14:paraId="6F46EE0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074BCB6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16C6CBD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25E303D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：负责事故现场人员撤离、警戒、应急处置监督工作。</w:t>
      </w:r>
    </w:p>
    <w:p w14:paraId="03BC321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现场作业人员：积极开展应急处置和自救互救</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r>
        <w:rPr>
          <w:rFonts w:hint="eastAsia" w:ascii="仿宋_GB2312" w:hAnsi="仿宋_GB2312" w:eastAsia="仿宋_GB2312" w:cs="仿宋_GB2312"/>
          <w:color w:val="auto"/>
          <w:kern w:val="0"/>
          <w:sz w:val="28"/>
          <w:szCs w:val="28"/>
          <w:highlight w:val="none"/>
        </w:rPr>
        <w:t>；听从指令，负责现场电源管控，做好停送电管理。</w:t>
      </w:r>
    </w:p>
    <w:p w14:paraId="77FC04CD">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69" w:name="_Toc22414"/>
      <w:bookmarkStart w:id="370" w:name="_Toc20976"/>
      <w:bookmarkStart w:id="371" w:name="_Toc7512"/>
      <w:bookmarkStart w:id="372" w:name="_Toc14512"/>
      <w:bookmarkStart w:id="373" w:name="_Toc27328"/>
      <w:bookmarkStart w:id="374" w:name="_Toc8199"/>
      <w:r>
        <w:rPr>
          <w:rFonts w:hint="eastAsia" w:ascii="楷体_GB2312" w:hAnsi="楷体_GB2312" w:eastAsia="楷体_GB2312" w:cs="楷体_GB2312"/>
          <w:color w:val="auto"/>
          <w:sz w:val="30"/>
          <w:szCs w:val="30"/>
          <w:highlight w:val="none"/>
        </w:rPr>
        <w:t>1.</w:t>
      </w:r>
      <w:r>
        <w:rPr>
          <w:rFonts w:ascii="楷体_GB2312" w:hAnsi="楷体_GB2312" w:eastAsia="楷体_GB2312" w:cs="楷体_GB2312"/>
          <w:color w:val="auto"/>
          <w:sz w:val="30"/>
          <w:szCs w:val="30"/>
          <w:highlight w:val="none"/>
        </w:rPr>
        <w:t>3 应急处置</w:t>
      </w:r>
      <w:bookmarkEnd w:id="369"/>
      <w:bookmarkEnd w:id="370"/>
      <w:bookmarkEnd w:id="371"/>
      <w:bookmarkEnd w:id="372"/>
      <w:bookmarkEnd w:id="373"/>
      <w:bookmarkEnd w:id="374"/>
    </w:p>
    <w:p w14:paraId="76FD7A88">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1.</w:t>
      </w:r>
      <w:r>
        <w:rPr>
          <w:rFonts w:ascii="仿宋" w:hAnsi="仿宋" w:eastAsia="仿宋" w:cs="仿宋"/>
          <w:b/>
          <w:bCs/>
          <w:color w:val="auto"/>
          <w:sz w:val="30"/>
          <w:szCs w:val="30"/>
          <w:highlight w:val="none"/>
        </w:rPr>
        <w:t>3.1 事故应急处置程序</w:t>
      </w:r>
    </w:p>
    <w:bookmarkEnd w:id="366"/>
    <w:bookmarkEnd w:id="367"/>
    <w:bookmarkEnd w:id="368"/>
    <w:p w14:paraId="5D866132">
      <w:pPr>
        <w:spacing w:line="440" w:lineRule="exact"/>
        <w:ind w:firstLine="560" w:firstLineChars="200"/>
        <w:rPr>
          <w:rFonts w:hint="eastAsia" w:ascii="仿宋_GB2312" w:hAnsi="仿宋_GB2312" w:eastAsia="仿宋_GB2312" w:cs="仿宋_GB2312"/>
          <w:color w:val="auto"/>
          <w:kern w:val="0"/>
          <w:sz w:val="28"/>
          <w:szCs w:val="28"/>
          <w:highlight w:val="none"/>
          <w:lang w:eastAsia="zh-CN"/>
        </w:rPr>
      </w:pPr>
      <w:bookmarkStart w:id="375" w:name="_Toc28535"/>
      <w:bookmarkStart w:id="376" w:name="_Toc25356"/>
      <w:bookmarkStart w:id="377" w:name="_Toc10732"/>
      <w:r>
        <w:rPr>
          <w:rFonts w:hint="eastAsia" w:ascii="仿宋_GB2312" w:hAnsi="仿宋_GB2312" w:eastAsia="仿宋_GB2312" w:cs="仿宋_GB2312"/>
          <w:color w:val="auto"/>
          <w:kern w:val="0"/>
          <w:sz w:val="28"/>
          <w:szCs w:val="28"/>
          <w:highlight w:val="none"/>
          <w:lang w:eastAsia="zh-CN"/>
        </w:rPr>
        <w:t>（1）事故报警：事故发生后，灾害现场负责人（或安全监控值班人员），立即启动现场处置方案并电话汇报调度室，情况紧急时直接向总经理汇报，详细汇报事故发生的性质、时间、地点、灾区人数，危害程度及现状；积极组织自救互救。</w:t>
      </w:r>
    </w:p>
    <w:p w14:paraId="4050814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431DBB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0EA8F6C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（4）事故扩大同应急预案的衔接程序：启动现场处置方案的同时，上一级应急预案进入预备状态。</w:t>
      </w:r>
    </w:p>
    <w:p w14:paraId="12B5B86B">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1.</w:t>
      </w:r>
      <w:r>
        <w:rPr>
          <w:rFonts w:eastAsia="仿宋_GB2312"/>
          <w:b/>
          <w:bCs/>
          <w:snapToGrid w:val="0"/>
          <w:color w:val="auto"/>
          <w:kern w:val="0"/>
          <w:sz w:val="32"/>
          <w:szCs w:val="32"/>
          <w:highlight w:val="none"/>
        </w:rPr>
        <w:t>3.</w:t>
      </w:r>
      <w:r>
        <w:rPr>
          <w:rFonts w:hint="eastAsia" w:eastAsia="仿宋_GB2312"/>
          <w:b/>
          <w:bCs/>
          <w:snapToGrid w:val="0"/>
          <w:color w:val="auto"/>
          <w:kern w:val="0"/>
          <w:sz w:val="32"/>
          <w:szCs w:val="32"/>
          <w:highlight w:val="none"/>
        </w:rPr>
        <w:t>2</w:t>
      </w:r>
      <w:r>
        <w:rPr>
          <w:rFonts w:eastAsia="仿宋_GB2312"/>
          <w:b/>
          <w:bCs/>
          <w:snapToGrid w:val="0"/>
          <w:color w:val="auto"/>
          <w:kern w:val="0"/>
          <w:sz w:val="32"/>
          <w:szCs w:val="32"/>
          <w:highlight w:val="none"/>
        </w:rPr>
        <w:t xml:space="preserve"> 现场应急处置措施</w:t>
      </w:r>
    </w:p>
    <w:p w14:paraId="39EDAEF2">
      <w:pPr>
        <w:spacing w:line="520" w:lineRule="exact"/>
        <w:ind w:firstLine="60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1.3.2.1人员救护</w:t>
      </w:r>
    </w:p>
    <w:p w14:paraId="78BE63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爆炸、一氧化碳、硫化氢中毒以及窒息事故时附近人员应立即汇报调度室，调度员要立即通知救护队下井救援，通知内蒙能源医院驻矿医生到达事故现场或到井口待命。</w:t>
      </w:r>
    </w:p>
    <w:p w14:paraId="31A323D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（2）在救护队到来之前，附近人员可就近利用局部通风机或压风在确保安全的前提下进入抢救遇险人员，否则，严禁进入。</w:t>
      </w:r>
    </w:p>
    <w:p w14:paraId="3241AC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（3）抢救出遇险人员，必须沿避灾路线将其抬运到新鲜风流中。</w:t>
      </w:r>
    </w:p>
    <w:p w14:paraId="756B82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（4）对于</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窒息或心跳呼吸骤停伤员，必须先复苏，后搬运。</w:t>
      </w:r>
    </w:p>
    <w:p w14:paraId="242746B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后，矿山救护队按照指挥部命令，立即奔赴现场。到达现场后行动要谨慎，防止碰撞产生火花，引起爆炸，要及时有组织、有计划地抢救遇难人员，引导受灾害威胁人员，沿着安全路线上井。救护队员在确定无二次爆炸危险后，必须戴好氧气呼吸器进入灾区。处理</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爆炸事故重要方法：迅速查明爆炸的范围、原因，并切断通向灾区的电源，及时恢复受破坏的通风设施，加强爆炸区的通风管理，避免发生二次爆炸。如因爆炸引起火灾，救护人员要迅速扑灭，防止事故的扩大。</w:t>
      </w:r>
    </w:p>
    <w:p w14:paraId="63E9E6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（6）爆炸产生火灾，应同时进行灭火和救人，并采取防止再次发生爆炸的措施，派专人监测</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，当</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浓度达到2％以上，并继续增加有爆炸危险时，必须把救护人员撤到安全地点。</w:t>
      </w:r>
    </w:p>
    <w:p w14:paraId="40EAFE6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无法撤离时，应进入就近的避难硐室，按操作规程启用避难硐室，立即将现场人员的健康状况、周边环境等情况汇报调度室，并接受调度室的指挥。在接到调度室的指令或避难硐室环境监测硐室外有害气体下降到安全情况下，认真组织确保安全、有序、快速撤离并报告调度室。</w:t>
      </w:r>
    </w:p>
    <w:p w14:paraId="48C578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w:t>
      </w:r>
      <w:r>
        <w:rPr>
          <w:rFonts w:ascii="仿宋_GB2312" w:hAnsi="仿宋_GB2312" w:eastAsia="仿宋_GB2312" w:cs="仿宋_GB2312"/>
          <w:color w:val="auto"/>
          <w:kern w:val="0"/>
          <w:sz w:val="28"/>
          <w:szCs w:val="28"/>
          <w:highlight w:val="none"/>
        </w:rPr>
        <w:t>抢救遇险人员时，首先应通过电话、喊话、人员位置监测系统、生命探测仪或敲打钢轨、煤岩体、管子等手段与遇险人员取得联系，探明冒顶范围和遇险人数及位置。</w:t>
      </w:r>
    </w:p>
    <w:p w14:paraId="58F1C3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1.3.2.2 工艺操作</w:t>
      </w:r>
    </w:p>
    <w:p w14:paraId="24110A84">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1.3.2.2.1可燃气体爆炸</w:t>
      </w:r>
    </w:p>
    <w:p w14:paraId="5611FE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爆炸事故时听到爆炸声，须立即张大口，用湿毛巾捂住口鼻（避免爆炸所产生强大冲击波击穿耳膜，引起永久性耳聋），就地卧倒，如有水坑，可侧卧于水中。</w:t>
      </w:r>
    </w:p>
    <w:p w14:paraId="1D9AF74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（2）现场人员要保持冷静，切忌乱跑，立即戴好自救器，在现场负责人的带领下，按避灾路线有序撤离，注意防止受到二次爆炸或连续爆炸的伤害，同时电话上报调度室。</w:t>
      </w:r>
    </w:p>
    <w:p w14:paraId="05503B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（3）调度室迅速了解</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爆炸事故的发生位置、波及范围、人员伤亡情况和主通风机运行情况，了解通风是否畅通、</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浓度有无变化，根据灾情确定停电范围，下达停电撤人命令。</w:t>
      </w:r>
    </w:p>
    <w:p w14:paraId="0B6CD86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（4）若退路被堵，在确保安全的前提下，千方百计疏通巷道，尽快撤到新鲜风流中。</w:t>
      </w:r>
    </w:p>
    <w:p w14:paraId="72976E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井筒、井底车场或石门发生爆炸时，在侦察确定没有火源，无爆炸危险的情况下，尽快恢复通风，救人和恢复通风应同时进行。如果有害气体严重威胁回风流方向的人员，在进风方向的人员已安全撤退的情况下，可采取区域反风，救护队进入原回风侧引导人员撤离灾区。</w:t>
      </w:r>
    </w:p>
    <w:p w14:paraId="662549F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（6）事故发生在采煤工作面时，应沿进风侧和回风侧进入救人，在此期间必须维持通风系统原状。</w:t>
      </w:r>
    </w:p>
    <w:p w14:paraId="423B016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（7）如遇独头巷道距离较长、有害气体浓度大、支架支护损坏严重的情况，在确认没有火源、遇险人员已经牺牲时，严禁冒险进入工作，在恢复通风、打好支护后，方可搬运遇难人员。</w:t>
      </w:r>
    </w:p>
    <w:p w14:paraId="579FA9A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受灾害威胁人员在撤离时，应遵循以下原则：位于事故地点进风侧人员应迎着风流退出，位于回风侧人员佩带自救器顺风流撤出，并尽量利用其它通路(如风门等)较快地绕到新鲜风流中。如爆炸的火源袭来时，应背对火源卧倒或卧于水沟中，并用衣服或其它物料，盖住身体裸露部位，以减轻高温火焰灼伤。在撤退中，如发现前方巷道由于爆炸事故已发生严重冒顶，无法撤退时，应利用压风自救、供水施救系统进行自救或进入避难硐室等地点等待救护队的救援。</w:t>
      </w:r>
    </w:p>
    <w:p w14:paraId="0BA73EB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（9）在抢救事故期间，应随时向调度室汇报灾区状况和救灾工作的进展情况。</w:t>
      </w:r>
    </w:p>
    <w:p w14:paraId="4A54E852">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1.3.2.2.2瓦斯窒息</w:t>
      </w:r>
    </w:p>
    <w:p w14:paraId="4D754B76">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（1）处置人员必须佩戴自救器，严禁无防护盲目施救；第一时间向调度室汇报事故地点、人员情况。</w:t>
      </w:r>
    </w:p>
    <w:p w14:paraId="4B1AA342">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（2）切断事故区域非本质安全型电气设备电源，开启局部通风机输送新鲜风流，稀释瓦斯，改善缺氧环境，严禁直接向窒息人员送风。</w:t>
      </w:r>
    </w:p>
    <w:p w14:paraId="2CED0F83">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（3)将窒息人员迅速转移至新鲜风流安全地点，解开领口，保持呼吸通畅；若呼吸停止，立即开展心肺复苏，等待医护人员到场。</w:t>
      </w:r>
    </w:p>
    <w:p w14:paraId="406D9CC1">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(4)设置警戒，禁止无关人员进入，持续监测巷道瓦斯、氧气浓度。</w:t>
      </w:r>
    </w:p>
    <w:p w14:paraId="6A43E919">
      <w:pPr>
        <w:spacing w:line="440" w:lineRule="exact"/>
        <w:ind w:firstLine="560" w:firstLineChars="200"/>
        <w:rPr>
          <w:rFonts w:hint="default"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1.3.2.2.3瓦斯中毒</w:t>
      </w:r>
    </w:p>
    <w:p w14:paraId="468758AD">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1）</w:t>
      </w:r>
      <w:r>
        <w:rPr>
          <w:rFonts w:hint="eastAsia" w:ascii="仿宋_GB2312" w:hAnsi="仿宋_GB2312" w:eastAsia="仿宋_GB2312" w:cs="仿宋_GB2312"/>
          <w:color w:val="auto"/>
          <w:kern w:val="0"/>
          <w:sz w:val="28"/>
          <w:szCs w:val="28"/>
          <w:highlight w:val="yellow"/>
        </w:rPr>
        <w:t>处置人员规范佩戴自救器，做好个人防护，向调度室上报现场情况。</w:t>
      </w:r>
    </w:p>
    <w:p w14:paraId="7676E8F3">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2）</w:t>
      </w:r>
      <w:r>
        <w:rPr>
          <w:rFonts w:hint="eastAsia" w:ascii="仿宋_GB2312" w:hAnsi="仿宋_GB2312" w:eastAsia="仿宋_GB2312" w:cs="仿宋_GB2312"/>
          <w:color w:val="auto"/>
          <w:kern w:val="0"/>
          <w:sz w:val="28"/>
          <w:szCs w:val="28"/>
          <w:highlight w:val="yellow"/>
        </w:rPr>
        <w:t>加强通风，驱散有毒有害瓦斯气体，实时检测气体浓度。</w:t>
      </w:r>
    </w:p>
    <w:p w14:paraId="674BD512">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3）</w:t>
      </w:r>
      <w:r>
        <w:rPr>
          <w:rFonts w:hint="eastAsia" w:ascii="仿宋_GB2312" w:hAnsi="仿宋_GB2312" w:eastAsia="仿宋_GB2312" w:cs="仿宋_GB2312"/>
          <w:color w:val="auto"/>
          <w:kern w:val="0"/>
          <w:sz w:val="28"/>
          <w:szCs w:val="28"/>
          <w:highlight w:val="yellow"/>
        </w:rPr>
        <w:t>将中毒人员转移至通风良好安全区域，注意保暖；出现昏迷、呼吸困难立即现场急救，转送医疗机构救治。</w:t>
      </w:r>
    </w:p>
    <w:p w14:paraId="7CB44986">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4）</w:t>
      </w:r>
      <w:r>
        <w:rPr>
          <w:rFonts w:hint="eastAsia" w:ascii="仿宋_GB2312" w:hAnsi="仿宋_GB2312" w:eastAsia="仿宋_GB2312" w:cs="仿宋_GB2312"/>
          <w:color w:val="auto"/>
          <w:kern w:val="0"/>
          <w:sz w:val="28"/>
          <w:szCs w:val="28"/>
          <w:highlight w:val="yellow"/>
        </w:rPr>
        <w:t>排查中毒原因，切断瓦斯泄漏来源，防止二次中毒。</w:t>
      </w:r>
    </w:p>
    <w:p w14:paraId="2B6DE74F">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val="en-US" w:eastAsia="zh-CN"/>
        </w:rPr>
        <w:t>1.3.2.3 事故控制</w:t>
      </w:r>
    </w:p>
    <w:p w14:paraId="6289614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（1）监测监控中心对监测数据进行分析，发生异常立即报</w:t>
      </w:r>
      <w:r>
        <w:rPr>
          <w:rFonts w:hint="eastAsia" w:ascii="仿宋_GB2312" w:hAnsi="仿宋_GB2312" w:eastAsia="仿宋_GB2312" w:cs="仿宋_GB2312"/>
          <w:color w:val="auto"/>
          <w:kern w:val="0"/>
          <w:sz w:val="28"/>
          <w:szCs w:val="28"/>
          <w:highlight w:val="none"/>
        </w:rPr>
        <w:t>告指挥部，井下各分站配备备用电源，安全监控系统故障停电后，能自动切换至备用电源供电，确保数据实时传输，备用电源持续供电时间不低于4小时。</w:t>
      </w:r>
    </w:p>
    <w:p w14:paraId="3A8709A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（2）指挥部根据灾情分析判断通风系统破坏程度及发生连续爆炸、火灾的可能性，积极研究制定救灾方案，并根据灾情发展及时调整优化方案。</w:t>
      </w:r>
    </w:p>
    <w:p w14:paraId="39E059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（3）发生</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爆炸事故后，通风设施、巷道会受到破坏，通风系统可能发生变化，救护队要及时检查，并进行相应的调整，使产生的有害气体尽快进入回风巷。</w:t>
      </w:r>
    </w:p>
    <w:p w14:paraId="3C05F6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（4）井下所有作业场所回风流中甲烷浓度超过1.0%时；井下发生明显响煤炮声，喷孔、顶钻，煤壁外鼓、掉渣，</w:t>
      </w:r>
      <w:r>
        <w:rPr>
          <w:rFonts w:hint="eastAsia" w:ascii="仿宋_GB2312" w:hAnsi="仿宋_GB2312" w:eastAsia="仿宋_GB2312" w:cs="仿宋_GB2312"/>
          <w:color w:val="auto"/>
          <w:kern w:val="0"/>
          <w:sz w:val="28"/>
          <w:szCs w:val="28"/>
          <w:highlight w:val="none"/>
          <w:lang w:eastAsia="zh-CN"/>
        </w:rPr>
        <w:t>可燃气体</w:t>
      </w:r>
      <w:r>
        <w:rPr>
          <w:rFonts w:hint="eastAsia" w:ascii="仿宋_GB2312" w:hAnsi="仿宋_GB2312" w:eastAsia="仿宋_GB2312" w:cs="仿宋_GB2312"/>
          <w:color w:val="auto"/>
          <w:kern w:val="0"/>
          <w:sz w:val="28"/>
          <w:szCs w:val="28"/>
          <w:highlight w:val="none"/>
        </w:rPr>
        <w:t>涌出持续增大或者忽大忽小，煤尘增大等突出征兆时，必须及时撤出危险区域作业人员。</w:t>
      </w:r>
    </w:p>
    <w:p w14:paraId="141303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1.3.2.4消防</w:t>
      </w:r>
    </w:p>
    <w:p w14:paraId="5A6CCF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61B6CED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1.3.2.5现场恢复</w:t>
      </w:r>
    </w:p>
    <w:p w14:paraId="3D6C4F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689E05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44DF13A2">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7B2715E2">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1.</w:t>
      </w:r>
      <w:r>
        <w:rPr>
          <w:rFonts w:eastAsia="仿宋_GB2312"/>
          <w:b/>
          <w:bCs/>
          <w:snapToGrid w:val="0"/>
          <w:color w:val="auto"/>
          <w:kern w:val="0"/>
          <w:sz w:val="32"/>
          <w:szCs w:val="32"/>
          <w:highlight w:val="none"/>
        </w:rPr>
        <w:t>3.4 报警电话及相关救援单位联络</w:t>
      </w:r>
    </w:p>
    <w:p w14:paraId="609A6EF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7B0CC84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4349FF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6600  井下生产电话提机8秒直通调度室</w:t>
      </w:r>
    </w:p>
    <w:p w14:paraId="4CE92996">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5E44AFC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5DBF389F">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78" w:name="_Toc2747"/>
      <w:bookmarkStart w:id="379" w:name="_Toc29806"/>
      <w:bookmarkStart w:id="380" w:name="_Toc13679"/>
      <w:bookmarkStart w:id="381" w:name="_Toc17586"/>
      <w:bookmarkStart w:id="382" w:name="_Toc24920"/>
      <w:bookmarkStart w:id="383" w:name="_Toc17278"/>
      <w:r>
        <w:rPr>
          <w:rFonts w:hint="eastAsia" w:ascii="楷体_GB2312" w:hAnsi="楷体_GB2312" w:eastAsia="楷体_GB2312" w:cs="楷体_GB2312"/>
          <w:color w:val="auto"/>
          <w:sz w:val="30"/>
          <w:szCs w:val="30"/>
          <w:highlight w:val="none"/>
        </w:rPr>
        <w:t>1.4 注意事项</w:t>
      </w:r>
      <w:bookmarkEnd w:id="378"/>
      <w:bookmarkEnd w:id="379"/>
      <w:bookmarkEnd w:id="380"/>
      <w:bookmarkEnd w:id="381"/>
      <w:bookmarkEnd w:id="382"/>
      <w:bookmarkEnd w:id="383"/>
    </w:p>
    <w:p w14:paraId="22AF2B5A">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1.4.1 人员防护</w:t>
      </w:r>
    </w:p>
    <w:p w14:paraId="084C17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31E44FC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46207D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3F1DCE48">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3F762BC2">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1.4.2 自救互救</w:t>
      </w:r>
    </w:p>
    <w:p w14:paraId="2A7F03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（1）自救与互救原则：安全撤离，妥善避险；沉着冷静，控制情绪；互相鼓励，互相帮助；团结协作，服从指挥。 </w:t>
      </w:r>
    </w:p>
    <w:p w14:paraId="0AB537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（2）班组长应当具备兼职救护队员的知识和能力，能够在发生险情后第一时间组织作业人员自救互救和安全避险。 </w:t>
      </w:r>
    </w:p>
    <w:p w14:paraId="3F7F73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（3）救援人员必须认真按救援方案和救护安全措施执行，确保自身安全。 </w:t>
      </w:r>
    </w:p>
    <w:p w14:paraId="73F5D7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（4）煤矿作业人员必须熟悉应急救援预案和避灾路线，具有自救互救和安全避险知识，训练掌握自救器和紧急避险设施的使用方法。 </w:t>
      </w:r>
    </w:p>
    <w:p w14:paraId="28FFCA5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（5）对于受伤人员可采取以下措施：使之平躺，把腿垫高，利于血液回流；松开衣领、腰带，使之呼吸畅通；铺盖适当的衣物保暖；对于停止呼吸的立即进行人工呼吸，不要轻易放弃。</w:t>
      </w:r>
    </w:p>
    <w:p w14:paraId="5419FDA1">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1.4.3 装备使用</w:t>
      </w:r>
    </w:p>
    <w:p w14:paraId="0FDCB0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3D198F31">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（2）佩戴自救器撤离灾区时，口具和鼻夹一定要咬紧夹好，中途不得取下口具和鼻夹。</w:t>
      </w:r>
    </w:p>
    <w:p w14:paraId="2B9330D2">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（3）佩戴自救器操作准确迅速，并</w:t>
      </w:r>
      <w:r>
        <w:rPr>
          <w:rFonts w:hint="eastAsia" w:ascii="仿宋_GB2312" w:hAnsi="仿宋_GB2312" w:eastAsia="仿宋_GB2312" w:cs="仿宋_GB2312"/>
          <w:color w:val="auto"/>
          <w:kern w:val="0"/>
          <w:sz w:val="28"/>
          <w:szCs w:val="28"/>
          <w:highlight w:val="yellow"/>
          <w:lang w:eastAsia="zh-CN"/>
        </w:rPr>
        <w:t>经常</w:t>
      </w:r>
      <w:r>
        <w:rPr>
          <w:rFonts w:hint="eastAsia" w:ascii="仿宋_GB2312" w:hAnsi="仿宋_GB2312" w:eastAsia="仿宋_GB2312" w:cs="仿宋_GB2312"/>
          <w:color w:val="auto"/>
          <w:kern w:val="0"/>
          <w:sz w:val="28"/>
          <w:szCs w:val="28"/>
          <w:highlight w:val="yellow"/>
        </w:rPr>
        <w:t>熟悉使用方法经过培训，并经考试合格后，方可配用。自救器佩戴操作要领：置右侧、掀护罩、启扳手、去上壳、展气囊、</w:t>
      </w:r>
      <w:r>
        <w:rPr>
          <w:rFonts w:hint="eastAsia" w:ascii="仿宋_GB2312" w:hAnsi="仿宋_GB2312" w:eastAsia="仿宋_GB2312" w:cs="仿宋_GB2312"/>
          <w:color w:val="auto"/>
          <w:kern w:val="0"/>
          <w:sz w:val="28"/>
          <w:szCs w:val="28"/>
          <w:highlight w:val="yellow"/>
          <w:lang w:eastAsia="zh-CN"/>
        </w:rPr>
        <w:t>戴</w:t>
      </w:r>
      <w:r>
        <w:rPr>
          <w:rFonts w:hint="eastAsia" w:ascii="仿宋_GB2312" w:hAnsi="仿宋_GB2312" w:eastAsia="仿宋_GB2312" w:cs="仿宋_GB2312"/>
          <w:color w:val="auto"/>
          <w:kern w:val="0"/>
          <w:sz w:val="28"/>
          <w:szCs w:val="28"/>
          <w:highlight w:val="yellow"/>
        </w:rPr>
        <w:t>脖带、启开关、咬口具、戴鼻夹、即撤离。</w:t>
      </w:r>
    </w:p>
    <w:p w14:paraId="1E6B60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6EFAB50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0F057E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（6）干粉灭火器：将瓶身反复颠倒，取下铅封，拔掉保险销，左手握喷管，右手提压把灭火。</w:t>
      </w:r>
    </w:p>
    <w:p w14:paraId="209B20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（7）泡沫灭火器：站在上风处，尽量靠近火源，从火势蔓延最危险的一边喷起，逐渐移动，不要留下火星。</w:t>
      </w:r>
    </w:p>
    <w:p w14:paraId="31B5FB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（8）二氧化碳灭火器：拔去保险销，一手握住喷射喇叭上的木柄，一手按动鸭舌开关或旋转开关，最后提握器身灭火。</w:t>
      </w:r>
    </w:p>
    <w:p w14:paraId="6102170C">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1.4.4 现场安全</w:t>
      </w:r>
    </w:p>
    <w:p w14:paraId="1E3E3E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214017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46C478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（3）严格控制进入灾区人员的数量，抢救井下事故以专业矿山救援人员为主。</w:t>
      </w:r>
    </w:p>
    <w:p w14:paraId="292326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736B49B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42ECE3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0C2DCB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5367E2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51DF42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0718CF8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（10）当巷道被</w:t>
      </w:r>
      <w:r>
        <w:rPr>
          <w:rFonts w:hint="eastAsia" w:ascii="仿宋_GB2312" w:hAnsi="仿宋_GB2312" w:eastAsia="仿宋_GB2312" w:cs="仿宋_GB2312"/>
          <w:color w:val="auto"/>
          <w:kern w:val="0"/>
          <w:sz w:val="28"/>
          <w:szCs w:val="28"/>
          <w:highlight w:val="none"/>
          <w:lang w:eastAsia="zh-CN"/>
        </w:rPr>
        <w:t>堵</w:t>
      </w:r>
      <w:r>
        <w:rPr>
          <w:rFonts w:hint="eastAsia" w:ascii="仿宋_GB2312" w:hAnsi="仿宋_GB2312" w:eastAsia="仿宋_GB2312" w:cs="仿宋_GB2312"/>
          <w:color w:val="auto"/>
          <w:kern w:val="0"/>
          <w:sz w:val="28"/>
          <w:szCs w:val="28"/>
          <w:highlight w:val="none"/>
        </w:rPr>
        <w:t>人无法撤离时，被困人员必须静卧，不得烦躁，减少氧气、热量等消耗，保持体力，等待救援。</w:t>
      </w:r>
    </w:p>
    <w:p w14:paraId="7918EA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（11）若巷道内有压风管，可打开压风管供人员呼吸，确保被困人员的安全，并利用救援联络信号，向外报警。</w:t>
      </w:r>
    </w:p>
    <w:p w14:paraId="7AEDB6A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（12）附近如有临时避险硐室或移动救生舱，被堵人员可进入临时避险硐室或移动救生舱，等待救援。</w:t>
      </w:r>
    </w:p>
    <w:p w14:paraId="2C0AC1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（13）进入避难硐室前，应在硐室外留有明显标志，以便救护队发现。硐室内保留一盏灯照明，其余矿灯全部关闭。</w:t>
      </w:r>
    </w:p>
    <w:p w14:paraId="645C16BC">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84" w:name="_Toc112"/>
      <w:bookmarkStart w:id="385" w:name="_Toc25858"/>
      <w:r>
        <w:rPr>
          <w:rFonts w:hint="eastAsia" w:ascii="楷体_GB2312" w:hAnsi="楷体_GB2312" w:eastAsia="楷体_GB2312" w:cs="楷体_GB2312"/>
          <w:color w:val="auto"/>
          <w:sz w:val="30"/>
          <w:szCs w:val="30"/>
          <w:highlight w:val="none"/>
        </w:rPr>
        <w:t>1.5 其他需要特别警示的事项</w:t>
      </w:r>
      <w:bookmarkEnd w:id="384"/>
      <w:bookmarkEnd w:id="385"/>
    </w:p>
    <w:p w14:paraId="5413C8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40393A4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6A36D89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6874A1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bookmarkEnd w:id="375"/>
      <w:bookmarkEnd w:id="376"/>
      <w:bookmarkEnd w:id="377"/>
      <w:r>
        <w:rPr>
          <w:rFonts w:hint="eastAsia" w:ascii="仿宋_GB2312" w:hAnsi="仿宋_GB2312" w:eastAsia="仿宋_GB2312" w:cs="仿宋_GB2312"/>
          <w:color w:val="auto"/>
          <w:kern w:val="0"/>
          <w:sz w:val="28"/>
          <w:szCs w:val="28"/>
          <w:highlight w:val="none"/>
        </w:rPr>
        <w:t>。</w:t>
      </w:r>
    </w:p>
    <w:p w14:paraId="0BCCC56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712CC149">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386" w:name="_Toc7234"/>
      <w:bookmarkStart w:id="387" w:name="_Toc550"/>
      <w:r>
        <w:rPr>
          <w:rFonts w:hint="eastAsia" w:ascii="黑体" w:hAnsi="黑体" w:eastAsia="黑体" w:cs="黑体"/>
          <w:color w:val="auto"/>
          <w:sz w:val="30"/>
          <w:szCs w:val="30"/>
          <w:highlight w:val="none"/>
        </w:rPr>
        <w:t>2 煤尘爆炸事故现场处置方案</w:t>
      </w:r>
      <w:bookmarkEnd w:id="386"/>
      <w:bookmarkEnd w:id="387"/>
    </w:p>
    <w:p w14:paraId="50DA6ECB">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88" w:name="_Toc11503"/>
      <w:bookmarkStart w:id="389" w:name="_Toc31341"/>
      <w:r>
        <w:rPr>
          <w:rFonts w:hint="eastAsia" w:ascii="楷体_GB2312" w:hAnsi="楷体_GB2312" w:eastAsia="楷体_GB2312" w:cs="楷体_GB2312"/>
          <w:color w:val="auto"/>
          <w:sz w:val="30"/>
          <w:szCs w:val="30"/>
          <w:highlight w:val="none"/>
        </w:rPr>
        <w:t>2.1事故风险描述</w:t>
      </w:r>
      <w:bookmarkEnd w:id="388"/>
      <w:bookmarkEnd w:id="389"/>
    </w:p>
    <w:p w14:paraId="661D2023">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2.1.1 风险描述</w:t>
      </w:r>
    </w:p>
    <w:p w14:paraId="1D9F02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内蒙古安全检测检验有限公司鉴定结果我矿开采的煤层均具有煤尘爆炸性,3煤煤尘爆炸指数36.76%，5煤煤尘爆炸指数39.01%，9煤煤尘爆炸指数41.01%。煤尘事故重点发生在采掘生产过程中，灾害的重点在采掘工作面。在采掘生产过程中，特别是在割煤、落煤、运输过程中，都会产生大量煤尘。切眼掘进产尘量较大，煤尘飞扬浓度可达到爆炸界限。通风方面，风速过高会引起采掘工作面和运输巷道煤尘飞扬，而风速过低，产尘点产生的煤尘排不出去增加浮尘量。主皮带运煤系统、采区运输机各转载点，如防尘不及时，也会造成煤尘飞扬。当煤尘含量到达爆炸界线，遇电气设备漏电产生的火花，放炮产生的火焰等引爆火源时，就会发生煤尘爆炸事故。</w:t>
      </w:r>
    </w:p>
    <w:p w14:paraId="2F5F7F44">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2.</w:t>
      </w:r>
      <w:r>
        <w:rPr>
          <w:rFonts w:eastAsia="仿宋_GB2312"/>
          <w:b/>
          <w:bCs/>
          <w:snapToGrid w:val="0"/>
          <w:color w:val="auto"/>
          <w:kern w:val="0"/>
          <w:sz w:val="32"/>
          <w:szCs w:val="32"/>
          <w:highlight w:val="none"/>
        </w:rPr>
        <w:t>1.2 风险评估结果</w:t>
      </w:r>
    </w:p>
    <w:p w14:paraId="55915F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根据《生产安全事故风险评估报告》评估结果，煤尘爆炸风险为重大风险。</w:t>
      </w:r>
    </w:p>
    <w:p w14:paraId="6FB507A5">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90" w:name="_Toc28842"/>
      <w:bookmarkStart w:id="391" w:name="_Toc4534"/>
      <w:r>
        <w:rPr>
          <w:rFonts w:hint="eastAsia" w:ascii="楷体_GB2312" w:hAnsi="楷体_GB2312" w:eastAsia="楷体_GB2312" w:cs="楷体_GB2312"/>
          <w:color w:val="auto"/>
          <w:sz w:val="30"/>
          <w:szCs w:val="30"/>
          <w:highlight w:val="none"/>
        </w:rPr>
        <w:t>2.2 应急工作职责</w:t>
      </w:r>
      <w:bookmarkEnd w:id="390"/>
      <w:bookmarkEnd w:id="391"/>
    </w:p>
    <w:p w14:paraId="32A14933">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2.2.1 应急自救小组</w:t>
      </w:r>
    </w:p>
    <w:p w14:paraId="18B4BD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事故发生区队立即成立应急自救互救小组，负责组织实施事故应急处置和现场自救互救工作。</w:t>
      </w:r>
    </w:p>
    <w:p w14:paraId="197A4B6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长：灾害现场负责人</w:t>
      </w:r>
    </w:p>
    <w:p w14:paraId="0EEA05B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员：管理人员、班组长、安监员、现场作业人员</w:t>
      </w:r>
    </w:p>
    <w:p w14:paraId="163FE272">
      <w:pPr>
        <w:spacing w:line="520" w:lineRule="exact"/>
        <w:ind w:firstLine="602" w:firstLineChars="200"/>
        <w:rPr>
          <w:rFonts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rPr>
        <w:t>2.2.2 具体职责</w:t>
      </w:r>
    </w:p>
    <w:p w14:paraId="39EE277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1AAD9C2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w:t>
      </w:r>
      <w:r>
        <w:rPr>
          <w:rFonts w:ascii="仿宋_GB2312" w:hAnsi="仿宋_GB2312" w:eastAsia="仿宋_GB2312" w:cs="仿宋_GB2312"/>
          <w:color w:val="auto"/>
          <w:kern w:val="0"/>
          <w:sz w:val="28"/>
          <w:szCs w:val="28"/>
          <w:highlight w:val="none"/>
        </w:rPr>
        <w:t>灾害现场负责人</w:t>
      </w:r>
      <w:r>
        <w:rPr>
          <w:rFonts w:hint="eastAsia" w:ascii="仿宋_GB2312" w:hAnsi="仿宋_GB2312" w:eastAsia="仿宋_GB2312" w:cs="仿宋_GB2312"/>
          <w:color w:val="auto"/>
          <w:kern w:val="0"/>
          <w:sz w:val="28"/>
          <w:szCs w:val="28"/>
          <w:highlight w:val="none"/>
        </w:rPr>
        <w:t>组织现场应急处置，救治伤员。</w:t>
      </w:r>
    </w:p>
    <w:p w14:paraId="02DB198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226A751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63F7B8D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52418B3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：负责事故现场人员撤离、警戒、应急处置监督工作。</w:t>
      </w:r>
    </w:p>
    <w:p w14:paraId="77F3B9D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现场作业人员：积极开展应急处置和自救互救</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r>
        <w:rPr>
          <w:rFonts w:hint="eastAsia" w:ascii="仿宋_GB2312" w:hAnsi="仿宋_GB2312" w:eastAsia="仿宋_GB2312" w:cs="仿宋_GB2312"/>
          <w:color w:val="auto"/>
          <w:kern w:val="0"/>
          <w:sz w:val="28"/>
          <w:szCs w:val="28"/>
          <w:highlight w:val="none"/>
        </w:rPr>
        <w:t>；听从指令，负责现场电源管控，做好停送电管理。</w:t>
      </w:r>
    </w:p>
    <w:p w14:paraId="40128340">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92" w:name="_Toc14626"/>
      <w:bookmarkStart w:id="393" w:name="_Toc8812"/>
      <w:r>
        <w:rPr>
          <w:rFonts w:hint="eastAsia" w:ascii="楷体_GB2312" w:hAnsi="楷体_GB2312" w:eastAsia="楷体_GB2312" w:cs="楷体_GB2312"/>
          <w:color w:val="auto"/>
          <w:sz w:val="30"/>
          <w:szCs w:val="30"/>
          <w:highlight w:val="none"/>
        </w:rPr>
        <w:t>2.3 应急处置</w:t>
      </w:r>
      <w:bookmarkEnd w:id="392"/>
      <w:bookmarkEnd w:id="393"/>
    </w:p>
    <w:p w14:paraId="3974317E">
      <w:pPr>
        <w:spacing w:line="560" w:lineRule="exact"/>
        <w:ind w:firstLine="602" w:firstLineChars="2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2.3.1 应急处置程序</w:t>
      </w:r>
    </w:p>
    <w:p w14:paraId="71C18F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418873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组织人员停电撤人至安全地点并电话汇报调度室。调度室立即向当日值班领导、总经理、分管领导汇报，通知带班、包保等专业科室及区队管理人员达到现场处置。</w:t>
      </w:r>
    </w:p>
    <w:p w14:paraId="243D1A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6A07BF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（4）事故扩大同应急预案的衔接程序：启动现场处置方案的同时，专项预案立即启动，按照专项预案程序进行处置；召请矿山救护队组织抢救，调度室立即通知医院医疗救护人员到达事故现场或到井口待命。</w:t>
      </w:r>
    </w:p>
    <w:p w14:paraId="66C5C5C4">
      <w:pPr>
        <w:spacing w:line="520" w:lineRule="exact"/>
        <w:ind w:firstLine="643" w:firstLineChars="200"/>
        <w:rPr>
          <w:rFonts w:ascii="仿宋_GB2312" w:hAnsi="仿宋_GB2312" w:eastAsia="仿宋_GB2312" w:cs="仿宋_GB2312"/>
          <w:color w:val="auto"/>
          <w:sz w:val="30"/>
          <w:szCs w:val="30"/>
          <w:highlight w:val="none"/>
        </w:rPr>
      </w:pPr>
      <w:r>
        <w:rPr>
          <w:rFonts w:hint="eastAsia" w:eastAsia="仿宋_GB2312"/>
          <w:b/>
          <w:bCs/>
          <w:snapToGrid w:val="0"/>
          <w:color w:val="auto"/>
          <w:kern w:val="0"/>
          <w:sz w:val="32"/>
          <w:szCs w:val="32"/>
          <w:highlight w:val="none"/>
        </w:rPr>
        <w:t>2.</w:t>
      </w:r>
      <w:r>
        <w:rPr>
          <w:rFonts w:eastAsia="仿宋_GB2312"/>
          <w:b/>
          <w:bCs/>
          <w:snapToGrid w:val="0"/>
          <w:color w:val="auto"/>
          <w:kern w:val="0"/>
          <w:sz w:val="32"/>
          <w:szCs w:val="32"/>
          <w:highlight w:val="none"/>
        </w:rPr>
        <w:t>3.</w:t>
      </w:r>
      <w:r>
        <w:rPr>
          <w:rFonts w:hint="eastAsia" w:eastAsia="仿宋_GB2312"/>
          <w:b/>
          <w:bCs/>
          <w:snapToGrid w:val="0"/>
          <w:color w:val="auto"/>
          <w:kern w:val="0"/>
          <w:sz w:val="32"/>
          <w:szCs w:val="32"/>
          <w:highlight w:val="none"/>
        </w:rPr>
        <w:t>2</w:t>
      </w:r>
      <w:r>
        <w:rPr>
          <w:rFonts w:eastAsia="仿宋_GB2312"/>
          <w:b/>
          <w:bCs/>
          <w:snapToGrid w:val="0"/>
          <w:color w:val="auto"/>
          <w:kern w:val="0"/>
          <w:sz w:val="32"/>
          <w:szCs w:val="32"/>
          <w:highlight w:val="none"/>
        </w:rPr>
        <w:t xml:space="preserve"> 现场应急处置措施</w:t>
      </w:r>
    </w:p>
    <w:p w14:paraId="331631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2.3.2.1 人员救护 </w:t>
      </w:r>
    </w:p>
    <w:p w14:paraId="25D99351">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1</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发生</w:t>
      </w:r>
      <w:r>
        <w:rPr>
          <w:rFonts w:hint="eastAsia" w:ascii="仿宋_GB2312" w:hAnsi="仿宋_GB2312" w:eastAsia="仿宋_GB2312" w:cs="仿宋_GB2312"/>
          <w:color w:val="auto"/>
          <w:kern w:val="0"/>
          <w:sz w:val="28"/>
          <w:szCs w:val="28"/>
          <w:highlight w:val="yellow"/>
          <w:lang w:val="en-US" w:eastAsia="zh-CN"/>
        </w:rPr>
        <w:t>煤尘爆炸</w:t>
      </w:r>
      <w:r>
        <w:rPr>
          <w:rFonts w:hint="eastAsia" w:ascii="仿宋_GB2312" w:hAnsi="仿宋_GB2312" w:eastAsia="仿宋_GB2312" w:cs="仿宋_GB2312"/>
          <w:color w:val="auto"/>
          <w:kern w:val="0"/>
          <w:sz w:val="28"/>
          <w:szCs w:val="28"/>
          <w:highlight w:val="yellow"/>
        </w:rPr>
        <w:t>事故后，现场人员要</w:t>
      </w:r>
      <w:r>
        <w:rPr>
          <w:rFonts w:hint="eastAsia" w:ascii="仿宋_GB2312" w:hAnsi="仿宋_GB2312" w:eastAsia="仿宋_GB2312" w:cs="仿宋_GB2312"/>
          <w:color w:val="auto"/>
          <w:kern w:val="0"/>
          <w:sz w:val="28"/>
          <w:szCs w:val="28"/>
          <w:highlight w:val="yellow"/>
          <w:lang w:val="en-US" w:eastAsia="zh-CN"/>
        </w:rPr>
        <w:t>立即佩戴好自救器，按避灾路线撤离。</w:t>
      </w:r>
      <w:r>
        <w:rPr>
          <w:rFonts w:hint="eastAsia" w:ascii="仿宋_GB2312" w:hAnsi="仿宋_GB2312" w:eastAsia="仿宋_GB2312" w:cs="仿宋_GB2312"/>
          <w:color w:val="auto"/>
          <w:kern w:val="0"/>
          <w:sz w:val="28"/>
          <w:szCs w:val="28"/>
          <w:highlight w:val="yellow"/>
        </w:rPr>
        <w:t>如有人员受伤，要及时组织救助，帮助撤离到顶板完好、通风良好地点；如无法保证自身安全，应立即撤至安全地点。</w:t>
      </w:r>
    </w:p>
    <w:p w14:paraId="38EB6F2C">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2</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现场应急工作小组应根据现场情况制定现场应急处置方案及安全措施，并及时向调度室汇报。</w:t>
      </w:r>
      <w:r>
        <w:rPr>
          <w:rFonts w:hint="eastAsia" w:ascii="仿宋_GB2312" w:hAnsi="仿宋_GB2312" w:eastAsia="仿宋_GB2312" w:cs="仿宋_GB2312"/>
          <w:color w:val="auto"/>
          <w:kern w:val="0"/>
          <w:sz w:val="28"/>
          <w:szCs w:val="28"/>
          <w:highlight w:val="yellow"/>
          <w:lang w:val="en-US" w:eastAsia="zh-CN"/>
        </w:rPr>
        <w:t>救援</w:t>
      </w:r>
      <w:r>
        <w:rPr>
          <w:rFonts w:hint="eastAsia" w:ascii="仿宋_GB2312" w:hAnsi="仿宋_GB2312" w:eastAsia="仿宋_GB2312" w:cs="仿宋_GB2312"/>
          <w:color w:val="auto"/>
          <w:kern w:val="0"/>
          <w:sz w:val="28"/>
          <w:szCs w:val="28"/>
          <w:highlight w:val="yellow"/>
        </w:rPr>
        <w:t>人员应根据灾情和现有条件进行，行动中必须保证统一的指挥和严密的组织，避免次生事故的发生。</w:t>
      </w:r>
    </w:p>
    <w:p w14:paraId="596CCC6A">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3</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救援队进入灾区抢险救灾，应采取措施确保救援人员安全。抢救遇险被困人员时，首先应通过电话、喊话、人员位置监测系统、生命探测仪或敲打管路等救援联络方式与遇险人员取得联系，探明遇被困人数及位置。</w:t>
      </w:r>
    </w:p>
    <w:p w14:paraId="4741F11A">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4</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医疗救护人员要按照指挥部指令及时到达井口待命，必要时到达井下事故现场，对抢救出的受伤人员进行紧急医疗救治或护送上井救治。</w:t>
      </w:r>
    </w:p>
    <w:p w14:paraId="36E15A51">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5</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抢救出伤员后，应判断伤情的轻重，先抢救重伤人员，后抢救轻伤人员；要认真执行“三先三后”的原则：即对窒息或心跳呼吸停止不久的伤员必须先复苏后搬运，对出血伤员必须先止血后搬运，对骨伤的伤员必须先固定后搬运。</w:t>
      </w:r>
    </w:p>
    <w:p w14:paraId="6E935668">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6</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遇险人员如进入避难硐室避险，应按操作规程启用避难硐室。现场负责人要安排专人负责与地面救援指挥部保持联系，对硐室内部的系统、设备运行情况进行检查，对硐室环境进行监测。在接到地面救援指挥部的指令或避难硐室外有害气体下降到安全范围，应组织人员快速有序撤离升井。</w:t>
      </w:r>
    </w:p>
    <w:p w14:paraId="6C0547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2.3.2.2工艺操作</w:t>
      </w:r>
    </w:p>
    <w:p w14:paraId="0619BD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（1）发生煤尘爆炸事故时听到爆炸声，须立即张大口，用湿毛巾捂住口鼻（避免爆炸所产生强大冲击波击穿耳膜，引起永久性耳聋），就地卧倒，如有水坑，可侧卧于水中。</w:t>
      </w:r>
    </w:p>
    <w:p w14:paraId="57BD51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（2）现场人员要保持冷静，切忌乱跑，立即戴好自救器，在现场负责人的带领下，按避灾路线有序撤离，注意防止受到二次爆炸或连续爆炸的伤害，同时电话汇报调度室。</w:t>
      </w:r>
    </w:p>
    <w:p w14:paraId="05F15B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（3）调度室迅速了解煤尘爆炸事故的发生位置、波及范围、人员伤亡情况和主通风机运行情况，了解通风是否畅通、瓦斯浓度有无变化，根据灾情确定停电范围，下达停电撤人命令。</w:t>
      </w:r>
    </w:p>
    <w:p w14:paraId="0690AC3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（4）若退路被堵，在确保安全的前提下，千方百计疏通巷道，尽快撤到新鲜风流中。</w:t>
      </w:r>
    </w:p>
    <w:p w14:paraId="386656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井筒、井底车场或石门发生爆炸时，在侦察确定没有火源，无爆炸危险的情况下，尽快恢复通风，救人和恢复通风应同时进行。如果有害气体严重威胁回风流方向的人员，在进风方向的人员已安全撤退的情况下，可采取区域反风，救护队进入原回风侧引导人员撤离灾区。</w:t>
      </w:r>
    </w:p>
    <w:p w14:paraId="1A0B44A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（6）爆炸事故发生在采煤工作面时，应沿进风侧和回风侧进入救人，在此期间必须维持通风系统原状。</w:t>
      </w:r>
    </w:p>
    <w:p w14:paraId="74541B5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（7）如遇独头巷道距离较长、有害气体浓度大、支架支护损坏严重的情况，在确认没有火源、遇险人员已经牺牲时，严禁冒险进入工作，在恢复通风、打好支护后，方可搬运遇难人员。</w:t>
      </w:r>
    </w:p>
    <w:p w14:paraId="2E01E82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受灾害威胁人员在撤离时，应遵循以下原则：位于事故地点进风侧人员应迎着风流退出，位于回风侧人员佩带自救器顺风流撤出，并尽量利用其它通路(如风门等)较快地绕到新鲜风流中。如爆炸的火源袭来时，应背对火源卧倒或卧于水沟中，并用衣服或其它物料，盖住身体裸露部位，以减轻高温火焰灼伤。在撤退中，如发现前方巷道由于爆炸事故已发生严重冒顶，无法撤退时，应利用压风自救、供水施救系统进行自救或进入避难硐室等地点等待救护队的救援。</w:t>
      </w:r>
    </w:p>
    <w:p w14:paraId="0C4576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（9）在抢救事故期间，应随时向调度室汇报灾区状况和救灾工作的进展情况。</w:t>
      </w:r>
    </w:p>
    <w:p w14:paraId="14484E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（10）立即组织救护队侦查，准确探明事故的性质、原因、范围、遇险人员数量和所在位置，以及巷道通风、瓦斯情况，为制定救灾方案提供可靠依据。</w:t>
      </w:r>
    </w:p>
    <w:p w14:paraId="347CBEA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（11）救护队员在进入灾区抢救之前，应查明井下发生事故情况，制定控制风流及防止发生连续爆炸的措施。注意检查沿途气体情况、温度变化情况，以确保救灾人员的安全。</w:t>
      </w:r>
    </w:p>
    <w:p w14:paraId="2C2ECC8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迅速组织两个救护小队抢救遇险人员。到达事故现场的小队首先侦察爆炸区域的情况，检查CH4、CO、C02的含量,按照先抢救重伤、轻伤人员,后抢救遇险者的原则，积极抢救被困人员。在抢救被困人员中，要注意遇险人员的姿势和倒向，做好记录。在抢救中要严禁未佩用呼吸器的人员进入爆炸区域，防止中毒扩大事故。</w:t>
      </w:r>
    </w:p>
    <w:p w14:paraId="2BFD895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（13）在组织抢救遇险人员的同时，要组织人员向灾区附近运送局部通风设备，迅速恢复爆炸区域的通风。</w:t>
      </w:r>
    </w:p>
    <w:p w14:paraId="6217404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（14）恢复送电时，必须经瓦斯检查员确保送电区域有害气体浓度不超限，向救灾指挥部汇报后，指挥部按照先送风后送电的原则，下令向指定地点逐级送电。</w:t>
      </w:r>
    </w:p>
    <w:p w14:paraId="02DC98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15）如果爆炸区域巷道距离较长、温度高、烟雾大，巷道冒落严重，瓦斯浓度在允许范围内时，可采取安装局扇、逐段延接风筒、逐段稀释烟雾的方法进行抢救遇险人员，存在高温和高浓度瓦斯时，不得采用此法。</w:t>
      </w:r>
    </w:p>
    <w:p w14:paraId="211D424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（16）救灾过程中，指定专人检查瓦斯和煤尘，观察灾区气体和风流变化情况。当有爆炸危险时，救灾人员必须立即撤到安全地点，采取措施排除爆炸危险后再重新进行抢险救灾工作。</w:t>
      </w:r>
    </w:p>
    <w:p w14:paraId="0D679C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（17）煤尘爆炸后，可能造成巷道和通风设施的破坏，使通风系统紊乱，通风部门应根据救灾需要及时调整通风系统。</w:t>
      </w:r>
    </w:p>
    <w:p w14:paraId="23CABBC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（18）有害气体严重威胁回风流人员时，在进风侧人员已安全撤出的情况下，可采取区域或局部反风，解救回风侧被困人员，但必须经过周密分析，慎重采取行动，避免造成事故扩大。</w:t>
      </w:r>
    </w:p>
    <w:p w14:paraId="73B57BB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（19）进入灾区发现火源要立即扑灭，若火势大，无法灭火或灭火无效时，应立即予以封闭</w:t>
      </w:r>
      <w:r>
        <w:rPr>
          <w:rFonts w:hint="eastAsia" w:ascii="仿宋_GB2312" w:hAnsi="仿宋_GB2312" w:eastAsia="仿宋_GB2312" w:cs="仿宋_GB2312"/>
          <w:color w:val="auto"/>
          <w:kern w:val="0"/>
          <w:sz w:val="28"/>
          <w:szCs w:val="28"/>
          <w:highlight w:val="none"/>
          <w:lang w:eastAsia="zh-CN"/>
        </w:rPr>
        <w:t>。</w:t>
      </w:r>
    </w:p>
    <w:p w14:paraId="6A53AE4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2.3.2.3事故控制</w:t>
      </w:r>
    </w:p>
    <w:p w14:paraId="1D4B5C7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（1）安全监控部门对监测数据进行分析，发生异常立即报告指挥部，井下各分站配备备用电源，安全监控系统故障停电后，能自动切换至备用电源供电，确保数据实时传输，备用电源持续供电时间不低于4小时。</w:t>
      </w:r>
    </w:p>
    <w:p w14:paraId="56F662E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（2）指挥部根据灾情分析判断通风系统破坏程度及发生连续爆炸、火灾的可能性，积极研究制定救灾方案，并根据灾情发展及时调整优化方案。</w:t>
      </w:r>
    </w:p>
    <w:p w14:paraId="25BB7CE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（3）发生煤尘爆炸事故后，通风设施、巷道会受到破坏，通风系统可能发生变化，救护队要及时检查，并进行相应的调整，使产生的有害气体尽快进入回风巷。</w:t>
      </w:r>
    </w:p>
    <w:p w14:paraId="3CBDC7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（4）井下所有作业场所回风流中甲烷浓度超过1.0%时；井下发生明显煤尘增大等突出征兆，必须及时撤出危险区域作业人员。</w:t>
      </w:r>
    </w:p>
    <w:p w14:paraId="4A3949B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2.3.2.4消防</w:t>
      </w:r>
    </w:p>
    <w:p w14:paraId="06F018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39391F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2.3.2.5现场恢复</w:t>
      </w:r>
    </w:p>
    <w:p w14:paraId="1D4854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事故得到有效控制，确认无被困和失踪人员，伤亡人员全部救出或转移，设备、设施处于受控状态，环境有害因素得到有效监测和处置达标，由应急总指挥宣布事故应急救援终止命令，后续工作转为灾后恢复、经验教训的总结等。</w:t>
      </w:r>
    </w:p>
    <w:p w14:paraId="61FE18C2">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2.</w:t>
      </w:r>
      <w:r>
        <w:rPr>
          <w:rFonts w:eastAsia="仿宋_GB2312"/>
          <w:b/>
          <w:bCs/>
          <w:snapToGrid w:val="0"/>
          <w:color w:val="auto"/>
          <w:kern w:val="0"/>
          <w:sz w:val="32"/>
          <w:szCs w:val="32"/>
          <w:highlight w:val="none"/>
        </w:rPr>
        <w:t>3.4 报警电话及相关救援单位联络</w:t>
      </w:r>
    </w:p>
    <w:p w14:paraId="19765B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1732E1B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2DA382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7382D343">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589D0D5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52A86BA1">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94" w:name="_Toc17643"/>
      <w:bookmarkStart w:id="395" w:name="_Toc26822"/>
      <w:r>
        <w:rPr>
          <w:rFonts w:hint="eastAsia" w:ascii="楷体_GB2312" w:hAnsi="楷体_GB2312" w:eastAsia="楷体_GB2312" w:cs="楷体_GB2312"/>
          <w:color w:val="auto"/>
          <w:sz w:val="30"/>
          <w:szCs w:val="30"/>
          <w:highlight w:val="none"/>
        </w:rPr>
        <w:t>2.</w:t>
      </w:r>
      <w:r>
        <w:rPr>
          <w:rFonts w:ascii="楷体_GB2312" w:hAnsi="楷体_GB2312" w:eastAsia="楷体_GB2312" w:cs="楷体_GB2312"/>
          <w:color w:val="auto"/>
          <w:sz w:val="30"/>
          <w:szCs w:val="30"/>
          <w:highlight w:val="none"/>
        </w:rPr>
        <w:t>4 注意事项</w:t>
      </w:r>
      <w:bookmarkEnd w:id="394"/>
      <w:bookmarkEnd w:id="395"/>
    </w:p>
    <w:p w14:paraId="78EE1DD8">
      <w:pPr>
        <w:spacing w:line="520" w:lineRule="exact"/>
        <w:ind w:firstLine="643" w:firstLineChars="200"/>
        <w:rPr>
          <w:rFonts w:ascii="仿宋_GB2312" w:hAnsi="仿宋_GB2312" w:eastAsia="仿宋_GB2312" w:cs="仿宋_GB2312"/>
          <w:b/>
          <w:bCs/>
          <w:snapToGrid w:val="0"/>
          <w:color w:val="auto"/>
          <w:kern w:val="0"/>
          <w:sz w:val="32"/>
          <w:szCs w:val="32"/>
          <w:highlight w:val="none"/>
        </w:rPr>
      </w:pPr>
      <w:r>
        <w:rPr>
          <w:rFonts w:hint="eastAsia" w:ascii="仿宋_GB2312" w:hAnsi="仿宋_GB2312" w:eastAsia="仿宋_GB2312" w:cs="仿宋_GB2312"/>
          <w:b/>
          <w:bCs/>
          <w:snapToGrid w:val="0"/>
          <w:color w:val="auto"/>
          <w:kern w:val="0"/>
          <w:sz w:val="32"/>
          <w:szCs w:val="32"/>
          <w:highlight w:val="none"/>
        </w:rPr>
        <w:t>2.4.1 人员防护</w:t>
      </w:r>
    </w:p>
    <w:p w14:paraId="72D18EA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7044B67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7254FF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3E5440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53D84EBE">
      <w:pPr>
        <w:spacing w:line="520" w:lineRule="exact"/>
        <w:ind w:firstLine="643" w:firstLineChars="200"/>
        <w:rPr>
          <w:rFonts w:ascii="仿宋_GB2312" w:hAnsi="仿宋_GB2312" w:eastAsia="仿宋_GB2312" w:cs="仿宋_GB2312"/>
          <w:b/>
          <w:bCs/>
          <w:snapToGrid w:val="0"/>
          <w:color w:val="auto"/>
          <w:kern w:val="0"/>
          <w:sz w:val="32"/>
          <w:szCs w:val="32"/>
          <w:highlight w:val="none"/>
        </w:rPr>
      </w:pPr>
      <w:r>
        <w:rPr>
          <w:rFonts w:hint="eastAsia" w:ascii="仿宋_GB2312" w:hAnsi="仿宋_GB2312" w:eastAsia="仿宋_GB2312" w:cs="仿宋_GB2312"/>
          <w:b/>
          <w:bCs/>
          <w:snapToGrid w:val="0"/>
          <w:color w:val="auto"/>
          <w:kern w:val="0"/>
          <w:sz w:val="32"/>
          <w:szCs w:val="32"/>
          <w:highlight w:val="none"/>
        </w:rPr>
        <w:t>2.4.2 自救互救</w:t>
      </w:r>
    </w:p>
    <w:p w14:paraId="0C2FBB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（1）自救与互救原则：安全撤离，妥善避险；沉着冷静，控制情绪；互相鼓励，互相帮助；团结协作，服从指挥。 </w:t>
      </w:r>
    </w:p>
    <w:p w14:paraId="72268AF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（2）班组长应当具备兼职救护队员的知识和能力，能够在发生险情后第一时间组织作业人员自救互救和安全避险。 </w:t>
      </w:r>
    </w:p>
    <w:p w14:paraId="1CA1A1E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（3）救援人员必须认真按救援方案和救护安全措施执行，确保自身安全。 </w:t>
      </w:r>
    </w:p>
    <w:p w14:paraId="79986C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（4）煤矿作业人员必须熟悉应急救援预案和避灾路线，具有自救互救和安全避险知识，训练掌握自救器和紧急避险设施的使用方法。 </w:t>
      </w:r>
    </w:p>
    <w:p w14:paraId="3AC6A9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（5）对于受伤人员可采取以下措施：使之平躺，把腿垫高，利于血液回流；松开衣领、腰带，使之呼吸畅通；铺盖适当的衣物保暖；对于停止呼吸的立即进行人工呼吸，不要轻易放弃。</w:t>
      </w:r>
    </w:p>
    <w:p w14:paraId="1AC44F6E">
      <w:pPr>
        <w:spacing w:line="520" w:lineRule="exact"/>
        <w:ind w:firstLine="643" w:firstLineChars="200"/>
        <w:rPr>
          <w:rFonts w:ascii="仿宋_GB2312" w:hAnsi="仿宋_GB2312" w:eastAsia="仿宋_GB2312" w:cs="仿宋_GB2312"/>
          <w:b/>
          <w:bCs/>
          <w:snapToGrid w:val="0"/>
          <w:color w:val="auto"/>
          <w:kern w:val="0"/>
          <w:sz w:val="32"/>
          <w:szCs w:val="32"/>
          <w:highlight w:val="none"/>
        </w:rPr>
      </w:pPr>
      <w:r>
        <w:rPr>
          <w:rFonts w:hint="eastAsia" w:ascii="仿宋_GB2312" w:hAnsi="仿宋_GB2312" w:eastAsia="仿宋_GB2312" w:cs="仿宋_GB2312"/>
          <w:b/>
          <w:bCs/>
          <w:snapToGrid w:val="0"/>
          <w:color w:val="auto"/>
          <w:kern w:val="0"/>
          <w:sz w:val="32"/>
          <w:szCs w:val="32"/>
          <w:highlight w:val="none"/>
        </w:rPr>
        <w:t>2.4.3 装备使用</w:t>
      </w:r>
    </w:p>
    <w:p w14:paraId="5162B1A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454E9A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25EC04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（3）佩戴自救器操作准确迅速，并经常性熟悉使用方法经过培训，并经考试合格后，方可配用。自救器佩戴操作要领：置右侧、掀护罩、启扳手、去上壳、展气囊、</w:t>
      </w:r>
      <w:r>
        <w:rPr>
          <w:rFonts w:hint="eastAsia" w:ascii="仿宋_GB2312" w:hAnsi="仿宋_GB2312" w:eastAsia="仿宋_GB2312" w:cs="仿宋_GB2312"/>
          <w:color w:val="auto"/>
          <w:kern w:val="0"/>
          <w:sz w:val="28"/>
          <w:szCs w:val="28"/>
          <w:highlight w:val="none"/>
          <w:lang w:eastAsia="zh-CN"/>
        </w:rPr>
        <w:t>戴</w:t>
      </w:r>
      <w:r>
        <w:rPr>
          <w:rFonts w:hint="eastAsia" w:ascii="仿宋_GB2312" w:hAnsi="仿宋_GB2312" w:eastAsia="仿宋_GB2312" w:cs="仿宋_GB2312"/>
          <w:color w:val="auto"/>
          <w:kern w:val="0"/>
          <w:sz w:val="28"/>
          <w:szCs w:val="28"/>
          <w:highlight w:val="none"/>
        </w:rPr>
        <w:t>脖带、启开关、咬口具、戴鼻夹、即撤离。</w:t>
      </w:r>
    </w:p>
    <w:p w14:paraId="4DD48D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62DD001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2FF706D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（6）干粉灭火器：将瓶身反复颠倒，取下铅封，拔掉保险销，左手握喷管，右手提压把灭火。</w:t>
      </w:r>
    </w:p>
    <w:p w14:paraId="4BD43F2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（7）泡沫灭火器：站在上风处，尽量靠近火源，从火势蔓延最危险的一边喷起，逐渐移动，不要留下火星。</w:t>
      </w:r>
    </w:p>
    <w:p w14:paraId="065371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（8）二氧化碳灭火器：拔去保险销，一手握住喷射喇叭上的木柄，一手按动鸭舌开关或旋转开关，最后提握器身灭火。</w:t>
      </w:r>
    </w:p>
    <w:p w14:paraId="6E6AC910">
      <w:pPr>
        <w:spacing w:line="520" w:lineRule="exact"/>
        <w:ind w:firstLine="643" w:firstLineChars="200"/>
        <w:rPr>
          <w:rFonts w:eastAsia="仿宋_GB2312"/>
          <w:b/>
          <w:bCs/>
          <w:snapToGrid w:val="0"/>
          <w:color w:val="auto"/>
          <w:kern w:val="0"/>
          <w:sz w:val="32"/>
          <w:szCs w:val="32"/>
          <w:highlight w:val="none"/>
        </w:rPr>
      </w:pPr>
      <w:r>
        <w:rPr>
          <w:rFonts w:hint="eastAsia" w:eastAsia="仿宋_GB2312"/>
          <w:b/>
          <w:bCs/>
          <w:snapToGrid w:val="0"/>
          <w:color w:val="auto"/>
          <w:kern w:val="0"/>
          <w:sz w:val="32"/>
          <w:szCs w:val="32"/>
          <w:highlight w:val="none"/>
        </w:rPr>
        <w:t>2.4.4 现场安全</w:t>
      </w:r>
    </w:p>
    <w:p w14:paraId="0E24D70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7741F4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3EE241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2BD7268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3DF71FE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23E67D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4CEDB0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2FA28A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4F8F2C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1817C8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（10）当巷道被</w:t>
      </w:r>
      <w:r>
        <w:rPr>
          <w:rFonts w:hint="eastAsia" w:ascii="仿宋_GB2312" w:hAnsi="仿宋_GB2312" w:eastAsia="仿宋_GB2312" w:cs="仿宋_GB2312"/>
          <w:color w:val="auto"/>
          <w:kern w:val="0"/>
          <w:sz w:val="28"/>
          <w:szCs w:val="28"/>
          <w:highlight w:val="none"/>
          <w:lang w:eastAsia="zh-CN"/>
        </w:rPr>
        <w:t>堵</w:t>
      </w:r>
      <w:r>
        <w:rPr>
          <w:rFonts w:hint="eastAsia" w:ascii="仿宋_GB2312" w:hAnsi="仿宋_GB2312" w:eastAsia="仿宋_GB2312" w:cs="仿宋_GB2312"/>
          <w:color w:val="auto"/>
          <w:kern w:val="0"/>
          <w:sz w:val="28"/>
          <w:szCs w:val="28"/>
          <w:highlight w:val="none"/>
        </w:rPr>
        <w:t>人无法撤离时，被困人员必须静卧，不得烦躁，减少氧气、热量等消耗，保持体力，等待救援。</w:t>
      </w:r>
    </w:p>
    <w:p w14:paraId="4E8675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（11）若巷道内有压风管，可打开压风管供人员呼吸，确保被困人员的安全，并利用救援联络信号，向外报警。</w:t>
      </w:r>
    </w:p>
    <w:p w14:paraId="7D48C7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（12）附近如有临时避险硐室或移动救生舱，被堵人员可进入临时避险硐室或移动救生舱，等待救援。</w:t>
      </w:r>
    </w:p>
    <w:p w14:paraId="50793A6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（13）进入避难硐室前，应在硐室外留有明显标志，以便救护队发现。硐室内保留一盏灯照明，其余矿灯全部关闭。</w:t>
      </w:r>
    </w:p>
    <w:p w14:paraId="4A9EE144">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396" w:name="_Toc20845"/>
      <w:bookmarkStart w:id="397" w:name="_Toc30646"/>
      <w:r>
        <w:rPr>
          <w:rFonts w:hint="eastAsia" w:ascii="楷体_GB2312" w:hAnsi="楷体_GB2312" w:eastAsia="楷体_GB2312" w:cs="楷体_GB2312"/>
          <w:color w:val="auto"/>
          <w:sz w:val="30"/>
          <w:szCs w:val="30"/>
          <w:highlight w:val="none"/>
        </w:rPr>
        <w:t>2.5 其他需要特别警示的事项</w:t>
      </w:r>
      <w:bookmarkEnd w:id="396"/>
      <w:bookmarkEnd w:id="397"/>
    </w:p>
    <w:p w14:paraId="6946B6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7BA61C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440A50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33C1DC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4D11247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52C99FE7">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398" w:name="_Toc15875"/>
      <w:bookmarkStart w:id="399" w:name="_Toc674"/>
      <w:r>
        <w:rPr>
          <w:rFonts w:hint="eastAsia" w:ascii="黑体" w:hAnsi="黑体" w:eastAsia="黑体" w:cs="黑体"/>
          <w:color w:val="auto"/>
          <w:sz w:val="30"/>
          <w:szCs w:val="30"/>
          <w:highlight w:val="none"/>
        </w:rPr>
        <w:t xml:space="preserve">3 </w:t>
      </w:r>
      <w:r>
        <w:rPr>
          <w:rFonts w:hint="eastAsia" w:ascii="黑体" w:hAnsi="黑体" w:eastAsia="黑体" w:cs="黑体"/>
          <w:color w:val="auto"/>
          <w:sz w:val="30"/>
          <w:szCs w:val="30"/>
          <w:highlight w:val="none"/>
          <w:lang w:val="en-US" w:eastAsia="zh-CN"/>
        </w:rPr>
        <w:t>矿井</w:t>
      </w:r>
      <w:r>
        <w:rPr>
          <w:rFonts w:hint="eastAsia" w:ascii="黑体" w:hAnsi="黑体" w:eastAsia="黑体" w:cs="黑体"/>
          <w:color w:val="auto"/>
          <w:sz w:val="30"/>
          <w:szCs w:val="30"/>
          <w:highlight w:val="none"/>
        </w:rPr>
        <w:t>火灾事故现场处置方案</w:t>
      </w:r>
      <w:bookmarkEnd w:id="398"/>
      <w:bookmarkEnd w:id="399"/>
    </w:p>
    <w:p w14:paraId="7479F9EB">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00" w:name="_Toc7395"/>
      <w:bookmarkStart w:id="401" w:name="_Toc24984"/>
      <w:r>
        <w:rPr>
          <w:rFonts w:hint="eastAsia" w:ascii="楷体_GB2312" w:hAnsi="楷体_GB2312" w:eastAsia="楷体_GB2312" w:cs="楷体_GB2312"/>
          <w:color w:val="auto"/>
          <w:sz w:val="30"/>
          <w:szCs w:val="30"/>
          <w:highlight w:val="none"/>
        </w:rPr>
        <w:t>3.1事故风险描述</w:t>
      </w:r>
      <w:bookmarkEnd w:id="400"/>
      <w:bookmarkEnd w:id="401"/>
    </w:p>
    <w:p w14:paraId="17BF59C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3.1.1 风险描述</w:t>
      </w:r>
    </w:p>
    <w:p w14:paraId="6A9A455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中煤科工集团重庆研究院对矿井3煤层煤进行了煤层自燃倾向性鉴定：3煤、5煤、9煤自燃倾向性均为自燃煤层，3煤、5煤最短自然发火期为58天，9层煤自然发火期为53天。井下火灾事故按照成因分为内因火灾和外因火灾。</w:t>
      </w:r>
    </w:p>
    <w:p w14:paraId="4988233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内因火灾：主要是煤层自然发火引起的火灾，采煤工作面在回采过程中，由于回采遗煤、采空区漏风、高温积聚等因素影响，存在自然发火风险。工作面安装、回撤期间，由于切眼跨度大，风速相对较小，安装、回撤速度慢，采空区遗煤或暴露的煤体暴露时间长，存在自然发火风险；沿空掘进巷道因与相邻的采空区、切眼、停采线、溜煤眼、巷道高冒处、断层破碎带等地点连通，存在自然发火风险。</w:t>
      </w:r>
    </w:p>
    <w:p w14:paraId="6DA9A3B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）外因火灾</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主要是在生产过程中，井下违规动火作业、违规使用高分子材料、电气开关失爆、过负荷、短路、老化击穿、柴油单轨吊运行、锂电单轨吊运行、充电硐室、井下油脂硐室、皮带磨支架，违规爆破等均可能造成外因火灾；矿井主井、副井、变电站（所）、通风机房、压风机房、选煤中心、井口联合建筑、地面汽车充电站等地点和人员密集办公场所，因动火作业、易燃物自燃、供电线路短路、电气设备故障、静电、雷击等，存在外因火灾风险。</w:t>
      </w:r>
    </w:p>
    <w:p w14:paraId="04389FD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地面火灾：矿井主井、副井、变电所、压风机房、主要通风机房、井口联合建筑等地点，因动火作业、易燃物自燃、供电线路短路、电气设备故障、接触不良发热、静电、雷击等易引发火灾；地面变电所配置变压器及中控配电柜，因绕组绝缘击穿、分接开关接触不良、套管闪络、铁芯多点接地、漏油以及配电柜短路或过负荷等故障，加之雷击侵入，可能发生火灾。矿井生产区域、生活区域、人员密集场所均存在地面火灾风险，矿区职工公寓、办公楼、主副井塔、井口联合建筑、35kV变电所、机修车间、储煤场等建筑内，因动火作业、易燃物品（木材、油料、煤炭、棉织物等）自燃、供电线路短路、电气设备故障、静电、雷击以及燃气设施泄漏等，亦易引发火灾。上述场所一旦发生火灾，产生的高温浓烟含有一氧化碳等有毒有害气体，不仅可能造成地面事故地点人员伤亡和财产损失，还可能沿进风井口或立井侵入井下引发次生灾害，直接影响矿井安全生产。</w:t>
      </w:r>
    </w:p>
    <w:p w14:paraId="008DF8C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w:t>
      </w:r>
      <w:r>
        <w:rPr>
          <w:rFonts w:ascii="仿宋_GB2312" w:hAnsi="仿宋_GB2312" w:eastAsia="仿宋_GB2312" w:cs="仿宋_GB2312"/>
          <w:b/>
          <w:bCs/>
          <w:snapToGrid w:val="0"/>
          <w:color w:val="auto"/>
          <w:kern w:val="0"/>
          <w:sz w:val="30"/>
          <w:szCs w:val="30"/>
          <w:highlight w:val="none"/>
        </w:rPr>
        <w:t>.</w:t>
      </w:r>
      <w:r>
        <w:rPr>
          <w:rFonts w:hint="eastAsia" w:ascii="仿宋_GB2312" w:hAnsi="仿宋_GB2312" w:eastAsia="仿宋_GB2312" w:cs="仿宋_GB2312"/>
          <w:b/>
          <w:bCs/>
          <w:snapToGrid w:val="0"/>
          <w:color w:val="auto"/>
          <w:kern w:val="0"/>
          <w:sz w:val="30"/>
          <w:szCs w:val="30"/>
          <w:highlight w:val="none"/>
        </w:rPr>
        <w:t>1.</w:t>
      </w:r>
      <w:r>
        <w:rPr>
          <w:rFonts w:ascii="仿宋_GB2312" w:hAnsi="仿宋_GB2312" w:eastAsia="仿宋_GB2312" w:cs="仿宋_GB2312"/>
          <w:b/>
          <w:bCs/>
          <w:snapToGrid w:val="0"/>
          <w:color w:val="auto"/>
          <w:kern w:val="0"/>
          <w:sz w:val="30"/>
          <w:szCs w:val="30"/>
          <w:highlight w:val="none"/>
        </w:rPr>
        <w:t>2 风险评估结果</w:t>
      </w:r>
    </w:p>
    <w:p w14:paraId="73AD3B1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矿井火灾</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5D983D26">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02" w:name="_Toc4282"/>
      <w:bookmarkStart w:id="403" w:name="_Toc16779"/>
      <w:r>
        <w:rPr>
          <w:rFonts w:hint="eastAsia" w:ascii="楷体_GB2312" w:hAnsi="楷体_GB2312" w:eastAsia="楷体_GB2312" w:cs="楷体_GB2312"/>
          <w:color w:val="auto"/>
          <w:sz w:val="30"/>
          <w:szCs w:val="30"/>
          <w:highlight w:val="none"/>
        </w:rPr>
        <w:t>3.2 应急工作职责</w:t>
      </w:r>
      <w:bookmarkEnd w:id="402"/>
      <w:bookmarkEnd w:id="403"/>
    </w:p>
    <w:p w14:paraId="5EE8EC7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w:t>
      </w:r>
      <w:r>
        <w:rPr>
          <w:rFonts w:ascii="仿宋_GB2312" w:hAnsi="仿宋_GB2312" w:eastAsia="仿宋_GB2312" w:cs="仿宋_GB2312"/>
          <w:b/>
          <w:bCs/>
          <w:snapToGrid w:val="0"/>
          <w:color w:val="auto"/>
          <w:kern w:val="0"/>
          <w:sz w:val="30"/>
          <w:szCs w:val="30"/>
          <w:highlight w:val="none"/>
        </w:rPr>
        <w:t>2.1 应急自救小组</w:t>
      </w:r>
    </w:p>
    <w:p w14:paraId="6978618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3C9D56C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002CA74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22AEF21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w:t>
      </w:r>
      <w:r>
        <w:rPr>
          <w:rFonts w:ascii="仿宋_GB2312" w:hAnsi="仿宋_GB2312" w:eastAsia="仿宋_GB2312" w:cs="仿宋_GB2312"/>
          <w:b/>
          <w:bCs/>
          <w:snapToGrid w:val="0"/>
          <w:color w:val="auto"/>
          <w:kern w:val="0"/>
          <w:sz w:val="30"/>
          <w:szCs w:val="30"/>
          <w:highlight w:val="none"/>
        </w:rPr>
        <w:t>2.2 具体职责</w:t>
      </w:r>
    </w:p>
    <w:p w14:paraId="0C615BD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4C1A50F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32BD408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22D2D07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2630663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7C49B20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（6）维护工：根据事故的严重程度，按照救援小组安排，负责维护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w:t>
      </w:r>
    </w:p>
    <w:p w14:paraId="5611AD1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运料工：出现紧急事故时随时待命，一旦接到通知，马上到达现场进行抢险工作，做到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4579B0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（8）电工：听从指令，负责切断灾区电源。 </w:t>
      </w:r>
    </w:p>
    <w:p w14:paraId="4E0B06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 xml:space="preserve">：负责事故现场人员撤离、警戒。 </w:t>
      </w:r>
    </w:p>
    <w:p w14:paraId="0099110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10</w:t>
      </w:r>
      <w:r>
        <w:rPr>
          <w:rFonts w:ascii="仿宋_GB2312" w:hAnsi="仿宋_GB2312" w:eastAsia="仿宋_GB2312" w:cs="仿宋_GB2312"/>
          <w:color w:val="auto"/>
          <w:kern w:val="0"/>
          <w:sz w:val="28"/>
          <w:szCs w:val="28"/>
          <w:highlight w:val="none"/>
        </w:rPr>
        <w:t>）现场作业人员：积极开展应急处置和自救互救。</w:t>
      </w:r>
    </w:p>
    <w:p w14:paraId="58D75DE2">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04" w:name="_Toc32180"/>
      <w:bookmarkStart w:id="405" w:name="_Toc16934"/>
      <w:r>
        <w:rPr>
          <w:rFonts w:hint="eastAsia" w:ascii="楷体_GB2312" w:hAnsi="楷体_GB2312" w:eastAsia="楷体_GB2312" w:cs="楷体_GB2312"/>
          <w:color w:val="auto"/>
          <w:sz w:val="30"/>
          <w:szCs w:val="30"/>
          <w:highlight w:val="none"/>
        </w:rPr>
        <w:t>3.3</w:t>
      </w:r>
      <w:r>
        <w:rPr>
          <w:rFonts w:ascii="楷体_GB2312" w:hAnsi="楷体_GB2312" w:eastAsia="楷体_GB2312" w:cs="楷体_GB2312"/>
          <w:color w:val="auto"/>
          <w:sz w:val="30"/>
          <w:szCs w:val="30"/>
          <w:highlight w:val="none"/>
        </w:rPr>
        <w:t xml:space="preserve"> 应急处置</w:t>
      </w:r>
      <w:bookmarkEnd w:id="404"/>
      <w:bookmarkEnd w:id="405"/>
    </w:p>
    <w:p w14:paraId="0A0B234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3.3.1 事故应急处置程序</w:t>
      </w:r>
    </w:p>
    <w:p w14:paraId="008E55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2D16E9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6C2552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69AA909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根据综合应急预案应急响应分级启动上一级应急响应，按照专项预案程序进行处置；召请矿山救护队组织抢救，调度室立即通知医院医疗救护人员到达事故现场或到井口待命。</w:t>
      </w:r>
    </w:p>
    <w:p w14:paraId="0626305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78FA728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3.3.2.1人员救护</w:t>
      </w:r>
    </w:p>
    <w:p w14:paraId="751AAF1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现场发生火灾事故后，现场人员要迅速了解或判明火灾事故的地点、范围和危害程度，确定遇险人员救援的方法，积极进行自救互救。如无法保证自身安全，应立即撤至安全地点。</w:t>
      </w:r>
    </w:p>
    <w:p w14:paraId="3D86A02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现场负责人和现场人员要及时帮助受伤人员撤离到顶板完好、通风良好的安全地点，条件许可时应迅速运送伤员升井救治。</w:t>
      </w:r>
    </w:p>
    <w:p w14:paraId="49D24BC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医疗救护组要安排医务人员携带必要的抢险医药器具及时到达井口待命，必要时到达井下事故现场，对抢救出的受伤人员进行紧急医疗救治或护送上井救治。</w:t>
      </w:r>
    </w:p>
    <w:p w14:paraId="0E396E1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伤员急救应采取以下措施</w:t>
      </w:r>
    </w:p>
    <w:p w14:paraId="7090CD2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（1）‌休克与昏迷抢救措施‌：若伤者‌休克与昏迷时，要让其‌平卧、保暖、下肢抬高30度‌；昏迷者‌面部转向一侧‌，防止呕吐物堵塞气道。</w:t>
      </w:r>
    </w:p>
    <w:p w14:paraId="0BAA81C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（2）‌骨折与出血抢救措施‌：若伤者‌骨折与出血，出血处用干净纱布按压止血；骨折部位‌先固定再搬运‌，脊柱骨折必须用硬板平抬，严禁背运或扭曲身体。</w:t>
      </w:r>
    </w:p>
    <w:p w14:paraId="7A469E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（3）‌心跳呼吸停止抢救措施‌：若伤者没呼吸心跳，立即进行‌人工呼吸和胸外心脏按压</w:t>
      </w:r>
      <w:r>
        <w:rPr>
          <w:rFonts w:ascii="仿宋_GB2312" w:hAnsi="仿宋_GB2312" w:eastAsia="仿宋_GB2312" w:cs="仿宋_GB2312"/>
          <w:color w:val="auto"/>
          <w:kern w:val="0"/>
          <w:sz w:val="28"/>
          <w:szCs w:val="28"/>
          <w:highlight w:val="none"/>
        </w:rPr>
        <w:t>。</w:t>
      </w:r>
    </w:p>
    <w:p w14:paraId="795E16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3.3.2.2工艺操作</w:t>
      </w:r>
    </w:p>
    <w:p w14:paraId="6C1F87C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内因火灾处置</w:t>
      </w:r>
    </w:p>
    <w:p w14:paraId="395402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（1）采空区发生自燃火灾时，应当视火灾程度、灾区通风和瓦斯情况，立即采取有效措施进行直接灭火。当直接灭火无效或者采空区有爆炸危险时，必须撤出人员，封闭工作面。</w:t>
      </w:r>
    </w:p>
    <w:p w14:paraId="63BFD6B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（2）采空区自燃火灾处置，应当符合下列规定：</w:t>
      </w:r>
    </w:p>
    <w:p w14:paraId="798427A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①采煤工作面采空区发生自燃火灾封闭后（或发生自燃火灾的其他密闭区），应当采取措施减少漏风，并向密闭区域内连续注入惰性气体，保持密闭区域氧气浓度不大于5.0%。</w:t>
      </w:r>
    </w:p>
    <w:p w14:paraId="43D315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②为加速封闭火区熄灭，在火源位置分析或探测的基础上，可在地面或者井下施工钻孔，或者利用预埋管路向火源位置注入灭火材料。</w:t>
      </w:r>
    </w:p>
    <w:p w14:paraId="04604D5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③灭火过程中应当连续观测火区内气体、温度等参数，考察灭火效果，完善灭火措施，直至火区达到熄灭标准。</w:t>
      </w:r>
    </w:p>
    <w:p w14:paraId="08452A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（3）巷道高冒区、煤柱（煤壁）破碎区自燃火灾处置，应当符合下列规定：</w:t>
      </w:r>
    </w:p>
    <w:p w14:paraId="1CA156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①采取下风侧撤人，上风侧封堵、注水、注浆（胶）等直接灭火措施进行灭火。当火情不能有效控制时，立即对火区区域进行封闭。</w:t>
      </w:r>
    </w:p>
    <w:p w14:paraId="77156F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②火区封闭后，应当采取措施减少漏风，并向封闭区内连续注入惰性气体，保持封闭区域氧气浓度不大于 5.0%。</w:t>
      </w:r>
    </w:p>
    <w:p w14:paraId="33F661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③为加速封闭火区熄灭，可向火区施工钻孔注入灭火材料。</w:t>
      </w:r>
    </w:p>
    <w:p w14:paraId="7AEBFF3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④灭火过程中应当连续观测火区内气体、温度等参数，考察灭火效果，完善灭火措施，直至火区达到熄灭标准。</w:t>
      </w:r>
    </w:p>
    <w:p w14:paraId="66B3A578">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3</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发现自燃后，通防部门必须及时采取措施，防止火灾范围的进一步扩大。并根据现场的实际情况，查找漏风通道，并利用气体分析、红外探测、钻孔探测等手段，判断确定火源位置。</w:t>
      </w:r>
    </w:p>
    <w:p w14:paraId="56C8926D">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4</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发现自燃征兆后，应及时布置束管监测点，气体、温度测点，分析发火地点的气体成分及温度变化情况，以便采取相应的灭火措施。</w:t>
      </w:r>
    </w:p>
    <w:p w14:paraId="75542385">
      <w:pPr>
        <w:spacing w:line="440" w:lineRule="exact"/>
        <w:ind w:firstLine="560" w:firstLineChars="200"/>
        <w:rPr>
          <w:rFonts w:hint="eastAsia" w:ascii="仿宋_GB2312" w:hAnsi="仿宋_GB2312" w:eastAsia="仿宋_GB2312" w:cs="仿宋_GB2312"/>
          <w:color w:val="auto"/>
          <w:kern w:val="0"/>
          <w:sz w:val="28"/>
          <w:szCs w:val="28"/>
          <w:highlight w:val="yellow"/>
          <w:lang w:eastAsia="zh-CN"/>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5</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对发火地点应采取均压措施，减少向发火地点供氧。</w:t>
      </w:r>
    </w:p>
    <w:p w14:paraId="5735F297">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6</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自燃达到冒烟程度时，要有专人检查瓦斯情况，有防止瓦斯爆炸的措施。</w:t>
      </w:r>
    </w:p>
    <w:p w14:paraId="67D0380D">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7</w:t>
      </w: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rPr>
        <w:t>当其它措施无效时，应采取隔绝灭火法封闭火区。</w:t>
      </w:r>
    </w:p>
    <w:p w14:paraId="1BDEF0D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外因火灾处置</w:t>
      </w:r>
    </w:p>
    <w:p w14:paraId="11D83CF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根据火区的实际情况选择灭火方法。在条件具备时，应当采用惰性气体、喷水等直接灭火的方法。灭火工作必须从火源进风侧进行。用水灭火时，水流应当从火源外围喷射，逐步逼向火源的中心，必须有充足的风量和畅通的回风巷，防止水煤气爆炸。灭火过程中必须随时注意风量、风流方向及气体浓度的变化，并及时采取控风措施，避免风流逆转、逆退，保护直接灭火人员的安全。当火源点不明确、火区范围大、难以接近火源时，或者用直接灭火方法无效、灭火人员存在危险时，采用隔绝方法灭火。</w:t>
      </w:r>
    </w:p>
    <w:p w14:paraId="4138F661">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2）</w:t>
      </w:r>
      <w:r>
        <w:rPr>
          <w:rFonts w:hint="eastAsia" w:ascii="仿宋_GB2312" w:hAnsi="仿宋_GB2312" w:eastAsia="仿宋_GB2312" w:cs="仿宋_GB2312"/>
          <w:color w:val="auto"/>
          <w:kern w:val="0"/>
          <w:sz w:val="28"/>
          <w:szCs w:val="28"/>
          <w:highlight w:val="yellow"/>
        </w:rPr>
        <w:t>当井下火灾规模较大，无法直接灭火或直接灭火无效时，必须采取封闭火区的灭火措施。</w:t>
      </w:r>
      <w:r>
        <w:rPr>
          <w:rFonts w:hint="eastAsia" w:ascii="仿宋_GB2312" w:hAnsi="仿宋_GB2312" w:eastAsia="仿宋_GB2312" w:cs="仿宋_GB2312"/>
          <w:color w:val="auto"/>
          <w:kern w:val="0"/>
          <w:sz w:val="28"/>
          <w:szCs w:val="28"/>
          <w:highlight w:val="yellow"/>
          <w:lang w:val="en-US" w:eastAsia="zh-CN"/>
        </w:rPr>
        <w:t>封闭火区时,应当合理确定封闭范围,必须检测甲烷、氧气、一氧化碳、二氧化碳、乙烯、乙炔、煤尘浓度和风向、风量的变化,并采取防止瓦斯、煤尘爆炸和人员窒息、中毒的安全措施.封闭有爆炸性危险火区时,应当遵守下列规定:</w:t>
      </w:r>
    </w:p>
    <w:p w14:paraId="44A43729">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①</w:t>
      </w:r>
      <w:r>
        <w:rPr>
          <w:rFonts w:hint="eastAsia" w:ascii="仿宋_GB2312" w:hAnsi="仿宋_GB2312" w:eastAsia="仿宋_GB2312" w:cs="仿宋_GB2312"/>
          <w:color w:val="auto"/>
          <w:kern w:val="0"/>
          <w:sz w:val="28"/>
          <w:szCs w:val="28"/>
          <w:highlight w:val="yellow"/>
          <w:lang w:val="en-US" w:eastAsia="zh-CN"/>
        </w:rPr>
        <w:t>优先采用地面钻孔注浆封闭或者井下远距离控制设备封闭的措施.</w:t>
      </w:r>
    </w:p>
    <w:p w14:paraId="5549D80B">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②</w:t>
      </w:r>
      <w:r>
        <w:rPr>
          <w:rFonts w:hint="eastAsia" w:ascii="仿宋_GB2312" w:hAnsi="仿宋_GB2312" w:eastAsia="仿宋_GB2312" w:cs="仿宋_GB2312"/>
          <w:color w:val="auto"/>
          <w:kern w:val="0"/>
          <w:sz w:val="28"/>
          <w:szCs w:val="28"/>
          <w:highlight w:val="yellow"/>
          <w:lang w:val="en-US" w:eastAsia="zh-CN"/>
        </w:rPr>
        <w:t>严禁在火区的采煤工作面进回风巷内封闭,封闭地点应当选择在距离火区位置较远的巷道.</w:t>
      </w:r>
    </w:p>
    <w:p w14:paraId="091D6BCC">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③</w:t>
      </w:r>
      <w:r>
        <w:rPr>
          <w:rFonts w:hint="eastAsia" w:ascii="仿宋_GB2312" w:hAnsi="仿宋_GB2312" w:eastAsia="仿宋_GB2312" w:cs="仿宋_GB2312"/>
          <w:color w:val="auto"/>
          <w:kern w:val="0"/>
          <w:sz w:val="28"/>
          <w:szCs w:val="28"/>
          <w:highlight w:val="yellow"/>
          <w:lang w:val="en-US" w:eastAsia="zh-CN"/>
        </w:rPr>
        <w:t>封闭火区前,封闭所需要的设备设施材料提前准备到位,撤出全部与封闭施工无关的人员.</w:t>
      </w:r>
    </w:p>
    <w:p w14:paraId="69F95E49">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④</w:t>
      </w:r>
      <w:r>
        <w:rPr>
          <w:rFonts w:hint="eastAsia" w:ascii="仿宋_GB2312" w:hAnsi="仿宋_GB2312" w:eastAsia="仿宋_GB2312" w:cs="仿宋_GB2312"/>
          <w:color w:val="auto"/>
          <w:kern w:val="0"/>
          <w:sz w:val="28"/>
          <w:szCs w:val="28"/>
          <w:highlight w:val="yellow"/>
          <w:lang w:val="en-US" w:eastAsia="zh-CN"/>
        </w:rPr>
        <w:t>封闭火区时,首先建造临时密闭,撤出人员,远距离监测风向、风量、烟雾和气体组分等参数,稳定２４h以上并确认无爆炸危险后,再施工隔爆墙,最后施工永久密闭.</w:t>
      </w:r>
    </w:p>
    <w:p w14:paraId="01D4BFA2">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⑤</w:t>
      </w:r>
      <w:r>
        <w:rPr>
          <w:rFonts w:hint="eastAsia" w:ascii="仿宋_GB2312" w:hAnsi="仿宋_GB2312" w:eastAsia="仿宋_GB2312" w:cs="仿宋_GB2312"/>
          <w:color w:val="auto"/>
          <w:kern w:val="0"/>
          <w:sz w:val="28"/>
          <w:szCs w:val="28"/>
          <w:highlight w:val="yellow"/>
          <w:lang w:val="en-US" w:eastAsia="zh-CN"/>
        </w:rPr>
        <w:t>火区封闭后,只有在采取惰化火区等措施,稳定４８h以上,经评估无爆炸危险后,方可恢复井下不受火区影响区域的作业，火区密闭被爆炸破坏的,只有确认不再发生爆炸的前提下才能远距离探查.经探查确定合理的火区封闭区域,并按照上述规定进行火区封闭</w:t>
      </w:r>
    </w:p>
    <w:p w14:paraId="2775B1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）处理不同地点的矿井外因火灾，应当符合下列规定：</w:t>
      </w:r>
    </w:p>
    <w:p w14:paraId="68E7D8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①处理上、下山火灾时，必须采取措施，防止因火风压造成风流逆转和巷道垮塌造成风流受阻。</w:t>
      </w:r>
    </w:p>
    <w:p w14:paraId="2472F8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处理进风井井口、井筒、井底车场、主要进风巷和硐室火灾时，应当进行全矿井反风。反风前，必须将火源进风侧的人员撤出，并采取阻止火灾蔓延的措施。多台主要通风机联合通风的矿井反风时，要保证非事故区域的主要通风机先反风，事故区域的主要通风机后反风。采取风流短路措施时，必须将受影响区域内的人员全部撤出。</w:t>
      </w:r>
    </w:p>
    <w:p w14:paraId="4623BD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③处理掘进工作面火灾时，应当保持原有的通风状态，进行侦察后再采取措施。</w:t>
      </w:r>
    </w:p>
    <w:p w14:paraId="659DD4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④处理爆炸物品库火灾时，应当首先将雷管运出，然后将其他爆炸物品运出；因高温或者爆炸危险不能运出时，应当关闭防爆门，退至安全地点。</w:t>
      </w:r>
    </w:p>
    <w:p w14:paraId="0413E1D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⑤处理绞车房火灾时，应当将火源下方的矿车固定，防止烧断钢丝绳造成跑车伤人。</w:t>
      </w:r>
    </w:p>
    <w:p w14:paraId="415842E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⑥处理蓄电池电机车库火灾时，应当切断电源，采取措施，防止氢气爆炸。电气设备着火时，应当首先切断其电源；在切断电源前，必须使用不导电的灭火器材进行灭火。</w:t>
      </w:r>
    </w:p>
    <w:p w14:paraId="0E471F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⑦机电硐室发生火灾时通常关闭防火门或修筑密闭隔断风流。</w:t>
      </w:r>
    </w:p>
    <w:p w14:paraId="56B51CD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）胶带巷发生火灾时，应遵守下列规定：</w:t>
      </w:r>
    </w:p>
    <w:p w14:paraId="52CAA6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①现场胶带司机及时佩戴自救器，切断胶带巷道内的一切电源，同时报告调度室。</w:t>
      </w:r>
    </w:p>
    <w:p w14:paraId="1E92298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②现场人员要利用灭火器材和供水管路设施，以及其他可利用的条件进行直接灭火；如果火势较大时，迅速按照避灾路线撤离现场。</w:t>
      </w:r>
    </w:p>
    <w:p w14:paraId="32633F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③灭火过程中，必须随时检查瓦斯、一氧化碳、煤尘及其它有害气体和风向、风量的变化，避免引起次生事故的发生。</w:t>
      </w:r>
    </w:p>
    <w:p w14:paraId="66BA0DD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en-US" w:eastAsia="zh-CN"/>
        </w:rPr>
        <w:t>5</w:t>
      </w:r>
      <w:r>
        <w:rPr>
          <w:rFonts w:hint="eastAsia" w:ascii="仿宋_GB2312" w:hAnsi="仿宋_GB2312" w:eastAsia="仿宋_GB2312" w:cs="仿宋_GB2312"/>
          <w:color w:val="auto"/>
          <w:kern w:val="0"/>
          <w:sz w:val="28"/>
          <w:szCs w:val="28"/>
          <w:highlight w:val="none"/>
        </w:rPr>
        <w:t>)地面原煤生产系统火灾处置</w:t>
      </w:r>
    </w:p>
    <w:p w14:paraId="01837EE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①地面原煤生产系统火灾发生后，发现人员立即拨打 119 报警，并立即按下现场火警警报器或呼喊等方式向现场其他人员报警；同时向调度室汇报。值班人员接到火灾自动报警系统发出的火灾报警信号时，通过单位内部电话立即通知报警区域的值班人员，第一时间赶往现场实地查看确认。按照“火灾初期易扑灭”的特点，立即组织相关人员利用现场灭火器材进行灭火，同时组织人员进行疏散，灭火过程要做好个人防护，确保人身安全。当现场火势进一步蔓延扩大，现场人员无法控制和扑灭，可能造成更大人员伤亡时，应立即撤离。</w:t>
      </w:r>
    </w:p>
    <w:p w14:paraId="4DCF2E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②主副井建筑一旦发生火灾，火势容易蔓延，容易造成人员重大伤亡等火灾危险性，应立即启动一级响应，采取以下灭火措施:</w:t>
      </w:r>
    </w:p>
    <w:p w14:paraId="7367736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①及时关闭井口防火门。</w:t>
      </w:r>
    </w:p>
    <w:p w14:paraId="3A6260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②烟气、明火进入进风井筒危及井下安全时，必须及时反风。</w:t>
      </w:r>
    </w:p>
    <w:p w14:paraId="602EE38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③发生火灾后，现场工作人员立即向调度室等单位汇报，利用就近灭火器灭火，及时疏散被困人员。</w:t>
      </w:r>
    </w:p>
    <w:p w14:paraId="3C78DB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④在救援力量未到达现场前，现场工作人员尽快打开所有通向外部的出口，采取喊话指路、分头带领或个别抢救等办法进行疏散，对于被烟火熏倒昏迷的职工及时送往医院抢救。</w:t>
      </w:r>
    </w:p>
    <w:p w14:paraId="511EE7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3.3.2.3事故控制</w:t>
      </w:r>
    </w:p>
    <w:p w14:paraId="1119AC1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井下火灾事故控制</w:t>
      </w:r>
    </w:p>
    <w:p w14:paraId="2297FFC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（1）井下发生火灾时，最先发现火灾的人员应沉着稳定，设法弄清火源，根据火灾性质用灭火器材（如水、砂子、岩粉和灭火器等）在火源附近直接扑灭火灾或挖除火源，力争在火灾初期把火扑灭。</w:t>
      </w:r>
    </w:p>
    <w:p w14:paraId="3E048D7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灭火应注意以下几点：一是要有充足的水量，应先从火源外围逐渐向火源中心喷射水流。二是要保持正常通风，并要有畅通的回风通道，以便及时将高温气体和蒸汽排除。三是用水灭电气设备火灾时，首先要切断电源。四是禁止用水扑灭油类火灾。五是灭火人员不准在火源的回风侧，以免烟气伤人。</w:t>
      </w:r>
    </w:p>
    <w:p w14:paraId="6F3A5A7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现场人员不能在第一时间扑灭火灾时，现场负责人要立即组织所有现场人员戴好自救器选择最近避灾路线到达新鲜风流中。在确保安全的前提下，设法向调度室和所在区队值班室报告事故地点现场灾难情况及撤离的路线和目的地，到达目的地后再进一步报告相关情况。</w:t>
      </w:r>
    </w:p>
    <w:p w14:paraId="2319105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（3）矿调度室接到警报后应立即通知指挥部成员，并同时汇报矿山救护队。</w:t>
      </w:r>
    </w:p>
    <w:p w14:paraId="7C88511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（4）矿调度室要进一步弄清火情，根据事故地点和可能涉及区域，通知有关人员迅速撤离危险区，并迅速制定抢救措施，调集灭火设备、器材，控制火区，组织人员灭火。</w:t>
      </w:r>
    </w:p>
    <w:p w14:paraId="2B51330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（5）调度室接到火灾事故汇报后，调度员必须按照“出现事故征兆等紧急情况及时撤人权”规定，立即通过语音广播系统、无线通讯系统、调度通讯系统等，3分钟通知到可能受火灾事故波及区域人员撤离。</w:t>
      </w:r>
    </w:p>
    <w:p w14:paraId="047481D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发生火灾时的风流控制。火灾发生在进风大巷时，应进行全矿性反风，阻止烟气侵入采区。采区内发生火灾时，风量调节比较复杂，首先应该阻止风流逆转，采取减风停风措施。如火灾发生在回风道时，由于火风压的作用，这时不能减风，也不能反风，防止风流逆转，防止扩大火灾范围。机电硐室发生火灾时通常关闭防火门或修筑密闭隔断风流。</w:t>
      </w:r>
    </w:p>
    <w:p w14:paraId="62CFAAA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地面火灾事故控制</w:t>
      </w:r>
    </w:p>
    <w:p w14:paraId="1CCA0FB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（1）地面火灾事故发生时，现场人员必须停止作业，立即拨打119报警，并向矿调度室汇报，疏散所有现场人员，疏散到安全地带。</w:t>
      </w:r>
    </w:p>
    <w:p w14:paraId="10EE2C9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（2）火灾事故被困人员不能安全撤离时，被困人员要保持清醒和镇定，稳定情绪，寻找合适密闭空间，封闭门窗等待救援人员救援。</w:t>
      </w:r>
    </w:p>
    <w:p w14:paraId="227C682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（3）矿调度室要进一步弄清火情，根据事故地点和可能涉及区域，通知有关人员迅速撤离危险区，并迅速制定抢救措施，调集灭火设备、器材，控制火区，组织人员灭火</w:t>
      </w:r>
      <w:r>
        <w:rPr>
          <w:rFonts w:hint="eastAsia" w:ascii="仿宋_GB2312" w:hAnsi="仿宋_GB2312" w:eastAsia="仿宋_GB2312" w:cs="仿宋_GB2312"/>
          <w:color w:val="auto"/>
          <w:kern w:val="0"/>
          <w:sz w:val="28"/>
          <w:szCs w:val="28"/>
          <w:highlight w:val="none"/>
          <w:lang w:eastAsia="zh-CN"/>
        </w:rPr>
        <w:t>。</w:t>
      </w:r>
    </w:p>
    <w:p w14:paraId="7495E6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3.3.2.4消防</w:t>
      </w:r>
    </w:p>
    <w:p w14:paraId="4548567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1C81B89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3.3.2.5现场恢复</w:t>
      </w:r>
    </w:p>
    <w:p w14:paraId="5BAB3B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0A9626E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1EC39C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31354363">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w:t>
      </w:r>
      <w:r>
        <w:rPr>
          <w:rFonts w:ascii="仿宋_GB2312" w:hAnsi="仿宋_GB2312" w:eastAsia="仿宋_GB2312" w:cs="仿宋_GB2312"/>
          <w:b/>
          <w:bCs/>
          <w:snapToGrid w:val="0"/>
          <w:color w:val="auto"/>
          <w:kern w:val="0"/>
          <w:sz w:val="30"/>
          <w:szCs w:val="30"/>
          <w:highlight w:val="none"/>
        </w:rPr>
        <w:t>3.4 报警电话及相关救援单位联络</w:t>
      </w:r>
    </w:p>
    <w:p w14:paraId="4F9417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2A8AA4F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00BE03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467D58FE">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   消防控制室：993303</w:t>
      </w:r>
    </w:p>
    <w:p w14:paraId="6209067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79CEFA90">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06" w:name="_Toc27730"/>
      <w:bookmarkStart w:id="407" w:name="_Toc7502"/>
      <w:r>
        <w:rPr>
          <w:rFonts w:hint="eastAsia" w:ascii="楷体_GB2312" w:hAnsi="楷体_GB2312" w:eastAsia="楷体_GB2312" w:cs="楷体_GB2312"/>
          <w:color w:val="auto"/>
          <w:sz w:val="30"/>
          <w:szCs w:val="30"/>
          <w:highlight w:val="none"/>
        </w:rPr>
        <w:t>3.4 注意事项</w:t>
      </w:r>
      <w:bookmarkEnd w:id="406"/>
      <w:bookmarkEnd w:id="407"/>
    </w:p>
    <w:p w14:paraId="7C6E3A3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3.4.1 人员防护</w:t>
      </w:r>
    </w:p>
    <w:p w14:paraId="1299270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4391C5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742614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384FA6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38653DC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3.4.2 自救互救</w:t>
      </w:r>
    </w:p>
    <w:p w14:paraId="2E8759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（1）自救与互救原则：安全撤离，妥善避险；沉着冷静，控制情绪；互相鼓励，互相帮助；团结协作，服从指挥。</w:t>
      </w:r>
    </w:p>
    <w:p w14:paraId="3F6D169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（2）班组长应当具备兼职救护队员的知识和能力，能够在发生险情后第一时间组织作业人员自救互救和安全避险。</w:t>
      </w:r>
    </w:p>
    <w:p w14:paraId="4093AD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（3）救援人员必须认真按救援方案和救护安全措施执行，确保自身安全。</w:t>
      </w:r>
    </w:p>
    <w:p w14:paraId="25FE351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（4）煤矿作业人员必须熟悉应急救援预案和避灾路线，具有自救互救和安全避险知识，训练掌握自救器和紧急避险设施的使用方法。</w:t>
      </w:r>
    </w:p>
    <w:p w14:paraId="72FDC54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（5）对于受伤人员可采取以下措施：使之平躺，把腿垫高，利于血液回流；松开衣领、腰带，使之呼吸畅通；铺盖适当的衣物保暖；对于停止呼吸的立即进行人工呼吸，不要轻易放弃。</w:t>
      </w:r>
    </w:p>
    <w:p w14:paraId="6C307016">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3.4.3 装备使用</w:t>
      </w:r>
    </w:p>
    <w:p w14:paraId="06A2C5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283809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58FDA72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7BA2CB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6B78AD5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47CF67C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（6）干粉灭火器：将瓶身反复颠倒，取下铅封，拔掉保险销，左手握喷管，右手提压把灭火。</w:t>
      </w:r>
    </w:p>
    <w:p w14:paraId="470451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（7）泡沫灭火器：站在上风处，尽量靠近火源，从火势蔓延最危险的一边喷起，逐渐移动，不要留下火星。</w:t>
      </w:r>
    </w:p>
    <w:p w14:paraId="7AB43D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（8）二氧化碳灭火器：拔去保险销，一手握住喷射喇叭上的木柄，一手按动鸭舌开关或旋转开关，最后提握器身灭火。</w:t>
      </w:r>
    </w:p>
    <w:p w14:paraId="5C726F1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3.4.4 现场安全</w:t>
      </w:r>
    </w:p>
    <w:p w14:paraId="5BC4E4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（1）当巷道被</w:t>
      </w:r>
      <w:r>
        <w:rPr>
          <w:rFonts w:hint="eastAsia" w:ascii="仿宋_GB2312" w:hAnsi="仿宋_GB2312" w:eastAsia="仿宋_GB2312" w:cs="仿宋_GB2312"/>
          <w:color w:val="auto"/>
          <w:kern w:val="0"/>
          <w:sz w:val="28"/>
          <w:szCs w:val="28"/>
          <w:highlight w:val="none"/>
          <w:lang w:eastAsia="zh-CN"/>
        </w:rPr>
        <w:t>堵</w:t>
      </w:r>
      <w:r>
        <w:rPr>
          <w:rFonts w:hint="eastAsia" w:ascii="仿宋_GB2312" w:hAnsi="仿宋_GB2312" w:eastAsia="仿宋_GB2312" w:cs="仿宋_GB2312"/>
          <w:color w:val="auto"/>
          <w:kern w:val="0"/>
          <w:sz w:val="28"/>
          <w:szCs w:val="28"/>
          <w:highlight w:val="none"/>
        </w:rPr>
        <w:t>人无法撤离时，被困人员必须静卧，不得烦躁，减少氧气、热量等消耗，等待救援。</w:t>
      </w:r>
    </w:p>
    <w:p w14:paraId="074AF2E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（2）若巷道内有压风管，可打开压风管供人员呼吸，确保被困人员的安全，并利用救援联络信号，向外报警。</w:t>
      </w:r>
    </w:p>
    <w:p w14:paraId="55AF68A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（3）附近如有临时避险硐室或移动救生舱，被堵人员可进入临时避险硐室或移动救生舱，等待救援。</w:t>
      </w:r>
    </w:p>
    <w:p w14:paraId="413946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（4）进入避难硐室前，应在硐室外留有明显标志，以便救护队发现；待救时应保持冷静、不得急躁，以减少氧气消耗，保持体力；硐室内保留一盏灯照明，其余矿灯全部关闭。</w:t>
      </w:r>
    </w:p>
    <w:p w14:paraId="17DEC3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（5）间断发出呼救信号。</w:t>
      </w:r>
    </w:p>
    <w:p w14:paraId="67BF60A1">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08" w:name="_Toc15069"/>
      <w:bookmarkStart w:id="409" w:name="_Toc20934"/>
      <w:r>
        <w:rPr>
          <w:rFonts w:hint="eastAsia" w:ascii="楷体_GB2312" w:hAnsi="楷体_GB2312" w:eastAsia="楷体_GB2312" w:cs="楷体_GB2312"/>
          <w:color w:val="auto"/>
          <w:sz w:val="30"/>
          <w:szCs w:val="30"/>
          <w:highlight w:val="none"/>
        </w:rPr>
        <w:t>3.5 其他需要特别警示的事项</w:t>
      </w:r>
      <w:bookmarkEnd w:id="408"/>
      <w:bookmarkEnd w:id="409"/>
    </w:p>
    <w:p w14:paraId="7C4D41E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75826AA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0D8C1E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1BEA58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75E9956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35AFE238">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410" w:name="_Toc17230"/>
      <w:bookmarkStart w:id="411" w:name="_Toc8255"/>
      <w:bookmarkStart w:id="412" w:name="_Toc22450"/>
      <w:r>
        <w:rPr>
          <w:rFonts w:hint="eastAsia" w:ascii="黑体" w:hAnsi="黑体" w:eastAsia="黑体" w:cs="黑体"/>
          <w:color w:val="auto"/>
          <w:sz w:val="30"/>
          <w:szCs w:val="30"/>
          <w:highlight w:val="none"/>
        </w:rPr>
        <w:t>4 矿井水害事故现场处置方案</w:t>
      </w:r>
      <w:bookmarkEnd w:id="410"/>
      <w:bookmarkEnd w:id="411"/>
      <w:bookmarkEnd w:id="412"/>
    </w:p>
    <w:p w14:paraId="55276A84">
      <w:pPr>
        <w:tabs>
          <w:tab w:val="left" w:pos="0"/>
        </w:tabs>
        <w:spacing w:line="560" w:lineRule="exact"/>
        <w:ind w:firstLine="600" w:firstLineChars="200"/>
        <w:outlineLvl w:val="1"/>
        <w:rPr>
          <w:rFonts w:hint="eastAsia" w:ascii="楷体_GB2312" w:hAnsi="楷体_GB2312" w:eastAsia="楷体_GB2312" w:cs="楷体_GB2312"/>
          <w:color w:val="auto"/>
          <w:sz w:val="30"/>
          <w:szCs w:val="30"/>
          <w:highlight w:val="none"/>
        </w:rPr>
      </w:pPr>
      <w:bookmarkStart w:id="413" w:name="_Toc1153"/>
      <w:bookmarkStart w:id="414" w:name="_Toc31759"/>
      <w:bookmarkStart w:id="415" w:name="_Toc32622"/>
      <w:r>
        <w:rPr>
          <w:rFonts w:hint="eastAsia" w:ascii="楷体_GB2312" w:hAnsi="楷体_GB2312" w:eastAsia="楷体_GB2312" w:cs="楷体_GB2312"/>
          <w:color w:val="auto"/>
          <w:sz w:val="30"/>
          <w:szCs w:val="30"/>
          <w:highlight w:val="none"/>
        </w:rPr>
        <w:t>4.1.1风险描述</w:t>
      </w:r>
      <w:bookmarkEnd w:id="413"/>
      <w:bookmarkEnd w:id="414"/>
      <w:bookmarkEnd w:id="415"/>
    </w:p>
    <w:p w14:paraId="062A344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矿井现开采+590m水平以上块段，矿井正常涌水量预计133m</w:t>
      </w:r>
      <w:r>
        <w:rPr>
          <w:rFonts w:hint="eastAsia" w:ascii="宋体" w:hAnsi="宋体" w:cs="宋体"/>
          <w:color w:val="auto"/>
          <w:kern w:val="0"/>
          <w:sz w:val="28"/>
          <w:szCs w:val="28"/>
          <w:highlight w:val="none"/>
        </w:rPr>
        <w:t>²</w:t>
      </w:r>
      <w:r>
        <w:rPr>
          <w:rFonts w:ascii="仿宋_GB2312" w:hAnsi="仿宋_GB2312" w:eastAsia="仿宋_GB2312" w:cs="仿宋_GB2312"/>
          <w:color w:val="auto"/>
          <w:kern w:val="0"/>
          <w:sz w:val="28"/>
          <w:szCs w:val="28"/>
          <w:highlight w:val="none"/>
        </w:rPr>
        <w:t>/h，最大涌水量预计213m</w:t>
      </w:r>
      <w:r>
        <w:rPr>
          <w:rFonts w:hint="eastAsia" w:ascii="宋体" w:hAnsi="宋体" w:cs="宋体"/>
          <w:color w:val="auto"/>
          <w:kern w:val="0"/>
          <w:sz w:val="28"/>
          <w:szCs w:val="28"/>
          <w:highlight w:val="none"/>
        </w:rPr>
        <w:t>²</w:t>
      </w:r>
      <w:r>
        <w:rPr>
          <w:rFonts w:ascii="仿宋_GB2312" w:hAnsi="仿宋_GB2312" w:eastAsia="仿宋_GB2312" w:cs="仿宋_GB2312"/>
          <w:color w:val="auto"/>
          <w:kern w:val="0"/>
          <w:sz w:val="28"/>
          <w:szCs w:val="28"/>
          <w:highlight w:val="none"/>
        </w:rPr>
        <w:t>/h。而实际自矿井建设以来观测，矿井正常涌水量67m</w:t>
      </w:r>
      <w:r>
        <w:rPr>
          <w:rFonts w:hint="eastAsia" w:ascii="宋体" w:hAnsi="宋体" w:cs="宋体"/>
          <w:color w:val="auto"/>
          <w:kern w:val="0"/>
          <w:sz w:val="28"/>
          <w:szCs w:val="28"/>
          <w:highlight w:val="none"/>
        </w:rPr>
        <w:t>²</w:t>
      </w:r>
      <w:r>
        <w:rPr>
          <w:rFonts w:ascii="仿宋_GB2312" w:hAnsi="仿宋_GB2312" w:eastAsia="仿宋_GB2312" w:cs="仿宋_GB2312"/>
          <w:color w:val="auto"/>
          <w:kern w:val="0"/>
          <w:sz w:val="28"/>
          <w:szCs w:val="28"/>
          <w:highlight w:val="none"/>
        </w:rPr>
        <w:t>/h,最大涌水量107m</w:t>
      </w:r>
      <w:r>
        <w:rPr>
          <w:rFonts w:hint="eastAsia" w:ascii="宋体" w:hAnsi="宋体" w:cs="宋体"/>
          <w:color w:val="auto"/>
          <w:kern w:val="0"/>
          <w:sz w:val="28"/>
          <w:szCs w:val="28"/>
          <w:highlight w:val="none"/>
        </w:rPr>
        <w:t>²</w:t>
      </w:r>
      <w:r>
        <w:rPr>
          <w:rFonts w:ascii="仿宋_GB2312" w:hAnsi="仿宋_GB2312" w:eastAsia="仿宋_GB2312" w:cs="仿宋_GB2312"/>
          <w:color w:val="auto"/>
          <w:kern w:val="0"/>
          <w:sz w:val="28"/>
          <w:szCs w:val="28"/>
          <w:highlight w:val="none"/>
        </w:rPr>
        <w:t>/h。</w:t>
      </w:r>
    </w:p>
    <w:p w14:paraId="429A8D7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地层岩性组合特征、埋藏条件、地下水赋存条件本区干旱少雨，蒸发量大于降水量，地下水的主要补给来源为大气降水。井田内第四系松散层及新近系底部砾石含水层富水性弱，局部中等；煤层直接充水含水层为山西组及太原组砂岩裂隙含水层。考虑到井田内煤层埋藏较深，上覆含水层层数较多，且有断层分布，黄河又距井田西北边界约10km左右等因素。综合分析，本井田水文地质以裂隙充水含水层为主的水文地质条件中等的矿井。</w:t>
      </w:r>
    </w:p>
    <w:p w14:paraId="0685878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本矿井田范围内无生产小煤窑，仅有矿井北邻长城五矿，东邻长城二矿，东南邻长城一矿，四矿之间留有足够的矿井防隔水煤岩柱。通过以上矿井水文地质特征及充水因素分析，结合矿井接续，本矿井水害类型主要有煤系地层含水层裂隙涌水；构造裂隙涌水；采空区积水</w:t>
      </w:r>
      <w:r>
        <w:rPr>
          <w:rFonts w:hint="eastAsia" w:ascii="仿宋_GB2312" w:hAnsi="仿宋_GB2312" w:eastAsia="仿宋_GB2312" w:cs="仿宋_GB2312"/>
          <w:color w:val="auto"/>
          <w:kern w:val="0"/>
          <w:sz w:val="28"/>
          <w:szCs w:val="28"/>
          <w:highlight w:val="none"/>
        </w:rPr>
        <w:t>；封闭不良钻孔水</w:t>
      </w:r>
      <w:r>
        <w:rPr>
          <w:rFonts w:ascii="仿宋_GB2312" w:hAnsi="仿宋_GB2312" w:eastAsia="仿宋_GB2312" w:cs="仿宋_GB2312"/>
          <w:color w:val="auto"/>
          <w:kern w:val="0"/>
          <w:sz w:val="28"/>
          <w:szCs w:val="28"/>
          <w:highlight w:val="none"/>
        </w:rPr>
        <w:t>。</w:t>
      </w:r>
    </w:p>
    <w:p w14:paraId="6BFE1D63">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w:t>
      </w:r>
      <w:r>
        <w:rPr>
          <w:rFonts w:ascii="仿宋_GB2312" w:hAnsi="仿宋_GB2312" w:eastAsia="仿宋_GB2312" w:cs="仿宋_GB2312"/>
          <w:b/>
          <w:bCs/>
          <w:snapToGrid w:val="0"/>
          <w:color w:val="auto"/>
          <w:kern w:val="0"/>
          <w:sz w:val="30"/>
          <w:szCs w:val="30"/>
          <w:highlight w:val="none"/>
        </w:rPr>
        <w:t>1.2 风险评估结果</w:t>
      </w:r>
    </w:p>
    <w:p w14:paraId="05763B93">
      <w:pPr>
        <w:spacing w:line="440" w:lineRule="exact"/>
        <w:ind w:firstLine="560" w:firstLineChars="200"/>
        <w:rPr>
          <w:rFonts w:ascii="仿宋_GB2312" w:hAnsi="仿宋_GB2312" w:eastAsia="仿宋_GB2312" w:cs="仿宋_GB2312"/>
          <w:color w:val="auto"/>
          <w:kern w:val="0"/>
          <w:sz w:val="28"/>
          <w:szCs w:val="28"/>
          <w:highlight w:val="yellow"/>
        </w:rPr>
      </w:pPr>
      <w:r>
        <w:rPr>
          <w:rFonts w:ascii="仿宋_GB2312" w:hAnsi="仿宋_GB2312" w:eastAsia="仿宋_GB2312" w:cs="仿宋_GB2312"/>
          <w:color w:val="auto"/>
          <w:kern w:val="0"/>
          <w:sz w:val="28"/>
          <w:szCs w:val="28"/>
          <w:highlight w:val="yellow"/>
        </w:rPr>
        <w:t>根据《生产安全事故风险评估报告》评估结果，</w:t>
      </w:r>
      <w:r>
        <w:rPr>
          <w:rFonts w:hint="eastAsia" w:ascii="仿宋_GB2312" w:hAnsi="仿宋_GB2312" w:eastAsia="仿宋_GB2312" w:cs="仿宋_GB2312"/>
          <w:color w:val="auto"/>
          <w:kern w:val="0"/>
          <w:sz w:val="28"/>
          <w:szCs w:val="28"/>
          <w:highlight w:val="yellow"/>
        </w:rPr>
        <w:t>水害</w:t>
      </w:r>
      <w:r>
        <w:rPr>
          <w:rFonts w:ascii="仿宋_GB2312" w:hAnsi="仿宋_GB2312" w:eastAsia="仿宋_GB2312" w:cs="仿宋_GB2312"/>
          <w:color w:val="auto"/>
          <w:kern w:val="0"/>
          <w:sz w:val="28"/>
          <w:szCs w:val="28"/>
          <w:highlight w:val="yellow"/>
        </w:rPr>
        <w:t>风险为</w:t>
      </w:r>
      <w:r>
        <w:rPr>
          <w:rFonts w:hint="eastAsia" w:ascii="仿宋_GB2312" w:hAnsi="仿宋_GB2312" w:eastAsia="仿宋_GB2312" w:cs="仿宋_GB2312"/>
          <w:color w:val="auto"/>
          <w:kern w:val="0"/>
          <w:sz w:val="28"/>
          <w:szCs w:val="28"/>
          <w:highlight w:val="yellow"/>
          <w:lang w:val="en-US" w:eastAsia="zh-CN"/>
        </w:rPr>
        <w:t>重大</w:t>
      </w:r>
      <w:r>
        <w:rPr>
          <w:rFonts w:ascii="仿宋_GB2312" w:hAnsi="仿宋_GB2312" w:eastAsia="仿宋_GB2312" w:cs="仿宋_GB2312"/>
          <w:color w:val="auto"/>
          <w:kern w:val="0"/>
          <w:sz w:val="28"/>
          <w:szCs w:val="28"/>
          <w:highlight w:val="yellow"/>
        </w:rPr>
        <w:t>风险。</w:t>
      </w:r>
    </w:p>
    <w:p w14:paraId="4EB2F662">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16" w:name="_Toc15169"/>
      <w:bookmarkStart w:id="417" w:name="_Toc10207"/>
      <w:bookmarkStart w:id="418" w:name="_Toc24077"/>
      <w:r>
        <w:rPr>
          <w:rFonts w:hint="eastAsia" w:ascii="楷体_GB2312" w:hAnsi="楷体_GB2312" w:eastAsia="楷体_GB2312" w:cs="楷体_GB2312"/>
          <w:color w:val="auto"/>
          <w:sz w:val="30"/>
          <w:szCs w:val="30"/>
          <w:highlight w:val="none"/>
        </w:rPr>
        <w:t>4.2 应急工作职责</w:t>
      </w:r>
      <w:bookmarkEnd w:id="416"/>
      <w:bookmarkEnd w:id="417"/>
      <w:bookmarkEnd w:id="418"/>
    </w:p>
    <w:p w14:paraId="589A71F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w:t>
      </w:r>
      <w:r>
        <w:rPr>
          <w:rFonts w:ascii="仿宋_GB2312" w:hAnsi="仿宋_GB2312" w:eastAsia="仿宋_GB2312" w:cs="仿宋_GB2312"/>
          <w:b/>
          <w:bCs/>
          <w:snapToGrid w:val="0"/>
          <w:color w:val="auto"/>
          <w:kern w:val="0"/>
          <w:sz w:val="30"/>
          <w:szCs w:val="30"/>
          <w:highlight w:val="none"/>
        </w:rPr>
        <w:t>2.1 应急自救小组</w:t>
      </w:r>
    </w:p>
    <w:p w14:paraId="4ADE44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事故发生区队立即成立应急自救互救小组，负责组织实施事故应急处置和现场自救互救工作。</w:t>
      </w:r>
    </w:p>
    <w:p w14:paraId="5399D34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长：灾害现场负责人</w:t>
      </w:r>
    </w:p>
    <w:p w14:paraId="5F3F364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员：管理人员、班组长、安监员、现场作业人员</w:t>
      </w:r>
    </w:p>
    <w:p w14:paraId="4A4D55A6">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4.2.2 具体职责</w:t>
      </w:r>
    </w:p>
    <w:p w14:paraId="77AB80B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65D2251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7D4F816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58D83E0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61CF566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2E1A3F9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（6）维护工：根据事故的严重程度，按照救援小组安排，负责维护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w:t>
      </w:r>
    </w:p>
    <w:p w14:paraId="519B5FF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运料工：出现紧急事故时随时待命，一旦接到通知，马上到达现场进行抢险工作，做到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51845E9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（8）电工：听从指令，负责切断灾区电源。 </w:t>
      </w:r>
    </w:p>
    <w:p w14:paraId="39AD52B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 xml:space="preserve">：负责事故现场人员撤离、警戒。 </w:t>
      </w:r>
    </w:p>
    <w:p w14:paraId="27FC7284">
      <w:pPr>
        <w:spacing w:line="440" w:lineRule="exact"/>
        <w:ind w:firstLine="560" w:firstLineChars="200"/>
        <w:rPr>
          <w:rFonts w:ascii="仿宋_GB2312" w:hAnsi="仿宋_GB2312" w:eastAsia="仿宋_GB2312" w:cs="仿宋_GB2312"/>
          <w:color w:val="auto"/>
          <w:sz w:val="30"/>
          <w:szCs w:val="30"/>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10</w:t>
      </w:r>
      <w:r>
        <w:rPr>
          <w:rFonts w:ascii="仿宋_GB2312" w:hAnsi="仿宋_GB2312" w:eastAsia="仿宋_GB2312" w:cs="仿宋_GB2312"/>
          <w:color w:val="auto"/>
          <w:kern w:val="0"/>
          <w:sz w:val="28"/>
          <w:szCs w:val="28"/>
          <w:highlight w:val="none"/>
        </w:rPr>
        <w:t>）现场作业人员：积极开展应急处置和自救互救</w:t>
      </w:r>
      <w:r>
        <w:rPr>
          <w:rFonts w:ascii="仿宋_GB2312" w:hAnsi="仿宋_GB2312" w:eastAsia="仿宋_GB2312" w:cs="仿宋_GB2312"/>
          <w:color w:val="auto"/>
          <w:sz w:val="30"/>
          <w:szCs w:val="30"/>
          <w:highlight w:val="none"/>
        </w:rPr>
        <w:t>。</w:t>
      </w:r>
    </w:p>
    <w:p w14:paraId="2B5502F3">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19" w:name="_Toc10302"/>
      <w:bookmarkStart w:id="420" w:name="_Toc25152"/>
      <w:bookmarkStart w:id="421" w:name="_Toc7797"/>
      <w:r>
        <w:rPr>
          <w:rFonts w:hint="eastAsia" w:ascii="楷体_GB2312" w:hAnsi="楷体_GB2312" w:eastAsia="楷体_GB2312" w:cs="楷体_GB2312"/>
          <w:color w:val="auto"/>
          <w:sz w:val="30"/>
          <w:szCs w:val="30"/>
          <w:highlight w:val="none"/>
        </w:rPr>
        <w:t>4.3 应急处置</w:t>
      </w:r>
      <w:bookmarkEnd w:id="419"/>
      <w:bookmarkEnd w:id="420"/>
      <w:bookmarkEnd w:id="421"/>
    </w:p>
    <w:p w14:paraId="36601BB9">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w:t>
      </w:r>
      <w:r>
        <w:rPr>
          <w:rFonts w:ascii="仿宋_GB2312" w:hAnsi="仿宋_GB2312" w:eastAsia="仿宋_GB2312" w:cs="仿宋_GB2312"/>
          <w:b/>
          <w:bCs/>
          <w:snapToGrid w:val="0"/>
          <w:color w:val="auto"/>
          <w:kern w:val="0"/>
          <w:sz w:val="30"/>
          <w:szCs w:val="30"/>
          <w:highlight w:val="none"/>
        </w:rPr>
        <w:t>3.1 事故应急处置程序</w:t>
      </w:r>
    </w:p>
    <w:p w14:paraId="4D2E14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32BCFA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4B28A5E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720737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根据综合应急预案应急响应分级启动上一级应急响应，按照专项预案程序进行处置；召请矿山救护队组织抢救，调度室立即通知医院医疗救护人员到达事故现场或到井口待命。</w:t>
      </w:r>
    </w:p>
    <w:p w14:paraId="64362935">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3265452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4.3.2.1人员救护</w:t>
      </w:r>
    </w:p>
    <w:p w14:paraId="350A0BA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（1）水害事故发生后，波及范围内的其他作业地点必须立即停止作业，撤出全部人员。</w:t>
      </w:r>
    </w:p>
    <w:p w14:paraId="10C49D7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（2）抢救事故前，现场抢险救灾指挥部应根据现场情况制定抢救方案及安全技术措施。营救人员应根据灾情和现有条件进行，行动中必须保证统一的指挥和严密的组织，避免次生事故的发生。</w:t>
      </w:r>
    </w:p>
    <w:p w14:paraId="0678B28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w:t>
      </w:r>
      <w:r>
        <w:rPr>
          <w:rFonts w:hint="eastAsia" w:ascii="仿宋_GB2312" w:hAnsi="仿宋_GB2312" w:eastAsia="仿宋_GB2312" w:cs="仿宋_GB2312"/>
          <w:color w:val="auto"/>
          <w:kern w:val="0"/>
          <w:sz w:val="28"/>
          <w:szCs w:val="28"/>
          <w:highlight w:val="none"/>
        </w:rPr>
        <w:t>救护队只有在确保救援人员安全的前提下，才能进入灾区抢险救灾。抢救遇险人员时，首先应通过电话、喊话、人员位置监测系统、生命探测仪或敲打煤岩体、管子等手段与遇险人员取得联系，探明冒顶范围和遇险人数及位置。</w:t>
      </w:r>
    </w:p>
    <w:p w14:paraId="06BDCA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w:t>
      </w:r>
      <w:r>
        <w:rPr>
          <w:rFonts w:ascii="仿宋_GB2312" w:hAnsi="仿宋_GB2312" w:eastAsia="仿宋_GB2312" w:cs="仿宋_GB2312"/>
          <w:color w:val="auto"/>
          <w:kern w:val="0"/>
          <w:sz w:val="28"/>
          <w:szCs w:val="28"/>
          <w:highlight w:val="none"/>
        </w:rPr>
        <w:t>医疗救护人员要及时到达事故现场或到井口待命；必要时到达井下事故现场，对抢救出的受伤人员进行紧急医疗救治或护送上井救治。</w:t>
      </w:r>
    </w:p>
    <w:p w14:paraId="4E4B600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5</w:t>
      </w:r>
      <w:r>
        <w:rPr>
          <w:rFonts w:ascii="仿宋_GB2312" w:hAnsi="仿宋_GB2312" w:eastAsia="仿宋_GB2312" w:cs="仿宋_GB2312"/>
          <w:color w:val="auto"/>
          <w:kern w:val="0"/>
          <w:sz w:val="28"/>
          <w:szCs w:val="28"/>
          <w:highlight w:val="none"/>
        </w:rPr>
        <w:t>）伤员被抢救出后，应诊断伤情的轻重，人员较多时先抢救重伤人员，后抢救轻伤人员，要认真执行“三先三后”的原则：即对窒息或心跳呼吸停止不久的伤员必须先复苏后搬运，对出血伤员必须先止血后搬运，对骨伤的伤员必须先固定后搬运。</w:t>
      </w:r>
    </w:p>
    <w:p w14:paraId="47E4D64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6</w:t>
      </w:r>
      <w:r>
        <w:rPr>
          <w:rFonts w:ascii="仿宋_GB2312" w:hAnsi="仿宋_GB2312" w:eastAsia="仿宋_GB2312" w:cs="仿宋_GB2312"/>
          <w:color w:val="auto"/>
          <w:kern w:val="0"/>
          <w:sz w:val="28"/>
          <w:szCs w:val="28"/>
          <w:highlight w:val="none"/>
        </w:rPr>
        <w:t>）如进入避难硐室，应按操作规程启用避难硐室。现场负责人要成立临时救援指挥体系，安排专人负责与地面救援指挥中心保持联系，对硐室内部的系统、设备运行情况进行检查，对硐室环境进行监测。在接到地面救援指挥中心的指令或避难硐室外有害气体下降到安全情况下，快速撤离。</w:t>
      </w:r>
    </w:p>
    <w:p w14:paraId="379E62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4.3.2.2工艺操作</w:t>
      </w:r>
    </w:p>
    <w:p w14:paraId="41DC1B2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（1）抢救遇险人员时，首先应通过电话、喊话、人员位置监测系统、生命探测仪或敲打钢轨、煤岩体、管子等手段与遇险人员取得联系，探明冒顶范围和遇险人数及位置。</w:t>
      </w:r>
    </w:p>
    <w:p w14:paraId="6786746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营救工作要在指挥部负责人的领导和有经验的老工人指挥下进行。首先，营救人员要排查水害地点附近的支护情况，采取措施进行加固。若遇险者被困里段，一方面通风排水，维护巷道，防止冒顶堵人，另一方面积极救助，输送食物和药品，若被困的人员时间较长时，可利用管道向遇险人员送饮料或食物和空气。被困人员救出后应采取护理措施，然后进行创伤检查和处理。</w:t>
      </w:r>
    </w:p>
    <w:p w14:paraId="3BFA1C3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（3）排水前，必须先恢复冒顶区域的正常通风，</w:t>
      </w:r>
      <w:r>
        <w:rPr>
          <w:rFonts w:hint="eastAsia" w:ascii="仿宋_GB2312" w:hAnsi="仿宋_GB2312" w:eastAsia="仿宋_GB2312" w:cs="仿宋_GB2312"/>
          <w:color w:val="auto"/>
          <w:kern w:val="0"/>
          <w:sz w:val="28"/>
          <w:szCs w:val="28"/>
          <w:highlight w:val="none"/>
        </w:rPr>
        <w:t>查明冒顶范围、高度、</w:t>
      </w:r>
      <w:r>
        <w:rPr>
          <w:rFonts w:hint="eastAsia" w:ascii="宋体" w:hAnsi="宋体" w:cs="宋体"/>
          <w:color w:val="auto"/>
          <w:kern w:val="0"/>
          <w:sz w:val="28"/>
          <w:szCs w:val="28"/>
          <w:highlight w:val="none"/>
        </w:rPr>
        <w:t>堆积</w:t>
      </w:r>
      <w:r>
        <w:rPr>
          <w:rFonts w:hint="eastAsia" w:ascii="仿宋_GB2312" w:hAnsi="仿宋_GB2312" w:eastAsia="仿宋_GB2312" w:cs="仿宋_GB2312"/>
          <w:color w:val="auto"/>
          <w:kern w:val="0"/>
          <w:sz w:val="28"/>
          <w:szCs w:val="28"/>
          <w:highlight w:val="none"/>
        </w:rPr>
        <w:t>状态、巷道破坏程度、通风状况、有害气体浓度、水源、被困人员可能位置及生存迹象，</w:t>
      </w:r>
      <w:r>
        <w:rPr>
          <w:rFonts w:ascii="仿宋_GB2312" w:hAnsi="仿宋_GB2312" w:eastAsia="仿宋_GB2312" w:cs="仿宋_GB2312"/>
          <w:color w:val="auto"/>
          <w:kern w:val="0"/>
          <w:sz w:val="28"/>
          <w:szCs w:val="28"/>
          <w:highlight w:val="none"/>
        </w:rPr>
        <w:t>如暂不能恢复时，可利用水管、压风管等向被堵压人员处输送新鲜空气，并把救援通道的顶板维护好，确保救援人员安全。</w:t>
      </w:r>
    </w:p>
    <w:p w14:paraId="060B328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（4）回采工作面发生突水害事故时应急处置措施</w:t>
      </w:r>
    </w:p>
    <w:p w14:paraId="266713B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①突水点下部和上部的人员迅速往上沿采煤面经两顺槽撤离事故地点。</w:t>
      </w:r>
    </w:p>
    <w:p w14:paraId="52CBE24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②当班班长（或其他发现事故发生的人员）就迅速赶到就近安全点的电话旁向矿调度汇报。</w:t>
      </w:r>
    </w:p>
    <w:p w14:paraId="6397BE2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③矿调度接到汇报后，立即通知有关单位将井下受水患威胁的人员撤到安全地点，同时通知机运工区将井下水泵开启排水；并通知有关单位做好应急救援准备工作。</w:t>
      </w:r>
    </w:p>
    <w:p w14:paraId="57640CB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④各专业组接到矿调度通知后立即准备有关救援物资，组织人员抢险。</w:t>
      </w:r>
    </w:p>
    <w:p w14:paraId="5DF5480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 xml:space="preserve">（5）掘进迎头发生突水事故时应急处置措施： </w:t>
      </w:r>
    </w:p>
    <w:p w14:paraId="0404157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①立即将所有人员从迎头撤至安全地点；若独头上山掘进出水，人员来不及撤离危险区被堵到上山独头巷道内。遇险人员要保持镇静，防止过度的体力消耗，等待救援；若下山掘进出水，人员要迅速向上撤离到安全地点。</w:t>
      </w:r>
    </w:p>
    <w:p w14:paraId="532E279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②当班班长（或其他发现突水人员）及时赶到就近安全地点的电话旁向矿调度汇报。</w:t>
      </w:r>
    </w:p>
    <w:p w14:paraId="5CDF99B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③矿调度接到汇报后，立即通知有关单位将井下受水患威胁的人员撤到安全地点，通知机运工区将井下水泵开启排水，并通知有关单位做好应急救援准备工作。</w:t>
      </w:r>
    </w:p>
    <w:p w14:paraId="5F9317C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④有关单位接到矿调度通知后，立即准备各种救援物资和组织人员抢险。</w:t>
      </w:r>
    </w:p>
    <w:p w14:paraId="38C7C70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（6）其他应急处置措施</w:t>
      </w:r>
    </w:p>
    <w:p w14:paraId="6E9C45F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①井下发生水害后，事故现场不具备抢险条件或可能危及人员安全时，应立即用最快的方法通知附近地区的人员一起按照矿井灾害预防处理计划中所规定的路线撤离。</w:t>
      </w:r>
    </w:p>
    <w:p w14:paraId="28BFF22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②发生水害事故后，受灾区域的人员应撤退到涌水地点上部水平，而不能进入涌水附近的独头巷道。但是当独头上山下部唯一出口被淹没无法撤离时，打开压风管，在独头工作面暂避，禁止潜泳。</w:t>
      </w:r>
    </w:p>
    <w:p w14:paraId="702D74C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③位于突水点下方工作人员撤离遇到水势很猛很高的水头时，要尽力屏住呼吸，用手拽住管路等物体用力闯过。水头过后，水势减弱，可借助巷道壁或其它物体攀扶着往外撤离，直到安全地点。</w:t>
      </w:r>
    </w:p>
    <w:p w14:paraId="01785C3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④遇险人员必须在本班班长带领下按指定的安全撤离路线撤离。</w:t>
      </w:r>
    </w:p>
    <w:p w14:paraId="4E76817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⑤当井下工作人员发现撤离路线已被水隔断，要迅速撤至位置最高的地点，暂时躲避。被困人员应由当班班长（或有经验的老工人）统一指挥，用现场电话与外界联络，汇报情况。如果现场电话损坏不通，要不断敲打管路或钢轨，不断发出呼救信号。</w:t>
      </w:r>
    </w:p>
    <w:p w14:paraId="40DD65C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⑥矿井发生水害后，指挥部应以最快的速度安装排水设备。机运工区接到透水事故报警后立即派人关闭中央泵房两侧的密闭门，启动所有水泵排水，并根据调度指挥适当调整配水闸阀。</w:t>
      </w:r>
    </w:p>
    <w:p w14:paraId="55E8F64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⑦在抢救中要根据水害事故现场的实际情况，组织指挥救灾。当水淹没了矿井的部分采区或下部水平的巷道，使部分人员受困，应从两个方面组织抢救：一是加固工作区巷道，加强空气监测，迅速组织专业救护队，搜救遇险遇难人员；二是应利用通往被淹采区的所有通道，组织力量，分头安装水泵排水进行抢救。</w:t>
      </w:r>
    </w:p>
    <w:p w14:paraId="21394B7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⑧在抢救水灾事故中，如果遇险人员所在地点是独头上山时，要按每人每分钟消耗氧气量0.237kg 和呼出二氧化碳0.197kg计算他们的生存时间。如果氧气量不能保证时，应采取措施打钻孔输送氧气和食物等，保证遇险人员有足够的等待时间，同时要抓紧时间排水，使堵在里边的人员能够及时得救。</w:t>
      </w:r>
    </w:p>
    <w:p w14:paraId="39B7DEF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⑨老空区积水突出后，放出大量有害气体，如瓦斯、硫化氢等，在撤离时应采取如用湿毛巾掩住口鼻、佩戴自救器等措施，防止中毒或窒息。</w:t>
      </w:r>
    </w:p>
    <w:p w14:paraId="6F121E5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⑩如果溺水者发生窒息，救护者应尽快把溺水者灌入胃里的水控出来，然后及时进行人工呼吸。在进行抢救的同时，要派人立即向矿救灾指挥中心报告，请求医生赶来协同抢救，抢救成功后，立即转至医院。</w:t>
      </w:r>
    </w:p>
    <w:p w14:paraId="354D67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4.3.2.3事故控制</w:t>
      </w:r>
    </w:p>
    <w:p w14:paraId="092C977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（1）井下出现煤层变湿、挂红、底鼓、淋水加大（含砂）等透水、突水、溃水征兆的；井田及周边地面积水坑水位突然下降并溃入井下时必须及时撤出危险区域作业人员。</w:t>
      </w:r>
    </w:p>
    <w:p w14:paraId="658258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（2）调度员接到现场人员报告后，根据初步掌握的事故信息，立即通过有线调度通信电话、应急广播、移动通信、人员位置监测系统等通信系统，3分钟内通知可能受事故波及区域人员沿避灾路线撤离。</w:t>
      </w:r>
    </w:p>
    <w:p w14:paraId="0421758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（3）现场人员发现水灾应立即开启水害区域附近水泵开关进行排水。</w:t>
      </w:r>
      <w:r>
        <w:rPr>
          <w:rFonts w:ascii="仿宋_GB2312" w:hAnsi="仿宋_GB2312" w:eastAsia="仿宋_GB2312" w:cs="仿宋_GB2312"/>
          <w:color w:val="auto"/>
          <w:kern w:val="0"/>
          <w:sz w:val="28"/>
          <w:szCs w:val="28"/>
          <w:highlight w:val="none"/>
        </w:rPr>
        <w:t>机运工区接到透水事故报警后立即派人关闭中央泵房两侧的密闭门，启动所有水泵排水，并根据调度指挥适当调整配水闸阀。</w:t>
      </w:r>
    </w:p>
    <w:p w14:paraId="52961C4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4.3.2.4消防</w:t>
      </w:r>
    </w:p>
    <w:p w14:paraId="0F0F10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因水害造成电气设备及线缆发生火灾，现场发现明火时，必须合理选用灭火器材，利用附近设置的消防器材或供水管路，采用惰性气体、消防沙、喷水等直接灭火的方法进行灭火。</w:t>
      </w:r>
    </w:p>
    <w:p w14:paraId="11ED34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4.3.2.5现场恢复</w:t>
      </w:r>
    </w:p>
    <w:p w14:paraId="0BA2460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（1）恢复被淹井巷前，应编制矿井突水淹井调查分析报告；</w:t>
      </w:r>
    </w:p>
    <w:p w14:paraId="0F1BCB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（2）排除井筒和下山的积水及恢复被淹井巷前，应当制定防止被水封闭的有害气体突然涌出的安全措施；</w:t>
      </w:r>
    </w:p>
    <w:p w14:paraId="1C688DC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（3）井巷恢复时，应设有专人跟班定时测定涌水量和下降水面高程，观察记录突水点的位置、涌水量、水温等，并作突水点素描图。</w:t>
      </w:r>
    </w:p>
    <w:p w14:paraId="2F3B39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（4）确认无被困和失踪人员，现场事故已得到有效控制，可宣布应急救援行动结束。后续工作转为灾后恢复、经验教训的总结等。</w:t>
      </w:r>
    </w:p>
    <w:p w14:paraId="06FAAD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7D62C93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22AE4BC9">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4.3.4 报警电话及相关救援单位联络</w:t>
      </w:r>
    </w:p>
    <w:p w14:paraId="3D0145C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3AE165E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3F2642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7E656609">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6A1EB9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2A377511">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22" w:name="_Toc5884"/>
      <w:bookmarkStart w:id="423" w:name="_Toc28485"/>
      <w:bookmarkStart w:id="424" w:name="_Toc7346"/>
      <w:r>
        <w:rPr>
          <w:rFonts w:hint="eastAsia" w:ascii="楷体_GB2312" w:hAnsi="楷体_GB2312" w:eastAsia="楷体_GB2312" w:cs="楷体_GB2312"/>
          <w:color w:val="auto"/>
          <w:sz w:val="30"/>
          <w:szCs w:val="30"/>
          <w:highlight w:val="none"/>
        </w:rPr>
        <w:t>4.4 注意事项</w:t>
      </w:r>
      <w:bookmarkEnd w:id="422"/>
      <w:bookmarkEnd w:id="423"/>
      <w:bookmarkEnd w:id="424"/>
    </w:p>
    <w:p w14:paraId="50C245D1">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4.4.1 人员防护</w:t>
      </w:r>
    </w:p>
    <w:p w14:paraId="544821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610F2D9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77AEA1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581E74A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404FB0B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4.4.2 自救互救</w:t>
      </w:r>
    </w:p>
    <w:p w14:paraId="0D2F41F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（1）自救与互救原则：安全撤离，妥善避险；沉着冷静，控制情绪；互相鼓励，互相帮助；团结协作，服从指挥。</w:t>
      </w:r>
    </w:p>
    <w:p w14:paraId="4E28C4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（2）班组长应当具备兼职救护队员的知识和能力，能够在发生险情后第一时间组织作业人员自救互救和安全避险。</w:t>
      </w:r>
    </w:p>
    <w:p w14:paraId="10E15D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（3）救援人员必须认真按救援方案和救护安全措施执行，确保自身安全。</w:t>
      </w:r>
    </w:p>
    <w:p w14:paraId="11E557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（4）煤矿作业人员必须熟悉应急救援预案和避灾路线，具有自救互救和安全避险知识，训练掌握自救器和紧急避险设施的使用方法。</w:t>
      </w:r>
    </w:p>
    <w:p w14:paraId="0EEC8B50">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（5）对于受伤人员可采取以下措施：使之平躺，把腿垫高，利于血液回流；松开衣领、腰带，使之呼吸畅通；铺盖适当的衣物保暖；对于停止呼吸的立即进行人工呼吸，不要轻易放弃。</w:t>
      </w:r>
    </w:p>
    <w:p w14:paraId="6E100B68">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4.4.3 装备使用</w:t>
      </w:r>
    </w:p>
    <w:p w14:paraId="78E2C6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3F180A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6326CB7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79F159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69E907A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32BC8AA9">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4.4.4 现场安全</w:t>
      </w:r>
    </w:p>
    <w:p w14:paraId="04D531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（1）当巷道被</w:t>
      </w:r>
      <w:r>
        <w:rPr>
          <w:rFonts w:hint="eastAsia" w:ascii="仿宋_GB2312" w:hAnsi="仿宋_GB2312" w:eastAsia="仿宋_GB2312" w:cs="仿宋_GB2312"/>
          <w:color w:val="auto"/>
          <w:kern w:val="0"/>
          <w:sz w:val="28"/>
          <w:szCs w:val="28"/>
          <w:highlight w:val="none"/>
          <w:lang w:eastAsia="zh-CN"/>
        </w:rPr>
        <w:t>堵</w:t>
      </w:r>
      <w:r>
        <w:rPr>
          <w:rFonts w:hint="eastAsia" w:ascii="仿宋_GB2312" w:hAnsi="仿宋_GB2312" w:eastAsia="仿宋_GB2312" w:cs="仿宋_GB2312"/>
          <w:color w:val="auto"/>
          <w:kern w:val="0"/>
          <w:sz w:val="28"/>
          <w:szCs w:val="28"/>
          <w:highlight w:val="none"/>
        </w:rPr>
        <w:t>人无法撤离时，被困人员必须静卧，不得烦躁，减少氧气、热量等消耗，等待救援。</w:t>
      </w:r>
    </w:p>
    <w:p w14:paraId="35456F6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（2）若巷道内有压风管，可打开压风管供人员呼吸，确保被困人员的安全，并利用救援联络信号，向外报警。</w:t>
      </w:r>
    </w:p>
    <w:p w14:paraId="2381B2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（3）附近如有临时避险硐室或移动救生舱，被堵人员可进入临时避险硐室或移动救生舱，等待救援。</w:t>
      </w:r>
    </w:p>
    <w:p w14:paraId="6546E57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（4）进入避难硐室前，应在硐室外留有明显标志，以便救护队发现；待救时应保持冷静、不得急躁，以减少氧气消耗，保持体力；硐室内保留一盏灯照明，其余矿灯全部关闭；间断发出呼救信号。</w:t>
      </w:r>
    </w:p>
    <w:p w14:paraId="555CAD88">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25" w:name="_Toc6951"/>
      <w:bookmarkStart w:id="426" w:name="_Toc1917"/>
      <w:bookmarkStart w:id="427" w:name="_Toc9320"/>
      <w:r>
        <w:rPr>
          <w:rFonts w:hint="eastAsia" w:ascii="楷体_GB2312" w:hAnsi="楷体_GB2312" w:eastAsia="楷体_GB2312" w:cs="楷体_GB2312"/>
          <w:color w:val="auto"/>
          <w:sz w:val="30"/>
          <w:szCs w:val="30"/>
          <w:highlight w:val="none"/>
        </w:rPr>
        <w:t>4.5 其他需要特别警示的事项</w:t>
      </w:r>
      <w:bookmarkEnd w:id="425"/>
      <w:bookmarkEnd w:id="426"/>
      <w:bookmarkEnd w:id="427"/>
      <w:r>
        <w:rPr>
          <w:rFonts w:hint="eastAsia" w:ascii="楷体_GB2312" w:hAnsi="楷体_GB2312" w:eastAsia="楷体_GB2312" w:cs="楷体_GB2312"/>
          <w:color w:val="auto"/>
          <w:sz w:val="30"/>
          <w:szCs w:val="30"/>
          <w:highlight w:val="none"/>
        </w:rPr>
        <w:t xml:space="preserve"> </w:t>
      </w:r>
    </w:p>
    <w:p w14:paraId="4BB08D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（1）井上下事故波及范围区域划定，警戒线设置。 </w:t>
      </w:r>
    </w:p>
    <w:p w14:paraId="268E6E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（2）事故单位井口、地面治安警戒线设置。 </w:t>
      </w:r>
    </w:p>
    <w:p w14:paraId="219882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（3）井下救护基地位置确定与警示。 </w:t>
      </w:r>
    </w:p>
    <w:p w14:paraId="2D2A3F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672DF24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59856139">
      <w:pPr>
        <w:tabs>
          <w:tab w:val="left" w:pos="0"/>
        </w:tabs>
        <w:adjustRightInd w:val="0"/>
        <w:snapToGrid w:val="0"/>
        <w:spacing w:line="460" w:lineRule="exact"/>
        <w:ind w:firstLine="602" w:firstLineChars="200"/>
        <w:outlineLvl w:val="0"/>
        <w:rPr>
          <w:rFonts w:ascii="黑体" w:hAnsi="黑体" w:eastAsia="黑体" w:cs="黑体"/>
          <w:b/>
          <w:bCs/>
          <w:color w:val="auto"/>
          <w:sz w:val="30"/>
          <w:szCs w:val="30"/>
          <w:highlight w:val="none"/>
        </w:rPr>
      </w:pPr>
      <w:bookmarkStart w:id="428" w:name="_Toc30716"/>
      <w:bookmarkStart w:id="429" w:name="_Toc16231"/>
      <w:bookmarkStart w:id="430" w:name="_Toc32574"/>
      <w:r>
        <w:rPr>
          <w:rFonts w:hint="eastAsia" w:ascii="黑体" w:hAnsi="黑体" w:eastAsia="黑体" w:cs="黑体"/>
          <w:b/>
          <w:bCs/>
          <w:color w:val="auto"/>
          <w:sz w:val="30"/>
          <w:szCs w:val="30"/>
          <w:highlight w:val="none"/>
        </w:rPr>
        <w:t>5 顶板事故现场处置方案</w:t>
      </w:r>
      <w:bookmarkEnd w:id="428"/>
      <w:bookmarkEnd w:id="429"/>
      <w:bookmarkEnd w:id="430"/>
    </w:p>
    <w:p w14:paraId="748ACB67">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31" w:name="_Toc18886"/>
      <w:bookmarkStart w:id="432" w:name="_Toc6842"/>
      <w:bookmarkStart w:id="433" w:name="_Toc5041"/>
      <w:r>
        <w:rPr>
          <w:rFonts w:hint="eastAsia" w:ascii="楷体_GB2312" w:hAnsi="楷体_GB2312" w:eastAsia="楷体_GB2312" w:cs="楷体_GB2312"/>
          <w:color w:val="auto"/>
          <w:sz w:val="30"/>
          <w:szCs w:val="30"/>
          <w:highlight w:val="none"/>
        </w:rPr>
        <w:t>5.1事故风险描述</w:t>
      </w:r>
      <w:bookmarkEnd w:id="431"/>
      <w:bookmarkEnd w:id="432"/>
      <w:bookmarkEnd w:id="433"/>
    </w:p>
    <w:p w14:paraId="59B9781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1.1 风险描述</w:t>
      </w:r>
    </w:p>
    <w:p w14:paraId="7445F8E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 煤层：顶板以粉砂岩为主，局部为细砂岩，顶板类型为易冒落二类有周期来压顶板，部分地段属于四类软弱破碎顶板。底板为粉砂岩，3煤底板岩石强度较低，抗水、抗风化和抗冻能力差，易软化，岩石坚固性差，属较软Ⅲa类底板。 </w:t>
      </w:r>
    </w:p>
    <w:p w14:paraId="73BC23C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5 煤层：顶板为粗砂岩、中砂岩、细砂岩、粉砂岩，局部有炭质泥岩伪顶。顶板类型为易冒落一类无周期来压顶板。 底板为粉砂岩、细粒砂岩，局部有炭质泥岩、泥岩伪底，属松软Ⅱ～较软Ⅲa类底板。 </w:t>
      </w:r>
    </w:p>
    <w:p w14:paraId="20329A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9 煤层：顶板为稳定的泥质石灰岩、粉砂岩、细砂岩或粗砂岩，顶板类型为易冒落二类有周期来压顶板。底板以粉砂岩、细粒砂岩及中粒砂岩为主，局部为粗砂岩或夹煤线，岩石坚固性差，属较软Ⅲb类底板。 </w:t>
      </w:r>
    </w:p>
    <w:p w14:paraId="5670CA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采煤工作面过断层顶板破碎带，上下端头和上下平巷顶帮支护失效处，采煤机割煤后不及时移架处，工作面初采初放、工作面初次来压期间、工作面末采撤出期间存在发生冒顶片帮的风险；井下各掘进工作面及巷道修复等地点，迎头割煤后不及时使用临时支护、顶板破碎处、穿层掘进处、巷道后部顶帮支护失效处、巷道贯通处、三岔门四岔口地点开门处，支护不到位，顶板事故按照物体打击、坍塌、其他等事故类别进行分类处置。</w:t>
      </w:r>
    </w:p>
    <w:p w14:paraId="548A240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1.2 风险评估结果</w:t>
      </w:r>
    </w:p>
    <w:p w14:paraId="4E867A67">
      <w:pPr>
        <w:spacing w:line="440" w:lineRule="exact"/>
        <w:ind w:firstLine="560" w:firstLineChars="200"/>
        <w:rPr>
          <w:rFonts w:ascii="仿宋_GB2312" w:hAnsi="仿宋_GB2312" w:eastAsia="仿宋_GB2312" w:cs="仿宋_GB2312"/>
          <w:color w:val="auto"/>
          <w:kern w:val="0"/>
          <w:sz w:val="28"/>
          <w:szCs w:val="28"/>
          <w:highlight w:val="yellow"/>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yellow"/>
        </w:rPr>
        <w:t>顶板事故评估为较大风险</w:t>
      </w:r>
      <w:r>
        <w:rPr>
          <w:rFonts w:ascii="仿宋_GB2312" w:hAnsi="仿宋_GB2312" w:eastAsia="仿宋_GB2312" w:cs="仿宋_GB2312"/>
          <w:color w:val="auto"/>
          <w:kern w:val="0"/>
          <w:sz w:val="28"/>
          <w:szCs w:val="28"/>
          <w:highlight w:val="yellow"/>
        </w:rPr>
        <w:t>。</w:t>
      </w:r>
    </w:p>
    <w:p w14:paraId="1F89EFB7">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34" w:name="_Toc27745"/>
      <w:bookmarkStart w:id="435" w:name="_Toc24536"/>
      <w:bookmarkStart w:id="436" w:name="_Toc31677"/>
      <w:r>
        <w:rPr>
          <w:rFonts w:hint="eastAsia" w:ascii="楷体_GB2312" w:hAnsi="楷体_GB2312" w:eastAsia="楷体_GB2312" w:cs="楷体_GB2312"/>
          <w:color w:val="auto"/>
          <w:sz w:val="30"/>
          <w:szCs w:val="30"/>
          <w:highlight w:val="none"/>
        </w:rPr>
        <w:t>5.2 应急工作职责</w:t>
      </w:r>
      <w:bookmarkEnd w:id="434"/>
      <w:bookmarkEnd w:id="435"/>
      <w:bookmarkEnd w:id="436"/>
    </w:p>
    <w:p w14:paraId="1C31C36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2.1 应急自救小组</w:t>
      </w:r>
    </w:p>
    <w:p w14:paraId="5744207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2B22D1C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7C902C0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385EFF9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2.2 具体职责</w:t>
      </w:r>
    </w:p>
    <w:p w14:paraId="321775B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2EAE41E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3BE6879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394CA77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06D923C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185101B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（6）维护工：根据事故的严重程度，按照救援小组安排，负责维护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w:t>
      </w:r>
    </w:p>
    <w:p w14:paraId="5DC9E8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运料工：出现紧急事故时随时待命，一旦接到通知，马上到达现场进行抢险工作，做到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2F5755E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（8）电工：听从指令，负责切断灾区电源。 </w:t>
      </w:r>
    </w:p>
    <w:p w14:paraId="2A5AD27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 xml:space="preserve">：负责事故现场人员撤离、警戒。 </w:t>
      </w:r>
    </w:p>
    <w:p w14:paraId="1D9712F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10</w:t>
      </w:r>
      <w:r>
        <w:rPr>
          <w:rFonts w:ascii="仿宋_GB2312" w:hAnsi="仿宋_GB2312" w:eastAsia="仿宋_GB2312" w:cs="仿宋_GB2312"/>
          <w:color w:val="auto"/>
          <w:kern w:val="0"/>
          <w:sz w:val="28"/>
          <w:szCs w:val="28"/>
          <w:highlight w:val="none"/>
        </w:rPr>
        <w:t>）现场作业人员：积极开展应急处置和自救互救。</w:t>
      </w:r>
    </w:p>
    <w:p w14:paraId="4D676394">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37" w:name="_Toc19247"/>
      <w:bookmarkStart w:id="438" w:name="_Toc22443"/>
      <w:bookmarkStart w:id="439" w:name="_Toc22587"/>
      <w:r>
        <w:rPr>
          <w:rFonts w:hint="eastAsia" w:ascii="楷体_GB2312" w:hAnsi="楷体_GB2312" w:eastAsia="楷体_GB2312" w:cs="楷体_GB2312"/>
          <w:color w:val="auto"/>
          <w:sz w:val="30"/>
          <w:szCs w:val="30"/>
          <w:highlight w:val="none"/>
        </w:rPr>
        <w:t>5.3 应急处置</w:t>
      </w:r>
      <w:bookmarkEnd w:id="437"/>
      <w:bookmarkEnd w:id="438"/>
      <w:bookmarkEnd w:id="439"/>
    </w:p>
    <w:p w14:paraId="02579FF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3.1 事故应急处置程序</w:t>
      </w:r>
    </w:p>
    <w:p w14:paraId="03298D0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2558F6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6F0EB3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2BB8AF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根据综合应急预案应急响应分级启动上一级应急响应，按照专项预案程序进行处置；召请矿山救护队组织抢救，调度室立即通知医院医疗救护人员到达事故现场或到井口待命。</w:t>
      </w:r>
    </w:p>
    <w:p w14:paraId="38BA1DE6">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3E5CD14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5.3.2.1人员救护</w:t>
      </w:r>
    </w:p>
    <w:p w14:paraId="4E3FA14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顶板事故发生后，现场人员要迅速了解或判明顶板事故的地点、范围和危害程度，是否有人员伤害，是否堵人，是否阻断通风系统，顶板事故是否有继续蔓延倾向；确认自己所处地点的巷道顶板安全情况、通风情况，并根据现场的实际情况，确定撤退路线和避灾自救的方法；如无法保证自身安全，应立即撤至安全地点。如有人员受伤，要及时组织救助，帮助撤离到顶板完好、通风良好的安全地点，并及时向调度室汇报。</w:t>
      </w:r>
    </w:p>
    <w:p w14:paraId="018B616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（一）顶板（物体打击）事故应采取的人员救护措施</w:t>
      </w:r>
    </w:p>
    <w:p w14:paraId="5FE27AE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（1）现场作业人员发生被掉落、冒落煤岩体伤害（物体打击）时，事故现场作业人员应在事故现场负责人指挥下立即组织施救，并开展自救互救。</w:t>
      </w:r>
    </w:p>
    <w:p w14:paraId="45B20CA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（2）伤员被救出转移至安全地点后，应对伤员进行必要的现场急救等紧急处理措施，迅速移交专业医护人员送医院救治。</w:t>
      </w:r>
    </w:p>
    <w:p w14:paraId="44137BE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（3）伤员急救应采取以下措施：</w:t>
      </w:r>
    </w:p>
    <w:p w14:paraId="2E47359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①‌休克与昏迷抢救措施‌：若伤者‌休克与昏迷时，要让其‌平卧、保暖、下肢抬高30度‌；昏迷者‌面部转向一侧‌，防止呕吐物堵塞气道。</w:t>
      </w:r>
    </w:p>
    <w:p w14:paraId="29DA80C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②‌骨折与出血抢救措施‌：若伤者‌骨折与出血，出血处先指压止血，后用绷带或干净纱布加压包扎止血；骨折部位‌先固定再搬运‌，脊柱骨折必须用硬板平抬，严禁背运或扭曲身体。</w:t>
      </w:r>
    </w:p>
    <w:p w14:paraId="63EE541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③‌心跳呼吸停止抢救措施‌：若伤者没呼吸心跳，立即按照通气优先策略，采用A-B-C“开通气道、人工呼吸、胸外按压”方式进行心肺复苏。</w:t>
      </w:r>
    </w:p>
    <w:p w14:paraId="68869C8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（二）顶板（坍塌）事故应采取的人员救护措施</w:t>
      </w:r>
    </w:p>
    <w:p w14:paraId="1B73543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遇险人员被冒落的煤岩体堵住或埋压时，被困人员要保持清醒和镇定，减少氧气、热量等消耗，同时保持清醒头脑，稳定情绪，待顶板稳定后召集冒顶区以里有经验的人员，查看冒顶情况，确定冒顶具体地点。通讯畅通时，首先第一时间向调度汇报顶板事故具体地点，遇险人数，然后再仔细检查风水管路、电缆电线破坏情况，通风情况，水害情况，影响人身安全的其它危害因素，然后将详细情况向调度汇报。等待救援时尽力保持通风，或采取压风供风，压水管供水，保持通讯联络，保存用水尽量不饮污水，利用一切可以利用的材料对顶板进行支护），防止冒顶进一步扩大，争取生存空间。尽可能停掉电源，解除触电威胁。被堵人员在创造相对良好的生存环境后，注意保存体力和精力，保持静坐或静卧，节约饮水、饮食、矿灯照明等生命保障物资，保持积极心态等待救援。</w:t>
      </w:r>
    </w:p>
    <w:p w14:paraId="6BEE36B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被困人员不能对外联系时，救援人员应通过喊话、人员位置监测系统、生命探测仪或敲打钢轨、管子等手段与被困人员取得联系，尽快探明冒顶范围和遇险人数及位置。被困人员应采取敲打钢轨、管子等手段有规律地向外部发出救援联络信号，救援人员和被困人员通过敲击发出救援联络信号内容如下：</w:t>
      </w:r>
    </w:p>
    <w:p w14:paraId="21E9F5A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①敲击五声表示寻求联络；</w:t>
      </w:r>
    </w:p>
    <w:p w14:paraId="6B56C3B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②敲击四声表示询问被困人员数量（被困人员按实际人数敲击回复）；</w:t>
      </w:r>
    </w:p>
    <w:p w14:paraId="5B142B8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③敲击三声表示收到；</w:t>
      </w:r>
    </w:p>
    <w:p w14:paraId="4FDEEF8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④敲击二声表示停止。</w:t>
      </w:r>
    </w:p>
    <w:p w14:paraId="42BDD16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被困人员的救援，可通过打导硐、绕道或者施工大口径救生钻孔等方式，快速构建救援通道，同时利用压风管、水管或者钻孔等向被困人员提供新鲜空气、通讯、饮料和食物。救援通道应维护好，确保救援人员安全。</w:t>
      </w:r>
    </w:p>
    <w:p w14:paraId="0F4091D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（4）使用液压剪、多功能钳、金属切割机等工具进行处置时，应当注意避免误伤被困人员。</w:t>
      </w:r>
    </w:p>
    <w:p w14:paraId="01950EF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抢救伤员时，应先判断伤势轻重，在通风良好情况下，按照“三先三后”的原则处理。即对窒息或心跳呼吸停止不久的伤员必须先复苏后搬运，对出血伤员必须先止血后搬运，对骨伤的伤员必须先固定后搬运。</w:t>
      </w:r>
    </w:p>
    <w:p w14:paraId="506D609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抢救出的遇险人员，要脱掉湿衣用毯子保温，对长期困在井下人员，不要用灯光照射眼睛；抢救和运送长期被困井下或受挤压时间较长的人员时，要按照医疗救护人员的指导采取有利于救治的对应措施，防止因外部环境的突然改变造成二次伤害。</w:t>
      </w:r>
    </w:p>
    <w:p w14:paraId="449F8DC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（三）顶板（其他）事故应采取的人员救护措施</w:t>
      </w:r>
    </w:p>
    <w:p w14:paraId="69E4013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参照以上措施进行救援。</w:t>
      </w:r>
    </w:p>
    <w:p w14:paraId="0668E1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5.3.2.2工艺操作</w:t>
      </w:r>
    </w:p>
    <w:p w14:paraId="3B82DB0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一）</w:t>
      </w:r>
      <w:r>
        <w:rPr>
          <w:rFonts w:hint="eastAsia" w:ascii="仿宋_GB2312" w:hAnsi="仿宋_GB2312" w:eastAsia="仿宋_GB2312" w:cs="仿宋_GB2312"/>
          <w:color w:val="auto"/>
          <w:kern w:val="0"/>
          <w:sz w:val="28"/>
          <w:szCs w:val="28"/>
          <w:highlight w:val="none"/>
        </w:rPr>
        <w:t>顶板（物体打击）事故应采取的处置措施</w:t>
      </w:r>
    </w:p>
    <w:p w14:paraId="2A90979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（1）顶板（物体打击）事故处理顶板时，要动态敲帮问顶制度，去除浮矸、活石，处置人员要站在安全地点，并有专人监护。</w:t>
      </w:r>
    </w:p>
    <w:p w14:paraId="09035D8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（2）必须坚持由外向里、先顶后帮、逐步前进的原则，检查冒顶地点附近的巷道支护情况，采取措施加固，确保支护质量，防止二次伤人。</w:t>
      </w:r>
    </w:p>
    <w:p w14:paraId="7D14F91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（3）处理顶板事故中，要始终设专人检查瓦斯和观察顶帮情况，发现异常应立即撤出人员。</w:t>
      </w:r>
    </w:p>
    <w:p w14:paraId="4D64013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（二）顶板（坍塌）事故应采取的处置措施</w:t>
      </w:r>
    </w:p>
    <w:p w14:paraId="14AFA30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处理冒顶前，必须先恢复冒顶区域的正常通风。处理冒顶时，首先确认冒顶区周围环境安全或经加固支护后，对冒顶区由外向里进行清理并临时支护，施工过程中必须指定专人检查甲烷浓度，观察顶板和周围支护情况。当出现大面积来压异常情况或通风不良、瓦斯浓度急剧上升有瓦斯爆炸危险时，必须立即撤离至安全地点，并立即汇报应急救援指挥部。</w:t>
      </w:r>
    </w:p>
    <w:p w14:paraId="7FAA139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处理冒顶区的方法要根据现场情况确定。普采工作面发生局部冒顶时，一般采用掏梁窝，使用单腿棚或悬挂金属顶梁处理。大面积冒顶时可采用整巷法及开掘补巷法绕过冒顶区。掘进工作面处理垮落巷道的方法一般为木垛法、搭凉棚法、撞楔法、打绕道法。</w:t>
      </w:r>
    </w:p>
    <w:p w14:paraId="0A837BB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工作面发生冒顶事故且顶板岩石坚硬，遇险者被困位置在工作面中间时，可沿底板煤层掏小洞寻找遇险人员；若工作面冒落范围很大时，采用掏小洞和撞楔法处理时间长、不安全，可采取沿煤层重开切眼的方法进行处理，也可以沿煤壁用掏洞法处理，但靠冒落区的一帮必须用木板背好，防止漏冒。</w:t>
      </w:r>
    </w:p>
    <w:p w14:paraId="5BB5D6A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综采工作面处理较大的冒顶必须逐架进行，防止二次发生冒顶造成人身伤亡；支架上方出现掉顶时，应及时拉移超前支架，掉顶高度达到1m及以上时，需用木料等支护材料接顶或堵漏，并升架使木料严密接顶或封堵漏洞。</w:t>
      </w:r>
    </w:p>
    <w:p w14:paraId="1FC20F2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掘进工作面发生冒顶事故无人员被堵、压时，救援人员应全部撤至安全地点，根据现场情况先对冒顶区以外进行套棚或支“一梁三柱”顺向棚加固巷道，防止冒顶继续扩大，然后由外向里对冒顶区进行处理。加固巷道时，严格执行从外向里、先支后回的原则，严禁空顶作业，确保退路畅通。如果有人员被堵、压时，应及时架设“一梁三柱”顺向棚加固巷道防止事故进一步扩大，然后可开掘通往遇险人员的专用通道。顶板冒落范围不大时，如果遇险人员被大块矸石压住，可采用千斤顶等工具把大块岩石顶起，将人迅速救出。</w:t>
      </w:r>
    </w:p>
    <w:p w14:paraId="503EDD3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（6）掘进工作面冒落范围较小，矸石块度小，比较破碎，并且继续下落，采用撞楔法处理，控制住顶板。处理较大的冒顶必须逐架架棚支护，防止二次发生冒顶而造成人员伤亡。</w:t>
      </w:r>
    </w:p>
    <w:p w14:paraId="32CE6AE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（三）顶板（其他）事故应采取的处置措施</w:t>
      </w:r>
    </w:p>
    <w:p w14:paraId="10A2FB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参照以上措施进行处置。</w:t>
      </w:r>
    </w:p>
    <w:p w14:paraId="613805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5.3.2.3事故控制</w:t>
      </w:r>
    </w:p>
    <w:p w14:paraId="0A0662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（1）采掘工作面或其它地点发现有冒顶预兆时，现场人员必须停止作业，立即发出警报，撤出所有受冒顶威胁地点的人员，撤离时必须按指定的避灾路线撤离。</w:t>
      </w:r>
    </w:p>
    <w:p w14:paraId="6EAC7E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冒顶事故被堵人员不能安全撤离时，被困人员要保持清醒和镇定，减少氧气、热量等消耗，同时保持清醒头脑，稳定情绪，待顶板稳定后召集冒顶区以里有经验的人员，查看清楚冒顶情况，确定冒顶具体地点，看通讯是否畅通，通讯畅通时，首先第一时间向调度汇报具体冒顶地点，遇险人数，然后再仔细检查风水管路、电缆电线破坏情况，通风情况，水害情况，影响人身安全的其它危害因素，然后将详细情况向调度汇报。并尽力保持通风，或采取压风供风，保持通讯联络，保存用水，对冒顶边沿进行临时支护，争取生存空间，防止冒顶进一步扩大，并尽可能停掉电源，解除触电威胁。被堵人员创造相对良好的生存环境后，注意保存体力和精力，节约饮水、饮食、矿灯照明等生命保障物资，不断向外部发出救援联络信号，保持积极心态等待救援。</w:t>
      </w:r>
    </w:p>
    <w:p w14:paraId="7EFD69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（3）在矿山救护队监护下组织抢救遇险人员及处理冒顶工作。</w:t>
      </w:r>
    </w:p>
    <w:p w14:paraId="35C819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（4）调度室接到井下事故汇报后，调度员必须按照“调度员十项应急处置权”规定，立即通过井下语音广播系统、无线通讯系统、调度通讯系统等，3分钟通知到井下所有可能受事故波及区域人员撤离。</w:t>
      </w:r>
    </w:p>
    <w:p w14:paraId="5E7F868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5.3.2.4消防</w:t>
      </w:r>
    </w:p>
    <w:p w14:paraId="18A6D1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662AE7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5.3.2.5现场恢复</w:t>
      </w:r>
    </w:p>
    <w:p w14:paraId="5F8BA34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703D9E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440A474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174A8858">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w:t>
      </w:r>
      <w:r>
        <w:rPr>
          <w:rFonts w:ascii="仿宋_GB2312" w:hAnsi="仿宋_GB2312" w:eastAsia="仿宋_GB2312" w:cs="仿宋_GB2312"/>
          <w:b/>
          <w:bCs/>
          <w:snapToGrid w:val="0"/>
          <w:color w:val="auto"/>
          <w:kern w:val="0"/>
          <w:sz w:val="30"/>
          <w:szCs w:val="30"/>
          <w:highlight w:val="none"/>
        </w:rPr>
        <w:t>3.4 报警电话及相关救援单位联络</w:t>
      </w:r>
    </w:p>
    <w:p w14:paraId="68EAF00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7162BD5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3888A9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6ACE8EFF">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28D26380">
      <w:pPr>
        <w:spacing w:line="440" w:lineRule="exact"/>
        <w:ind w:firstLine="560" w:firstLineChars="200"/>
        <w:rPr>
          <w:rFonts w:ascii="仿宋_GB2312" w:hAnsi="仿宋_GB2312" w:eastAsia="仿宋_GB2312" w:cs="仿宋_GB2312"/>
          <w:color w:val="auto"/>
          <w:kern w:val="10"/>
          <w:sz w:val="30"/>
          <w:szCs w:val="30"/>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149BC4B5">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40" w:name="_Toc25366"/>
      <w:bookmarkStart w:id="441" w:name="_Toc26745"/>
      <w:bookmarkStart w:id="442" w:name="_Toc20334"/>
      <w:r>
        <w:rPr>
          <w:rFonts w:hint="eastAsia" w:ascii="楷体_GB2312" w:hAnsi="楷体_GB2312" w:eastAsia="楷体_GB2312" w:cs="楷体_GB2312"/>
          <w:color w:val="auto"/>
          <w:sz w:val="30"/>
          <w:szCs w:val="30"/>
          <w:highlight w:val="none"/>
        </w:rPr>
        <w:t>5.</w:t>
      </w:r>
      <w:r>
        <w:rPr>
          <w:rFonts w:ascii="楷体_GB2312" w:hAnsi="楷体_GB2312" w:eastAsia="楷体_GB2312" w:cs="楷体_GB2312"/>
          <w:color w:val="auto"/>
          <w:sz w:val="30"/>
          <w:szCs w:val="30"/>
          <w:highlight w:val="none"/>
        </w:rPr>
        <w:t>4 注意事项</w:t>
      </w:r>
      <w:bookmarkEnd w:id="440"/>
      <w:bookmarkEnd w:id="441"/>
      <w:bookmarkEnd w:id="442"/>
    </w:p>
    <w:p w14:paraId="726C5AF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5.4.1 人员防护</w:t>
      </w:r>
    </w:p>
    <w:p w14:paraId="5037EF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1E47B6C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5324C2D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326A6B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6EFBDB6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5.4.2 自救互救</w:t>
      </w:r>
    </w:p>
    <w:p w14:paraId="0E2283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冒顶事故现场自救和互救措施：</w:t>
      </w:r>
    </w:p>
    <w:p w14:paraId="4CA6986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①采掘工作面或其它地点发现有冒顶预兆时，现场人员必须停止作业，立即发出警报，撤出所有受冒顶威胁地点的人员，撤离时必须按指定的避灾路线撤离。</w:t>
      </w:r>
    </w:p>
    <w:p w14:paraId="090AD9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②当冒顶堵人无法撤离时，被困人员必须静卧，不得烦躁，减少氧气、热量等消耗，等待救援。</w:t>
      </w:r>
    </w:p>
    <w:p w14:paraId="1670AD8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③若巷道内有压风管，可打开压风管供人员呼吸，确保被困人员的安全，并经常敲打管路，向外报警。</w:t>
      </w:r>
    </w:p>
    <w:p w14:paraId="115FED7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④冒顶附近如有临时避险硐室或移动救生舱，被堵人员可进入临时避险硐室或移动救生舱，等待救援。</w:t>
      </w:r>
    </w:p>
    <w:p w14:paraId="5A444443">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5.4.3 装备使用</w:t>
      </w:r>
    </w:p>
    <w:p w14:paraId="7ADAFCF1">
      <w:pPr>
        <w:spacing w:line="440" w:lineRule="exact"/>
        <w:ind w:firstLine="60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10"/>
          <w:sz w:val="30"/>
          <w:szCs w:val="30"/>
          <w:highlight w:val="none"/>
        </w:rPr>
        <w:t>（</w:t>
      </w: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5D0C62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3EAA44B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1A6B3AE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0AF188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163A8E71">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5.4.4 现场安全</w:t>
      </w:r>
    </w:p>
    <w:p w14:paraId="159B11D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728973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1CCD5C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210B42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4A4076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303475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38A753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2BC640D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77778B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380B737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（10）进入避难硐室前，应在硐室外留有明显标志，以便救护队发现。</w:t>
      </w:r>
    </w:p>
    <w:p w14:paraId="18D2676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（11）待救时应保持冷静、不得急躁，以减少氧气消耗，保持体力。</w:t>
      </w:r>
    </w:p>
    <w:p w14:paraId="3B378E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（12）硐室内保留一盏灯照明，其余矿灯全部关闭。</w:t>
      </w:r>
    </w:p>
    <w:p w14:paraId="313CCE27">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43" w:name="_Toc12187"/>
      <w:bookmarkStart w:id="444" w:name="_Toc11828"/>
      <w:bookmarkStart w:id="445" w:name="_Toc4094"/>
      <w:r>
        <w:rPr>
          <w:rFonts w:hint="eastAsia" w:ascii="楷体_GB2312" w:hAnsi="楷体_GB2312" w:eastAsia="楷体_GB2312" w:cs="楷体_GB2312"/>
          <w:color w:val="auto"/>
          <w:sz w:val="30"/>
          <w:szCs w:val="30"/>
          <w:highlight w:val="none"/>
        </w:rPr>
        <w:t>5.5. 其他需要特别警示的事项</w:t>
      </w:r>
      <w:bookmarkEnd w:id="443"/>
      <w:bookmarkEnd w:id="444"/>
      <w:bookmarkEnd w:id="445"/>
    </w:p>
    <w:p w14:paraId="5F78B8D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249144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70C61C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713E58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1BC4D07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62E54CCB">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446" w:name="_Toc22673"/>
      <w:bookmarkStart w:id="447" w:name="_Toc9953"/>
      <w:r>
        <w:rPr>
          <w:rFonts w:hint="eastAsia" w:ascii="黑体" w:hAnsi="黑体" w:eastAsia="黑体" w:cs="黑体"/>
          <w:color w:val="auto"/>
          <w:sz w:val="30"/>
          <w:szCs w:val="30"/>
          <w:highlight w:val="none"/>
        </w:rPr>
        <w:t>6 冲击地压事故现场处置方案</w:t>
      </w:r>
      <w:bookmarkEnd w:id="446"/>
      <w:bookmarkEnd w:id="447"/>
    </w:p>
    <w:p w14:paraId="70F47EE4">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48" w:name="_Toc4239"/>
      <w:bookmarkStart w:id="449" w:name="_Toc2122"/>
      <w:r>
        <w:rPr>
          <w:rFonts w:hint="eastAsia" w:ascii="楷体_GB2312" w:hAnsi="楷体_GB2312" w:eastAsia="楷体_GB2312" w:cs="楷体_GB2312"/>
          <w:color w:val="auto"/>
          <w:sz w:val="30"/>
          <w:szCs w:val="30"/>
          <w:highlight w:val="none"/>
        </w:rPr>
        <w:t>6.1事故风险描述</w:t>
      </w:r>
      <w:bookmarkEnd w:id="448"/>
      <w:bookmarkEnd w:id="449"/>
    </w:p>
    <w:p w14:paraId="6E6F3B35">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6.1.1风险描述</w:t>
      </w:r>
    </w:p>
    <w:p w14:paraId="1B2BBCC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冲击地压影响因素主要有煤(岩)自身的物理力学性能和采深、地质构造应力、采煤方法、煤柱、巷道布置、开采顺序、放炮震动、顶板管理方法等。矿井主要可采煤层8层，分别为山西组的1、3-1、3-2、5、7、8煤层，太原组的9、10煤层。其中1、3-1、3-2、5、9煤为全区主要可采煤层。矿井于2023年12月、2024年10月、2025年6月委托中国矿业大学分别对1煤层、3上、3煤煤层、5煤层及其顶底板岩层进行冲击倾向性鉴定，结果为：1煤底板无冲击倾向性外，其他1煤、3上、3煤层及5煤的煤层顶底板岩层均为弱冲击倾向性；2023年10月矿井委托华北科技学院对1煤层、9煤层进行冲击危险性评价（修编），2024年5月矿井委托华北科技学院对3煤层、5煤层进行冲击危险性评价（修编），结果均为弱冲击危险性，2025年3月矿井委托华北科技学院对矿井（+750m水平）进行冲击危险性评价（修编），经评价为弱冲击地压危险；长城一矿整体评价为弱冲击地压矿井。浅部煤层冲击地压致灾性倾向较低，但不排除深部煤层具有冲击地压倾向性可能，因此矿井也有发生冲击地压灾害的可能性。采掘工作面在施工开采过程中受采动、采深、采空区及地质构造等因素的影响，存在冲击地压（坍塌、物体打击、其它）事故的风险。</w:t>
      </w:r>
    </w:p>
    <w:p w14:paraId="16876C2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w:t>
      </w:r>
      <w:r>
        <w:rPr>
          <w:rFonts w:ascii="仿宋_GB2312" w:hAnsi="仿宋_GB2312" w:eastAsia="仿宋_GB2312" w:cs="仿宋_GB2312"/>
          <w:b/>
          <w:bCs/>
          <w:snapToGrid w:val="0"/>
          <w:color w:val="auto"/>
          <w:kern w:val="0"/>
          <w:sz w:val="30"/>
          <w:szCs w:val="30"/>
          <w:highlight w:val="none"/>
        </w:rPr>
        <w:t>1.2 风险评估结果</w:t>
      </w:r>
    </w:p>
    <w:p w14:paraId="1161042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冲击地压（坍塌、物体打击、其它）事故</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3210B4FF">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50" w:name="_Toc29858"/>
      <w:bookmarkStart w:id="451" w:name="_Toc8816"/>
      <w:r>
        <w:rPr>
          <w:rFonts w:hint="eastAsia" w:ascii="楷体_GB2312" w:hAnsi="楷体_GB2312" w:eastAsia="楷体_GB2312" w:cs="楷体_GB2312"/>
          <w:color w:val="auto"/>
          <w:sz w:val="30"/>
          <w:szCs w:val="30"/>
          <w:highlight w:val="none"/>
        </w:rPr>
        <w:t>6.2 应急工作职责</w:t>
      </w:r>
      <w:bookmarkEnd w:id="450"/>
      <w:bookmarkEnd w:id="451"/>
    </w:p>
    <w:p w14:paraId="58BFF03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6.2.1 应急自救小组</w:t>
      </w:r>
    </w:p>
    <w:p w14:paraId="02BE1B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事故发生区队立即成立应急自救互救小组，负责组织实施事故应急处置和现场自救互救工作。</w:t>
      </w:r>
    </w:p>
    <w:p w14:paraId="4F1E579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组  长：灾害现场负责人</w:t>
      </w:r>
    </w:p>
    <w:p w14:paraId="4EAE1E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成  员：管理人员、班组长、安监员、现场作业人员</w:t>
      </w:r>
    </w:p>
    <w:p w14:paraId="4263A8E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w:t>
      </w:r>
      <w:r>
        <w:rPr>
          <w:rFonts w:ascii="仿宋_GB2312" w:hAnsi="仿宋_GB2312" w:eastAsia="仿宋_GB2312" w:cs="仿宋_GB2312"/>
          <w:b/>
          <w:bCs/>
          <w:snapToGrid w:val="0"/>
          <w:color w:val="auto"/>
          <w:kern w:val="0"/>
          <w:sz w:val="30"/>
          <w:szCs w:val="30"/>
          <w:highlight w:val="none"/>
        </w:rPr>
        <w:t>2.2 具体职责</w:t>
      </w:r>
    </w:p>
    <w:p w14:paraId="7D4C2DC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09A1E16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3C2C1F2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031DD10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0CBA937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3C750AD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 </w:t>
      </w:r>
      <w:r>
        <w:rPr>
          <w:rFonts w:ascii="仿宋_GB2312" w:hAnsi="仿宋_GB2312" w:eastAsia="仿宋_GB2312" w:cs="仿宋_GB2312"/>
          <w:color w:val="auto"/>
          <w:kern w:val="0"/>
          <w:sz w:val="28"/>
          <w:szCs w:val="28"/>
          <w:highlight w:val="none"/>
        </w:rPr>
        <w:t>（6）维护工：根据事故的严重程度，按照救援小组安排，负责维护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w:t>
      </w:r>
    </w:p>
    <w:p w14:paraId="2DD707B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运料工：出现紧急事故时随时待命，一旦接到通知，马上到达现场进行抢险工作，做到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026D8CB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（8）电工：听从指令，负责切断灾区电源。 </w:t>
      </w:r>
    </w:p>
    <w:p w14:paraId="7C43433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 xml:space="preserve">：负责事故现场人员撤离、警戒。 </w:t>
      </w:r>
    </w:p>
    <w:p w14:paraId="5BC930D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10</w:t>
      </w:r>
      <w:r>
        <w:rPr>
          <w:rFonts w:ascii="仿宋_GB2312" w:hAnsi="仿宋_GB2312" w:eastAsia="仿宋_GB2312" w:cs="仿宋_GB2312"/>
          <w:color w:val="auto"/>
          <w:kern w:val="0"/>
          <w:sz w:val="28"/>
          <w:szCs w:val="28"/>
          <w:highlight w:val="none"/>
        </w:rPr>
        <w:t>）现场作业人员：积极开展应急处置和自救互救。</w:t>
      </w:r>
    </w:p>
    <w:p w14:paraId="78579F89">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52" w:name="_Toc30263"/>
      <w:bookmarkStart w:id="453" w:name="_Toc30417"/>
      <w:r>
        <w:rPr>
          <w:rFonts w:hint="eastAsia" w:ascii="楷体_GB2312" w:hAnsi="楷体_GB2312" w:eastAsia="楷体_GB2312" w:cs="楷体_GB2312"/>
          <w:color w:val="auto"/>
          <w:sz w:val="30"/>
          <w:szCs w:val="30"/>
          <w:highlight w:val="none"/>
        </w:rPr>
        <w:t>6.3 应急处置</w:t>
      </w:r>
      <w:bookmarkEnd w:id="452"/>
      <w:bookmarkEnd w:id="453"/>
    </w:p>
    <w:p w14:paraId="2C20559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w:t>
      </w:r>
      <w:r>
        <w:rPr>
          <w:rFonts w:ascii="仿宋_GB2312" w:hAnsi="仿宋_GB2312" w:eastAsia="仿宋_GB2312" w:cs="仿宋_GB2312"/>
          <w:b/>
          <w:bCs/>
          <w:snapToGrid w:val="0"/>
          <w:color w:val="auto"/>
          <w:kern w:val="0"/>
          <w:sz w:val="30"/>
          <w:szCs w:val="30"/>
          <w:highlight w:val="none"/>
        </w:rPr>
        <w:t>3.1 事故应急处置程序</w:t>
      </w:r>
    </w:p>
    <w:p w14:paraId="086E03B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6ECFED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7ACD40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2BD66BA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启动现场处置方案的同时，根据综合应急预案应急响应分级启动上一级应急响应，按照专项预案程序进行处置；召请矿山救护队组织抢救，调度室立即通知医院医疗救护人员到达事故现场或到井口待命。</w:t>
      </w:r>
    </w:p>
    <w:p w14:paraId="0239B6E8">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523A6A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6.3.2.1人员救护</w:t>
      </w:r>
    </w:p>
    <w:p w14:paraId="55E95C8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发生事故后，现场人员要迅速了解或判明事故的地点、范围和危害程度，是否伤害人员，是否堵人，是否阻断通风系统，顶板事故是否有继续蔓延倾向，自己所处地点的巷道顶板安全情况、通风情况，并根据现场实际情况，确定撤退路线和避灾自救的方法，如无法保证自身安全，应立即撤至安全地点。</w:t>
      </w:r>
    </w:p>
    <w:p w14:paraId="73453A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撤退时，任何人无论在任何情况下都不要惊慌、不能乱跑。应在现场负责人及有经验的老工人带领下有组织地撤退。如有人员受伤，要及时组织救助，帮助撤离。撤退到顶板完好、通风良好地点，并及时向调度室汇报。报告内容简明、扼要，报告内容包括事故性质、时间、地点、范围、主要原因、伤亡情况和人员撤离情况等，并保持与调度室的联系。</w:t>
      </w:r>
    </w:p>
    <w:p w14:paraId="3BD92A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（3）抢救事故前，现场抢险救灾指挥部应根据现场情况制定抢救方案及安全技术措施。</w:t>
      </w:r>
    </w:p>
    <w:p w14:paraId="76D2A8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护队只有在确保救援人员安全的前提下，才能进入灾区抢险救灾。抢救遇险人员时，首先应通过电话、喊话、人员位置监测系统、生命探测仪或敲打煤岩体、管子等手段与遇险人员取得联系，探明冒顶范围和遇险人数及位置。</w:t>
      </w:r>
    </w:p>
    <w:p w14:paraId="7BA2B63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（5）营救人员应根据灾情和现有条件进行施工，行动中必须保证统一的指挥和严密的组织，避免次生事故的发生。</w:t>
      </w:r>
    </w:p>
    <w:p w14:paraId="43C0E4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（6）医疗救护组要安排医务人员携带必要的抢险医药器具及时到达井口待命，必要时到达井下事故现场，对抢救出的受伤人员进行紧急医疗救治或护送上井救治。</w:t>
      </w:r>
    </w:p>
    <w:p w14:paraId="3C845C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出伤员后，必须判断伤情的轻重，人员较多时先抢救重伤人员，后抢救轻伤人员，要认真执行“三先三后”的原则：即对窒息或心跳呼吸停止不久的伤员必须先复苏后搬运，对出血伤员必须先止血后搬运，对骨伤的伤员必须先固定后搬运。</w:t>
      </w:r>
    </w:p>
    <w:p w14:paraId="61FE7B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（8）抢救出的遇险人员，要用毯子保温，对长期困在井下人员，不要用灯光照射眼睛；对受困或受挤压时间较长人员，按照医疗救护人员的指导采取有利于救治的对应措施。</w:t>
      </w:r>
    </w:p>
    <w:p w14:paraId="2D743E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6.3.2.2工艺操作</w:t>
      </w:r>
    </w:p>
    <w:p w14:paraId="038CFDE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处理冲击地压事故前，必须先恢复巷道破坏区域的正常通风，如暂不能恢复时，可利用水管、压风管等向被堵压人员处输送新鲜空气，并把后路和顶板清理维护好，保证后路畅通、安全，确保救援人员安全。</w:t>
      </w:r>
    </w:p>
    <w:p w14:paraId="0177966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（2）处理冲击地压事故时，必须坚持由外向里、先顶后帮、逐步前进的原则，检查冒顶地点附近的巷道支护情况，采取措施加固，确保支护质量，防止二次冒顶。</w:t>
      </w:r>
    </w:p>
    <w:p w14:paraId="53D076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（3）处理冲击地压事故中，要始终设专人检查瓦斯和观察顶帮情况，发现异常应立即撤出人员。</w:t>
      </w:r>
    </w:p>
    <w:p w14:paraId="6306B3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处理冒顶区的方法要根据现场情况确定，采煤工作面发生局部冒顶时，一般采用掏梁窝，使用单腿棚或悬挂金属顶梁处理；大面积冒顶时可采用整巷法及开掘补巷法绕过冒顶区。掘进工作面处理垮落巷道的方法有：木垛法、搭凉棚法、撞楔法、打绕道法。</w:t>
      </w:r>
    </w:p>
    <w:p w14:paraId="3559D8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如冒顶严重无法通过时，可采取打绕道的方法抢救人员。若遇险者被碎煤矸埋压，清理时要小心使用工具；若遇险者被煤岩块压住，应用千斤顶或液压起重器等工具把煤、岩块抬起。抢救被埋压的人员时间较长时，可通过管路向遇险人员送饮料或食物。</w:t>
      </w:r>
    </w:p>
    <w:p w14:paraId="1B0DA9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（5）事故单位在抢救过程中有困难时，如事故不能达到及时控制以及有扩大趋势时，由总指挥部决定请求外援。</w:t>
      </w:r>
    </w:p>
    <w:p w14:paraId="7B9FC28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6.3.2.3事故控制</w:t>
      </w:r>
    </w:p>
    <w:p w14:paraId="036C94D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（1）有冲击地压危险情况时，井下采掘作业地点出现强烈震动、巨响、瞬间底（帮）鼓、煤岩弹射等动力现象时，现场和波及范围内的其他作业地点作业人员必须立即停止作业，停电撤人</w:t>
      </w:r>
      <w:r>
        <w:rPr>
          <w:rFonts w:hint="eastAsia" w:ascii="仿宋_GB2312" w:hAnsi="仿宋_GB2312" w:eastAsia="仿宋_GB2312" w:cs="仿宋_GB2312"/>
          <w:color w:val="auto"/>
          <w:kern w:val="0"/>
          <w:sz w:val="28"/>
          <w:szCs w:val="28"/>
          <w:highlight w:val="none"/>
        </w:rPr>
        <w:t>。</w:t>
      </w:r>
    </w:p>
    <w:p w14:paraId="6B8B8BD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（2）营救人员应根据灾情和现有条件进行施工，行动中必须保证统一的指挥和严密的组织，避免二次事故的发生。</w:t>
      </w:r>
    </w:p>
    <w:p w14:paraId="2673A2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6.3.2.4消防</w:t>
      </w:r>
    </w:p>
    <w:p w14:paraId="0A47E7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4649D1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6.3.2.5现场恢复</w:t>
      </w:r>
    </w:p>
    <w:p w14:paraId="77E216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6D4908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599CB9C9">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0C18ADE6">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w:t>
      </w:r>
      <w:r>
        <w:rPr>
          <w:rFonts w:ascii="仿宋_GB2312" w:hAnsi="仿宋_GB2312" w:eastAsia="仿宋_GB2312" w:cs="仿宋_GB2312"/>
          <w:b/>
          <w:bCs/>
          <w:snapToGrid w:val="0"/>
          <w:color w:val="auto"/>
          <w:kern w:val="0"/>
          <w:sz w:val="30"/>
          <w:szCs w:val="30"/>
          <w:highlight w:val="none"/>
        </w:rPr>
        <w:t>3.4 报警电话及相关救援单位联络</w:t>
      </w:r>
    </w:p>
    <w:p w14:paraId="1350F44B">
      <w:pPr>
        <w:spacing w:line="520" w:lineRule="exact"/>
        <w:ind w:firstLine="60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事故现场报警负责人：灾害现场负责人。</w:t>
      </w:r>
    </w:p>
    <w:p w14:paraId="2A57A27E">
      <w:pPr>
        <w:spacing w:line="520" w:lineRule="exact"/>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事故报警联系方式：</w:t>
      </w:r>
    </w:p>
    <w:p w14:paraId="4C6BFD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2CC41C39">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2C63B269">
      <w:pPr>
        <w:spacing w:line="520" w:lineRule="exact"/>
        <w:ind w:firstLine="60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事故报告的基本要求和内容：</w:t>
      </w:r>
      <w:r>
        <w:rPr>
          <w:rFonts w:ascii="仿宋_GB2312" w:hAnsi="仿宋_GB2312" w:eastAsia="仿宋_GB2312" w:cs="仿宋_GB2312"/>
          <w:color w:val="auto"/>
          <w:sz w:val="30"/>
          <w:szCs w:val="30"/>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sz w:val="30"/>
          <w:szCs w:val="30"/>
          <w:highlight w:val="none"/>
        </w:rPr>
        <w:t>。</w:t>
      </w:r>
      <w:r>
        <w:rPr>
          <w:rFonts w:ascii="仿宋_GB2312" w:hAnsi="仿宋_GB2312" w:eastAsia="仿宋_GB2312" w:cs="仿宋_GB2312"/>
          <w:color w:val="auto"/>
          <w:sz w:val="30"/>
          <w:szCs w:val="30"/>
          <w:highlight w:val="none"/>
        </w:rPr>
        <w:t>需要矿有关部门单位协助事故抢救和处理的有关事宜等</w:t>
      </w:r>
      <w:r>
        <w:rPr>
          <w:rFonts w:hint="eastAsia" w:ascii="仿宋_GB2312" w:hAnsi="仿宋_GB2312" w:eastAsia="仿宋_GB2312" w:cs="仿宋_GB2312"/>
          <w:color w:val="auto"/>
          <w:sz w:val="30"/>
          <w:szCs w:val="30"/>
          <w:highlight w:val="none"/>
        </w:rPr>
        <w:t>，</w:t>
      </w:r>
      <w:r>
        <w:rPr>
          <w:rFonts w:ascii="仿宋_GB2312" w:hAnsi="仿宋_GB2312" w:eastAsia="仿宋_GB2312" w:cs="仿宋_GB2312"/>
          <w:color w:val="auto"/>
          <w:sz w:val="30"/>
          <w:szCs w:val="30"/>
          <w:highlight w:val="none"/>
        </w:rPr>
        <w:t>严格按照事故报告时限和要求上报。</w:t>
      </w:r>
    </w:p>
    <w:p w14:paraId="301D7824">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54" w:name="_Toc12865"/>
      <w:bookmarkStart w:id="455" w:name="_Toc14178"/>
      <w:r>
        <w:rPr>
          <w:rFonts w:hint="eastAsia" w:ascii="楷体_GB2312" w:hAnsi="楷体_GB2312" w:eastAsia="楷体_GB2312" w:cs="楷体_GB2312"/>
          <w:color w:val="auto"/>
          <w:sz w:val="30"/>
          <w:szCs w:val="30"/>
          <w:highlight w:val="none"/>
        </w:rPr>
        <w:t>6.4 注意事项</w:t>
      </w:r>
      <w:bookmarkEnd w:id="454"/>
      <w:bookmarkEnd w:id="455"/>
    </w:p>
    <w:p w14:paraId="54953AF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6.4.1 人员防护</w:t>
      </w:r>
    </w:p>
    <w:p w14:paraId="6BF19E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21104D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093782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6866522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1EF76C4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6.4.2 自救互救</w:t>
      </w:r>
    </w:p>
    <w:p w14:paraId="6B87340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（1）自救与互救原则：安全撤离，妥善避险；沉着冷静，控制情绪；互相鼓励，互相帮助；团结协作，服从指挥。</w:t>
      </w:r>
    </w:p>
    <w:p w14:paraId="0D097FF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（2）班组长应当具备兼职救护队员的知识和能力，能够在发生险情后第一时间组织作业人员自救互救和安全避险。</w:t>
      </w:r>
    </w:p>
    <w:p w14:paraId="2B7A4CD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（3）救援人员必须认真按救援方案和救护安全措施执行，确保自身安全。</w:t>
      </w:r>
    </w:p>
    <w:p w14:paraId="7C77AE7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（4）煤矿作业人员必须熟悉应急救援预案和避灾路线，具有自救互救和安全避险知识，训练掌握自救器和紧急避险设施的使用方法。</w:t>
      </w:r>
    </w:p>
    <w:p w14:paraId="17E13A8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（5）采掘工作面或其它地点发现有冲击地压预兆时，现场人员必须停止作业，立即发出警报，撤出所有受冲击地压威胁地点的人员，撤离时必须按指定的避灾路线撤离。</w:t>
      </w:r>
    </w:p>
    <w:p w14:paraId="2B4A820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（6）当冲击地压堵人无法撤离时，被困人员尽量静卧，不得烦躁，减少氧气、热量等消耗，等待救援。</w:t>
      </w:r>
    </w:p>
    <w:p w14:paraId="7BE7692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（7）若巷道内有压风管，可打开压风管供人员呼吸，确保被困人员的安全，并经常敲打管路，向外报警。</w:t>
      </w:r>
    </w:p>
    <w:p w14:paraId="1996C54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（8）冲击地压事故现场附近如有临时避险硐室或移动救生舱，被堵人员可进入临时避险硐室或移动救生舱，等待救援</w:t>
      </w:r>
    </w:p>
    <w:p w14:paraId="7A1DF8F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6.4.3 装备使用</w:t>
      </w:r>
    </w:p>
    <w:p w14:paraId="6B71785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47E2D3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45EDB7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3DB2CD4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41FD9B6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312B935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6.4.4 现场安全</w:t>
      </w:r>
    </w:p>
    <w:p w14:paraId="0E0437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201E79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0F3F16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1A4AF8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4C7CBC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7632D3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2ED1A6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391B6F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45073E7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0691ABA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（10）进入避难硐室前，应在硐室外留有明显标志，以便救护队发现。</w:t>
      </w:r>
    </w:p>
    <w:p w14:paraId="655F36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（11）待救时应保持冷静、不得急躁，以减少氧气消耗，保持体力。</w:t>
      </w:r>
    </w:p>
    <w:p w14:paraId="6C81AE0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（12）硐室内保留一盏灯照明，其余矿灯全部关闭。</w:t>
      </w:r>
    </w:p>
    <w:p w14:paraId="67EFD0A7">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56" w:name="_Toc2562"/>
      <w:bookmarkStart w:id="457" w:name="_Toc7477"/>
      <w:r>
        <w:rPr>
          <w:rFonts w:hint="eastAsia" w:ascii="楷体_GB2312" w:hAnsi="楷体_GB2312" w:eastAsia="楷体_GB2312" w:cs="楷体_GB2312"/>
          <w:color w:val="auto"/>
          <w:sz w:val="30"/>
          <w:szCs w:val="30"/>
          <w:highlight w:val="none"/>
        </w:rPr>
        <w:t>6.5 其他需要特别警示的事项</w:t>
      </w:r>
      <w:bookmarkEnd w:id="456"/>
      <w:bookmarkEnd w:id="457"/>
    </w:p>
    <w:p w14:paraId="37B407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3176CCA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20028C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10AA6FE2">
      <w:pPr>
        <w:spacing w:line="440" w:lineRule="exact"/>
        <w:ind w:firstLine="560" w:firstLineChars="200"/>
        <w:rPr>
          <w:rFonts w:ascii="仿宋" w:hAnsi="仿宋" w:eastAsia="仿宋" w:cs="仿宋"/>
          <w:b/>
          <w:color w:val="auto"/>
          <w:kern w:val="0"/>
          <w:sz w:val="32"/>
          <w:szCs w:val="28"/>
          <w:highlight w:val="none"/>
          <w:shd w:val="clear" w:color="auto" w:fill="FFFFFF"/>
        </w:rPr>
      </w:pPr>
      <w:r>
        <w:rPr>
          <w:rFonts w:hint="eastAsia" w:ascii="仿宋_GB2312" w:hAnsi="仿宋_GB2312" w:eastAsia="仿宋_GB2312" w:cs="仿宋_GB2312"/>
          <w:color w:val="auto"/>
          <w:kern w:val="0"/>
          <w:sz w:val="28"/>
          <w:szCs w:val="28"/>
          <w:highlight w:val="none"/>
        </w:rPr>
        <w:t>（4）事故现场人员撤离路线变化等重要地点标识。</w:t>
      </w:r>
    </w:p>
    <w:p w14:paraId="66FE97D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0821FC9C">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458" w:name="_Toc11539"/>
      <w:bookmarkStart w:id="459" w:name="_Toc6864"/>
      <w:r>
        <w:rPr>
          <w:rFonts w:hint="eastAsia" w:ascii="黑体" w:hAnsi="黑体" w:eastAsia="黑体" w:cs="黑体"/>
          <w:color w:val="auto"/>
          <w:sz w:val="30"/>
          <w:szCs w:val="30"/>
          <w:highlight w:val="none"/>
        </w:rPr>
        <w:t>7 主要通风机停止运转事故现场处置方案</w:t>
      </w:r>
      <w:bookmarkEnd w:id="458"/>
      <w:bookmarkEnd w:id="459"/>
    </w:p>
    <w:p w14:paraId="5288D979">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60" w:name="_Toc21387"/>
      <w:bookmarkStart w:id="461" w:name="_Toc1874"/>
      <w:r>
        <w:rPr>
          <w:rFonts w:hint="eastAsia" w:ascii="楷体_GB2312" w:hAnsi="楷体_GB2312" w:eastAsia="楷体_GB2312" w:cs="楷体_GB2312"/>
          <w:color w:val="auto"/>
          <w:sz w:val="30"/>
          <w:szCs w:val="30"/>
          <w:highlight w:val="none"/>
        </w:rPr>
        <w:t>7.1 事故风险描述</w:t>
      </w:r>
      <w:bookmarkEnd w:id="460"/>
      <w:bookmarkEnd w:id="461"/>
    </w:p>
    <w:p w14:paraId="0927B74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7.1.1 风险描述</w:t>
      </w:r>
    </w:p>
    <w:p w14:paraId="2401D9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汛期雷电较多，当雷电落在供电线路上，可能击穿设备或线路绝缘，造成供电线路中断，导致主要通风机停止运转；当暴雨和大风同时发生时，可能造成架线供电线路中断，导致主要通风机停止运转；主要通风机电器故障、主要通风机机械本身等故障，可能导致主通风机不能正常运转，致使通风机无计划停风。通风机发生无计划停风时，矿井失去通风能力，造成局部通风机循环风，采煤工作面及机电硐室风量不足，将会引起井下瓦斯积聚、超限，或缺氧造成人员窒息。当其它条件具备的情况下，会发生瓦斯或煤尘灾害。</w:t>
      </w:r>
    </w:p>
    <w:p w14:paraId="68EA2C2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w:t>
      </w:r>
      <w:r>
        <w:rPr>
          <w:rFonts w:ascii="仿宋_GB2312" w:hAnsi="仿宋_GB2312" w:eastAsia="仿宋_GB2312" w:cs="仿宋_GB2312"/>
          <w:b/>
          <w:bCs/>
          <w:snapToGrid w:val="0"/>
          <w:color w:val="auto"/>
          <w:kern w:val="0"/>
          <w:sz w:val="30"/>
          <w:szCs w:val="30"/>
          <w:highlight w:val="none"/>
        </w:rPr>
        <w:t>1.2 风险评估结果</w:t>
      </w:r>
    </w:p>
    <w:p w14:paraId="42C38FD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主通风机停止运转</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1D07D7B3">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62" w:name="_Toc3555"/>
      <w:bookmarkStart w:id="463" w:name="_Toc26708"/>
      <w:r>
        <w:rPr>
          <w:rFonts w:hint="eastAsia" w:ascii="楷体_GB2312" w:hAnsi="楷体_GB2312" w:eastAsia="楷体_GB2312" w:cs="楷体_GB2312"/>
          <w:color w:val="auto"/>
          <w:sz w:val="30"/>
          <w:szCs w:val="30"/>
          <w:highlight w:val="none"/>
        </w:rPr>
        <w:t>7.2 应急工作职责</w:t>
      </w:r>
      <w:bookmarkEnd w:id="462"/>
      <w:bookmarkEnd w:id="463"/>
    </w:p>
    <w:p w14:paraId="18DAB11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w:t>
      </w:r>
      <w:r>
        <w:rPr>
          <w:rFonts w:ascii="仿宋_GB2312" w:hAnsi="仿宋_GB2312" w:eastAsia="仿宋_GB2312" w:cs="仿宋_GB2312"/>
          <w:b/>
          <w:bCs/>
          <w:snapToGrid w:val="0"/>
          <w:color w:val="auto"/>
          <w:kern w:val="0"/>
          <w:sz w:val="30"/>
          <w:szCs w:val="30"/>
          <w:highlight w:val="none"/>
        </w:rPr>
        <w:t>2.1 应急自救小组</w:t>
      </w:r>
    </w:p>
    <w:p w14:paraId="0F807D2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7C291DF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144EEC9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7387630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w:t>
      </w:r>
      <w:r>
        <w:rPr>
          <w:rFonts w:ascii="仿宋_GB2312" w:hAnsi="仿宋_GB2312" w:eastAsia="仿宋_GB2312" w:cs="仿宋_GB2312"/>
          <w:b/>
          <w:bCs/>
          <w:snapToGrid w:val="0"/>
          <w:color w:val="auto"/>
          <w:kern w:val="0"/>
          <w:sz w:val="30"/>
          <w:szCs w:val="30"/>
          <w:highlight w:val="none"/>
        </w:rPr>
        <w:t>2.2 具体职责</w:t>
      </w:r>
    </w:p>
    <w:p w14:paraId="35EA84D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74ACE7E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390E8464">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1AF0E36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1E928C7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（5）管理人员：根据事故性质和严重程度，组织现场人员进行应急处置，若事态扩大，立即请求增援。</w:t>
      </w:r>
    </w:p>
    <w:p w14:paraId="020228D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rPr>
        <w:t>维修</w:t>
      </w:r>
      <w:r>
        <w:rPr>
          <w:rFonts w:ascii="仿宋_GB2312" w:hAnsi="仿宋_GB2312" w:eastAsia="仿宋_GB2312" w:cs="仿宋_GB2312"/>
          <w:color w:val="auto"/>
          <w:kern w:val="0"/>
          <w:sz w:val="28"/>
          <w:szCs w:val="28"/>
          <w:highlight w:val="none"/>
        </w:rPr>
        <w:t>工：根据事故的严重程度，按照救援小组安排，负责</w:t>
      </w:r>
      <w:r>
        <w:rPr>
          <w:rFonts w:hint="eastAsia" w:ascii="仿宋_GB2312" w:hAnsi="仿宋_GB2312" w:eastAsia="仿宋_GB2312" w:cs="仿宋_GB2312"/>
          <w:color w:val="auto"/>
          <w:kern w:val="0"/>
          <w:sz w:val="28"/>
          <w:szCs w:val="28"/>
          <w:highlight w:val="none"/>
        </w:rPr>
        <w:t>设备设施维修</w:t>
      </w:r>
      <w:r>
        <w:rPr>
          <w:rFonts w:ascii="仿宋_GB2312" w:hAnsi="仿宋_GB2312" w:eastAsia="仿宋_GB2312" w:cs="仿宋_GB2312"/>
          <w:color w:val="auto"/>
          <w:kern w:val="0"/>
          <w:sz w:val="28"/>
          <w:szCs w:val="28"/>
          <w:highlight w:val="none"/>
        </w:rPr>
        <w:t>。</w:t>
      </w:r>
    </w:p>
    <w:p w14:paraId="7474C7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（7）电工：听从指令，负责电气设备停送电管理，设备设施电气系统维修。</w:t>
      </w:r>
    </w:p>
    <w:p w14:paraId="15698B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：负责事故现场人员应急处置监督。</w:t>
      </w:r>
    </w:p>
    <w:p w14:paraId="746B1F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ascii="仿宋_GB2312" w:hAnsi="仿宋_GB2312" w:eastAsia="仿宋_GB2312" w:cs="仿宋_GB2312"/>
          <w:color w:val="auto"/>
          <w:kern w:val="0"/>
          <w:sz w:val="28"/>
          <w:szCs w:val="28"/>
          <w:highlight w:val="none"/>
        </w:rPr>
        <w:t>现场作业人员：积极开展应急处置</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141BE8A4">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64" w:name="_Toc1453"/>
      <w:bookmarkStart w:id="465" w:name="_Toc13502"/>
      <w:r>
        <w:rPr>
          <w:rFonts w:hint="eastAsia" w:ascii="楷体_GB2312" w:hAnsi="楷体_GB2312" w:eastAsia="楷体_GB2312" w:cs="楷体_GB2312"/>
          <w:color w:val="auto"/>
          <w:sz w:val="30"/>
          <w:szCs w:val="30"/>
          <w:highlight w:val="none"/>
        </w:rPr>
        <w:t>7.3 应急处置</w:t>
      </w:r>
      <w:bookmarkEnd w:id="464"/>
      <w:bookmarkEnd w:id="465"/>
    </w:p>
    <w:p w14:paraId="0730DA0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w:t>
      </w:r>
      <w:r>
        <w:rPr>
          <w:rFonts w:ascii="仿宋_GB2312" w:hAnsi="仿宋_GB2312" w:eastAsia="仿宋_GB2312" w:cs="仿宋_GB2312"/>
          <w:b/>
          <w:bCs/>
          <w:snapToGrid w:val="0"/>
          <w:color w:val="auto"/>
          <w:kern w:val="0"/>
          <w:sz w:val="30"/>
          <w:szCs w:val="30"/>
          <w:highlight w:val="none"/>
        </w:rPr>
        <w:t>3.1 事故应急处置程序</w:t>
      </w:r>
    </w:p>
    <w:p w14:paraId="3A328A3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值班领导、分管领导和总经理，详细汇报事故发生的性质、时间、地点、灾区人数，危害程度及现状；积极组织自救互救。</w:t>
      </w:r>
    </w:p>
    <w:p w14:paraId="06ABDA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在10min内完成事故处置，调度室立即命令井下作业人员组织人员停电撤人至安全地点。调度室立即向当日值班领导、总经理、分管领导汇报，通知带班、包保等专业科室及区队管理人员达到现场处置。</w:t>
      </w:r>
    </w:p>
    <w:p w14:paraId="5C83A9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515CA9C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上一级应急预案进入预备状态。根据综合应急预案应急响应分级，达到启动上一级应急响应时，按照专项预案程序进行处置；召请矿山救护队组织抢救，调度室立即通知医院医疗救护人员到达事故现场或到井口待命。</w:t>
      </w:r>
    </w:p>
    <w:p w14:paraId="7BF682C5">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50E9AEB5">
      <w:pPr>
        <w:spacing w:line="520" w:lineRule="exact"/>
        <w:ind w:firstLine="60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7.3.2.1人员救护</w:t>
      </w:r>
    </w:p>
    <w:p w14:paraId="5D0390C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（1）现场发生事故后，现场人员要迅速了解或判明事故的地点、范围和危害程度，根据现场实际情况，确定撤退路线和避灾自救的方法，如无法保证自身安全，应立即撤至安全地点。</w:t>
      </w:r>
    </w:p>
    <w:p w14:paraId="609EC8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撤退时，任何人无论在任何情况下都不要惊慌、不能乱跑。应在现场负责人及有经验的老工人带领下有组织地撤退。如有人员受伤，要及时组织救助，帮助撤离。撤退到顶板完好、通风良好地点，并及时向调度室汇报。报告内容简明、扼要，报告内容包括事故性质、时间、地点、范围、主要原因、伤亡情况和人员撤离情况等，并保持与调度室的联系。</w:t>
      </w:r>
    </w:p>
    <w:p w14:paraId="1B35BC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（3）抢救事故前，现场抢险救灾指挥部应根据现场情况制定抢救方案及安全技术措施。</w:t>
      </w:r>
    </w:p>
    <w:p w14:paraId="62090B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护队只有在确保救援人员安全的前提下，才能进入灾区抢险救灾。抢救遇险人员时，首先应通过电话、喊话、人员位置监测系统、生命探测仪或敲打煤岩体、管子等手段与遇险人员取得联系，探明冒顶范围和遇险人数及位置。</w:t>
      </w:r>
    </w:p>
    <w:p w14:paraId="27B18EB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（5）营救人员应根据灾情和现有条件进行施工，行动中必须保证统一的指挥和严密的组织，避免次生事故的发生。</w:t>
      </w:r>
    </w:p>
    <w:p w14:paraId="63DE1C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（6）医疗救护组要安排医务人员携带必要的抢险医药器具及时到达井口待命，必要时到达井下事故现场，对抢救出的受伤人员进行紧急医疗救治或护送上井救治。</w:t>
      </w:r>
    </w:p>
    <w:p w14:paraId="0BC09E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出伤员后，必须判断伤情的轻重，人员较多时先抢救重伤人员，后抢救轻伤人员，要认真执行“三先三后”的原则：即对窒息或心跳呼吸停止不久的伤员必须先复苏后搬运，对出血伤员必须先止血后搬运，对骨伤的伤员必须先固定后搬运。</w:t>
      </w:r>
    </w:p>
    <w:p w14:paraId="0E6145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（8）抢救出的遇险人员，要用毯子保温，对长期困在井下人员，不要用灯光照射眼睛；对受困或受挤压时间较长人员，按照医疗救护人员的指导采取有利于救治的对应措施。</w:t>
      </w:r>
    </w:p>
    <w:p w14:paraId="146276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7.3.2.2工艺操作</w:t>
      </w:r>
    </w:p>
    <w:p w14:paraId="2C4FC1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主要通风机发生故障后，主要通风机司机立即向调度室和本单位值班室汇报，矿调度员接到汇报后要立即汇报矿值班领导，命令通风机司机立即启动备用通风机，确保10min内切换至备用通风机恢复正常通风，并安排维修人员立即对故障进行处理。</w:t>
      </w:r>
    </w:p>
    <w:p w14:paraId="6D63697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若在10分钟内主通风机不能重新启动或备用通风机不能正常启动时，命令主要通风机司机打开风井井筒防爆盖或防爆门，充分利用自然风压通风。立即汇报总工程师、机电矿长、矿长，启动应急预案，通知井下所有采掘工作面必须立即停止作业，切断电源，并停止局部通风机运转。同时，调度员立即通过井下语音广播系统、调度通讯系统等，3分钟通知到井下所有人员撤离，调度室要利用井下人员定位系统对井下人员撤离情况进行监测，准确掌握井下人员的撤离情况。</w:t>
      </w:r>
    </w:p>
    <w:p w14:paraId="7CE4B9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矿领导及维修人员应迅速赶到事故现场，查明事故原因，以最快的速度排除故障恢复通风机运行。如故障不能立即处理完毕，要立刻汇报调度室，说明故障原因及采取的处理措施，并积极组织人员及材料进行抢修。</w:t>
      </w:r>
    </w:p>
    <w:p w14:paraId="766212E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（4）矿井主要通风机恢复正常运转后，井下受停风影响的地点必须先检查气体情况，没有采取停电措施的，经检查甲烷浓度不超过1.0%、二氧化碳不超过1.5%且其他气体符合规程规定的，方可恢复正常工作。</w:t>
      </w:r>
    </w:p>
    <w:p w14:paraId="7E5C15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（5）采取了停电措施的采煤工作面，在恢复供电前，必须先检查气体情况，只有采煤工作面甲烷浓度不超过1.0%、二氧化碳不超过1.5%且其他气体符合规程规定时，方可恢复采煤面的正常工作。</w:t>
      </w:r>
    </w:p>
    <w:p w14:paraId="5B027C5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（6）采取了停电措施的掘进工作面甲烷浓度不超过1.0%、二氧化碳不超过1.5%，且局部通风机及其开关附近10m以内风流中甲烷和二氧化碳浓度都不超过0.5%时，方可开启局部通风机，恢复正常供风。</w:t>
      </w:r>
    </w:p>
    <w:p w14:paraId="620D71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（7）井下停风区中甲烷浓度超过1.0%或二氧化碳浓度超过1.5%，最高甲烷浓度和二氧化碳浓度不超过3%时，必须采取安全措施，由救护队控制风流排放瓦斯。</w:t>
      </w:r>
    </w:p>
    <w:p w14:paraId="107081E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主要通风机恢复通风后，专职瓦斯检查员或救护队员按照技术规定对机电硐室、采煤工作面及有机电设备的回风巷道严格进行瓦斯检查，报调度室，由应急救援指挥部确定是否恢复送电、生产。复电浓度如下：</w:t>
      </w:r>
    </w:p>
    <w:tbl>
      <w:tblPr>
        <w:tblStyle w:val="5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57"/>
        <w:gridCol w:w="1558"/>
        <w:gridCol w:w="4740"/>
      </w:tblGrid>
      <w:tr w14:paraId="2AEBF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1444" w:type="pct"/>
            <w:vAlign w:val="center"/>
          </w:tcPr>
          <w:p w14:paraId="784EB88D">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设置地点</w:t>
            </w:r>
          </w:p>
        </w:tc>
        <w:tc>
          <w:tcPr>
            <w:tcW w:w="880" w:type="pct"/>
            <w:vAlign w:val="center"/>
          </w:tcPr>
          <w:p w14:paraId="4288BC41">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复电浓度/％</w:t>
            </w:r>
          </w:p>
        </w:tc>
        <w:tc>
          <w:tcPr>
            <w:tcW w:w="2676" w:type="pct"/>
            <w:vAlign w:val="center"/>
          </w:tcPr>
          <w:p w14:paraId="00CB2AB4">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复电范围</w:t>
            </w:r>
          </w:p>
        </w:tc>
      </w:tr>
      <w:tr w14:paraId="76251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1A6F7546">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采煤工作面回风隅角</w:t>
            </w:r>
          </w:p>
        </w:tc>
        <w:tc>
          <w:tcPr>
            <w:tcW w:w="880" w:type="pct"/>
            <w:vAlign w:val="center"/>
          </w:tcPr>
          <w:p w14:paraId="22A92C0E">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7D84F92C">
            <w:pPr>
              <w:pStyle w:val="40"/>
              <w:spacing w:before="132"/>
              <w:ind w:left="108"/>
              <w:jc w:val="left"/>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val="en-US" w:bidi="ar"/>
              </w:rPr>
              <w:t>工作面及其回风巷内全部非</w:t>
            </w:r>
            <w:r>
              <w:rPr>
                <w:rFonts w:ascii="仿宋" w:hAnsi="仿宋" w:eastAsia="仿宋" w:cs="仿宋_GB2312"/>
                <w:color w:val="auto"/>
                <w:kern w:val="0"/>
                <w:szCs w:val="21"/>
                <w:highlight w:val="none"/>
                <w:lang w:bidi="ar"/>
              </w:rPr>
              <w:t>本质安全型电气设备</w:t>
            </w:r>
          </w:p>
        </w:tc>
      </w:tr>
      <w:tr w14:paraId="32FF2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62032619">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采煤工作面</w:t>
            </w:r>
          </w:p>
        </w:tc>
        <w:tc>
          <w:tcPr>
            <w:tcW w:w="880" w:type="pct"/>
            <w:vAlign w:val="center"/>
          </w:tcPr>
          <w:p w14:paraId="2BEA9617">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576CEE0A">
            <w:pPr>
              <w:pStyle w:val="40"/>
              <w:spacing w:before="134"/>
              <w:ind w:left="108"/>
              <w:jc w:val="left"/>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val="en-US" w:bidi="ar"/>
              </w:rPr>
              <w:t>工作面及其回风巷内全部非</w:t>
            </w:r>
            <w:r>
              <w:rPr>
                <w:rFonts w:ascii="仿宋" w:hAnsi="仿宋" w:eastAsia="仿宋" w:cs="仿宋_GB2312"/>
                <w:color w:val="auto"/>
                <w:kern w:val="0"/>
                <w:szCs w:val="21"/>
                <w:highlight w:val="none"/>
                <w:lang w:bidi="ar"/>
              </w:rPr>
              <w:t>本质安全型电气设备</w:t>
            </w:r>
          </w:p>
        </w:tc>
      </w:tr>
      <w:tr w14:paraId="67628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7449E2A1">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采煤工作面回风巷</w:t>
            </w:r>
          </w:p>
        </w:tc>
        <w:tc>
          <w:tcPr>
            <w:tcW w:w="880" w:type="pct"/>
            <w:vAlign w:val="center"/>
          </w:tcPr>
          <w:p w14:paraId="18B01A17">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14BC433A">
            <w:pPr>
              <w:pStyle w:val="40"/>
              <w:spacing w:before="133"/>
              <w:ind w:left="108"/>
              <w:jc w:val="left"/>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val="en-US" w:bidi="ar"/>
              </w:rPr>
              <w:t>工作面及其回风巷内全部非</w:t>
            </w:r>
            <w:r>
              <w:rPr>
                <w:rFonts w:ascii="仿宋" w:hAnsi="仿宋" w:eastAsia="仿宋" w:cs="仿宋_GB2312"/>
                <w:color w:val="auto"/>
                <w:kern w:val="0"/>
                <w:szCs w:val="21"/>
                <w:highlight w:val="none"/>
                <w:lang w:bidi="ar"/>
              </w:rPr>
              <w:t>本质安全型电气设备</w:t>
            </w:r>
          </w:p>
        </w:tc>
      </w:tr>
      <w:tr w14:paraId="212BB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7D2B9B1E">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采煤机</w:t>
            </w:r>
          </w:p>
        </w:tc>
        <w:tc>
          <w:tcPr>
            <w:tcW w:w="880" w:type="pct"/>
            <w:vAlign w:val="center"/>
          </w:tcPr>
          <w:p w14:paraId="60A983A5">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5DD44AAD">
            <w:pPr>
              <w:widowControl/>
              <w:jc w:val="left"/>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采煤机电源</w:t>
            </w:r>
          </w:p>
        </w:tc>
      </w:tr>
      <w:tr w14:paraId="0702E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2B0119DB">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掘进机</w:t>
            </w:r>
          </w:p>
        </w:tc>
        <w:tc>
          <w:tcPr>
            <w:tcW w:w="880" w:type="pct"/>
            <w:vAlign w:val="center"/>
          </w:tcPr>
          <w:p w14:paraId="284DF0E3">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3B75B809">
            <w:pPr>
              <w:pStyle w:val="40"/>
              <w:spacing w:before="132"/>
              <w:ind w:left="108"/>
              <w:jc w:val="left"/>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val="en-US" w:bidi="ar"/>
              </w:rPr>
              <w:t>掘进机</w:t>
            </w:r>
          </w:p>
        </w:tc>
      </w:tr>
      <w:tr w14:paraId="76987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74CFF2A0">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煤巷、半煤岩巷和有瓦斯涌出岩巷的掘进工作面</w:t>
            </w:r>
          </w:p>
        </w:tc>
        <w:tc>
          <w:tcPr>
            <w:tcW w:w="880" w:type="pct"/>
            <w:vAlign w:val="center"/>
          </w:tcPr>
          <w:p w14:paraId="35E3DBBD">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0B9BBC8C">
            <w:pPr>
              <w:widowControl/>
              <w:jc w:val="left"/>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掘进巷道内全部非本质安全型电气设备</w:t>
            </w:r>
          </w:p>
        </w:tc>
      </w:tr>
      <w:tr w14:paraId="66EA7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6AADDF91">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采区回风巷</w:t>
            </w:r>
          </w:p>
        </w:tc>
        <w:tc>
          <w:tcPr>
            <w:tcW w:w="880" w:type="pct"/>
            <w:vAlign w:val="center"/>
          </w:tcPr>
          <w:p w14:paraId="44D0AC8E">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＜1.0</w:t>
            </w:r>
          </w:p>
        </w:tc>
        <w:tc>
          <w:tcPr>
            <w:tcW w:w="2676" w:type="pct"/>
            <w:vAlign w:val="center"/>
          </w:tcPr>
          <w:p w14:paraId="56F7A665">
            <w:pPr>
              <w:widowControl/>
              <w:jc w:val="left"/>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采区回风巷内全部非本质安全型电气设备</w:t>
            </w:r>
          </w:p>
        </w:tc>
      </w:tr>
      <w:tr w14:paraId="5BA48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6C84A341">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无轨胶轮车</w:t>
            </w:r>
          </w:p>
        </w:tc>
        <w:tc>
          <w:tcPr>
            <w:tcW w:w="880" w:type="pct"/>
            <w:vAlign w:val="center"/>
          </w:tcPr>
          <w:p w14:paraId="600EC954">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＜0.5</w:t>
            </w:r>
          </w:p>
        </w:tc>
        <w:tc>
          <w:tcPr>
            <w:tcW w:w="2676" w:type="pct"/>
            <w:vAlign w:val="center"/>
          </w:tcPr>
          <w:p w14:paraId="5420B658">
            <w:pPr>
              <w:widowControl/>
              <w:jc w:val="left"/>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车辆动力</w:t>
            </w:r>
          </w:p>
        </w:tc>
      </w:tr>
      <w:tr w14:paraId="6D65A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4B2CB735">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井下煤仓</w:t>
            </w:r>
          </w:p>
        </w:tc>
        <w:tc>
          <w:tcPr>
            <w:tcW w:w="880" w:type="pct"/>
            <w:vAlign w:val="center"/>
          </w:tcPr>
          <w:p w14:paraId="2563DF57">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＜1.5</w:t>
            </w:r>
          </w:p>
        </w:tc>
        <w:tc>
          <w:tcPr>
            <w:tcW w:w="2676" w:type="pct"/>
            <w:vAlign w:val="center"/>
          </w:tcPr>
          <w:p w14:paraId="070DA743">
            <w:pPr>
              <w:widowControl/>
              <w:jc w:val="left"/>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煤仓附近的各类运输设备及其他非本质安全型电气设备</w:t>
            </w:r>
          </w:p>
        </w:tc>
      </w:tr>
      <w:tr w14:paraId="69B76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4" w:type="pct"/>
            <w:vAlign w:val="center"/>
          </w:tcPr>
          <w:p w14:paraId="74A628F2">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封闭的带式输送机地面走廊内，带式输送机滚筒上方</w:t>
            </w:r>
          </w:p>
        </w:tc>
        <w:tc>
          <w:tcPr>
            <w:tcW w:w="880" w:type="pct"/>
            <w:vAlign w:val="center"/>
          </w:tcPr>
          <w:p w14:paraId="21873ED5">
            <w:pPr>
              <w:widowControl/>
              <w:jc w:val="center"/>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＜1.5</w:t>
            </w:r>
          </w:p>
        </w:tc>
        <w:tc>
          <w:tcPr>
            <w:tcW w:w="2676" w:type="pct"/>
            <w:vAlign w:val="center"/>
          </w:tcPr>
          <w:p w14:paraId="08F06C38">
            <w:pPr>
              <w:widowControl/>
              <w:jc w:val="left"/>
              <w:textAlignment w:val="center"/>
              <w:rPr>
                <w:rFonts w:ascii="仿宋" w:hAnsi="仿宋" w:eastAsia="仿宋" w:cs="仿宋_GB2312"/>
                <w:color w:val="auto"/>
                <w:kern w:val="0"/>
                <w:szCs w:val="21"/>
                <w:highlight w:val="none"/>
                <w:lang w:bidi="ar"/>
              </w:rPr>
            </w:pPr>
            <w:r>
              <w:rPr>
                <w:rFonts w:ascii="仿宋" w:hAnsi="仿宋" w:eastAsia="仿宋" w:cs="仿宋_GB2312"/>
                <w:color w:val="auto"/>
                <w:kern w:val="0"/>
                <w:szCs w:val="21"/>
                <w:highlight w:val="none"/>
                <w:lang w:bidi="ar"/>
              </w:rPr>
              <w:t>带式输送机地面走廊内全部非本质安全型电气设备</w:t>
            </w:r>
          </w:p>
        </w:tc>
      </w:tr>
    </w:tbl>
    <w:p w14:paraId="676759A9">
      <w:pPr>
        <w:spacing w:line="440" w:lineRule="exact"/>
        <w:ind w:firstLine="560" w:firstLineChars="200"/>
        <w:rPr>
          <w:rFonts w:ascii="仿宋_GB2312" w:hAnsi="仿宋_GB2312" w:eastAsia="仿宋_GB2312" w:cs="仿宋_GB2312"/>
          <w:color w:val="auto"/>
          <w:kern w:val="0"/>
          <w:sz w:val="28"/>
          <w:szCs w:val="28"/>
          <w:highlight w:val="none"/>
        </w:rPr>
      </w:pPr>
    </w:p>
    <w:p w14:paraId="18F6EDC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（9）当主要通风机停风造成井下局部通风巷道停风达到2h，或井下局部通风巷道停风时间小于2h，但工作面迎头瓦斯浓度达到2%，矿</w:t>
      </w:r>
      <w:r>
        <w:rPr>
          <w:rFonts w:hint="eastAsia" w:ascii="仿宋_GB2312" w:hAnsi="仿宋_GB2312" w:eastAsia="仿宋_GB2312" w:cs="仿宋_GB2312"/>
          <w:color w:val="auto"/>
          <w:kern w:val="0"/>
          <w:sz w:val="28"/>
          <w:szCs w:val="28"/>
          <w:highlight w:val="none"/>
          <w:lang w:eastAsia="zh-CN"/>
        </w:rPr>
        <w:t>调度</w:t>
      </w:r>
      <w:r>
        <w:rPr>
          <w:rFonts w:hint="eastAsia" w:ascii="仿宋_GB2312" w:hAnsi="仿宋_GB2312" w:eastAsia="仿宋_GB2312" w:cs="仿宋_GB2312"/>
          <w:color w:val="auto"/>
          <w:kern w:val="0"/>
          <w:sz w:val="28"/>
          <w:szCs w:val="28"/>
          <w:highlight w:val="none"/>
        </w:rPr>
        <w:t>室必须通知救护大队进行探查、排放瓦斯。</w:t>
      </w:r>
    </w:p>
    <w:p w14:paraId="424591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（10）当主要通风机停风造成井下局部通风巷道停风小于2h，并且井下各地点瓦斯不超限，主要通风机正常运转后，可由专职瓦斯检查员进行探查、恢复通风，探察人员不得少于两人，并应逐段排查，逐段进入。</w:t>
      </w:r>
    </w:p>
    <w:p w14:paraId="53BE0A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7.3.2.3事故控制</w:t>
      </w:r>
    </w:p>
    <w:p w14:paraId="6879C4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（1）在用主要通风机发生故障后，调度员要立即汇报矿值班领导，并通知值班通风机司机、电工及机修工立即对故障进行处理，同时在10分钟内及时切换至备用通风机恢复正常通风。</w:t>
      </w:r>
    </w:p>
    <w:p w14:paraId="7834D5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因停电，主、备通风机均无法在10分钟内开启，调度值班人员要立即下达井下人员撤离的命令，通知井下切断各用电地点的供电线路，各单位井下人员全部撤至主要进风大巷。独头巷道口设置栅栏、警标，严禁人员入内。</w:t>
      </w:r>
    </w:p>
    <w:p w14:paraId="47A64A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（3）若主要通风机不能及时启动，必须立即打开回风井防爆盖，最大限度的利用自然风压通风。</w:t>
      </w:r>
    </w:p>
    <w:p w14:paraId="0DCB79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局部通风机事故现场不能处理时要立刻汇报机电工区，工区值班负责人带领抢修人员应迅速赶到事故现场，查明事故原因，事故性质，影响范围，以最快的速度恢复通风。如现场不能处理，要立刻汇报工区负责人，说明需用材料、配件数量，在现场创造好条件后等候工区派人抢修。</w:t>
      </w:r>
    </w:p>
    <w:p w14:paraId="7D7F5D5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7.3.2.4消防</w:t>
      </w:r>
    </w:p>
    <w:p w14:paraId="339FDC1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现场发现明火时，利用附近设置的消防器材和供水管路，采用惰性气体、喷水等直接灭火的方法进行灭火。</w:t>
      </w:r>
    </w:p>
    <w:p w14:paraId="7E44EBD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7.3.2.5现场恢复</w:t>
      </w:r>
    </w:p>
    <w:p w14:paraId="49F1C26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6DF1EA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3AAA5C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4FE3BCA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w:t>
      </w:r>
      <w:r>
        <w:rPr>
          <w:rFonts w:ascii="仿宋_GB2312" w:hAnsi="仿宋_GB2312" w:eastAsia="仿宋_GB2312" w:cs="仿宋_GB2312"/>
          <w:b/>
          <w:bCs/>
          <w:snapToGrid w:val="0"/>
          <w:color w:val="auto"/>
          <w:kern w:val="0"/>
          <w:sz w:val="30"/>
          <w:szCs w:val="30"/>
          <w:highlight w:val="none"/>
        </w:rPr>
        <w:t>3.4 报警电话及相关救援单位联络</w:t>
      </w:r>
    </w:p>
    <w:p w14:paraId="2A7A8F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5A70119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7BD052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3436E1AE">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7C824FE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6A432A3E">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66" w:name="_Toc1313"/>
      <w:bookmarkStart w:id="467" w:name="_Toc27789"/>
      <w:r>
        <w:rPr>
          <w:rFonts w:hint="eastAsia" w:ascii="楷体_GB2312" w:hAnsi="楷体_GB2312" w:eastAsia="楷体_GB2312" w:cs="楷体_GB2312"/>
          <w:color w:val="auto"/>
          <w:sz w:val="30"/>
          <w:szCs w:val="30"/>
          <w:highlight w:val="none"/>
        </w:rPr>
        <w:t>7.</w:t>
      </w:r>
      <w:r>
        <w:rPr>
          <w:rFonts w:ascii="楷体_GB2312" w:hAnsi="楷体_GB2312" w:eastAsia="楷体_GB2312" w:cs="楷体_GB2312"/>
          <w:color w:val="auto"/>
          <w:sz w:val="30"/>
          <w:szCs w:val="30"/>
          <w:highlight w:val="none"/>
        </w:rPr>
        <w:t>4 注意事项</w:t>
      </w:r>
      <w:bookmarkEnd w:id="466"/>
      <w:bookmarkEnd w:id="467"/>
    </w:p>
    <w:p w14:paraId="1C61055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7.4.1人员防护</w:t>
      </w:r>
    </w:p>
    <w:p w14:paraId="00A5CFD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4F0D087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5D96D7C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550ED0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40208C1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7.4.2 自救互救</w:t>
      </w:r>
    </w:p>
    <w:p w14:paraId="09DE705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（1）发生主要通风机停止运转时，要保持冷静，迅速确认自身所处位置及灾害影响范围。 </w:t>
      </w:r>
    </w:p>
    <w:p w14:paraId="57827D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（2）及时使用自救器、压风自救、供水施救装置及井下避难硐室进行自救。 </w:t>
      </w:r>
    </w:p>
    <w:p w14:paraId="1F05C8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（3）井下互救措施：对骨折伤员，先固定后搬运；对出血伤员，先止血后搬运；对窒息(呼吸道完全堵塞)或心脏跳动刚停止不久的伤员，必须先复苏后搬运。</w:t>
      </w:r>
    </w:p>
    <w:p w14:paraId="6F4A748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7.4.3 装备使用</w:t>
      </w:r>
    </w:p>
    <w:p w14:paraId="2C05C6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13B62D8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56EF7E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59E5C0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7CCCE9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4FF919E3">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7.4.4 现场安全</w:t>
      </w:r>
    </w:p>
    <w:p w14:paraId="631A58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7398B2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10D928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535605D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063577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37C7548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31CF1C3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34F642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2D21F40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3BA9E9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（10）进入避难硐室前，应在硐室外留有明显标志，以便救护队发现。</w:t>
      </w:r>
    </w:p>
    <w:p w14:paraId="34CCD5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（11）待救时应保持冷静、不得急躁，以减少氧气消耗，保持体力。</w:t>
      </w:r>
    </w:p>
    <w:p w14:paraId="233CA8B8">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（12）硐室内保留一盏灯照明，其余矿灯全部关闭。</w:t>
      </w:r>
    </w:p>
    <w:p w14:paraId="4C6B85B6">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68" w:name="_Toc10057"/>
      <w:bookmarkStart w:id="469" w:name="_Toc17700"/>
      <w:r>
        <w:rPr>
          <w:rFonts w:hint="eastAsia" w:ascii="楷体_GB2312" w:hAnsi="楷体_GB2312" w:eastAsia="楷体_GB2312" w:cs="楷体_GB2312"/>
          <w:color w:val="auto"/>
          <w:sz w:val="30"/>
          <w:szCs w:val="30"/>
          <w:highlight w:val="none"/>
        </w:rPr>
        <w:t>7.5 其他需要特别警示的事项</w:t>
      </w:r>
      <w:bookmarkEnd w:id="468"/>
      <w:bookmarkEnd w:id="469"/>
    </w:p>
    <w:p w14:paraId="3B1C7E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655455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23F8E6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5E5D066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4C746BB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3E266B60">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470" w:name="_Toc10825"/>
      <w:bookmarkStart w:id="471" w:name="_Toc27623"/>
      <w:r>
        <w:rPr>
          <w:rFonts w:hint="eastAsia" w:ascii="黑体" w:hAnsi="黑体" w:eastAsia="黑体" w:cs="黑体"/>
          <w:color w:val="auto"/>
          <w:sz w:val="30"/>
          <w:szCs w:val="30"/>
          <w:highlight w:val="none"/>
        </w:rPr>
        <w:t>8 矿井供电事故现场处置方案</w:t>
      </w:r>
      <w:bookmarkEnd w:id="470"/>
      <w:bookmarkEnd w:id="471"/>
    </w:p>
    <w:p w14:paraId="71565836">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72" w:name="_Toc7546"/>
      <w:bookmarkStart w:id="473" w:name="_Toc14990"/>
      <w:r>
        <w:rPr>
          <w:rFonts w:hint="eastAsia" w:ascii="楷体_GB2312" w:hAnsi="楷体_GB2312" w:eastAsia="楷体_GB2312" w:cs="楷体_GB2312"/>
          <w:color w:val="auto"/>
          <w:sz w:val="30"/>
          <w:szCs w:val="30"/>
          <w:highlight w:val="none"/>
        </w:rPr>
        <w:t>8.1事故风险描述</w:t>
      </w:r>
      <w:bookmarkEnd w:id="472"/>
      <w:bookmarkEnd w:id="473"/>
    </w:p>
    <w:p w14:paraId="35AF327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8.1.1风险描述</w:t>
      </w:r>
    </w:p>
    <w:p w14:paraId="4742BD3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（1）地面高压供电系统出现电源线路倒杆、断线、雷击、树木倒伏、冰凌，可能造成全矿或局部区域停电的风险；</w:t>
      </w:r>
    </w:p>
    <w:p w14:paraId="6B2F05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（2）井下供电系统如果出现欠压、过压、防爆电气设备失爆、三大保护（漏电、接地、过流）失效，电缆过载等，可能造成人员伤害、火灾、设备损坏或瓦斯、煤尘爆炸事故的风险。</w:t>
      </w:r>
    </w:p>
    <w:p w14:paraId="3B3F2E6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（3）电气谐波：由大功率变流设备产生，当无滤波设施或抑制措施不力，可造成电压波形发生畸变,影响系统控制、安全保护和检测装置的工作精 度及可靠性，甚至可能在某一高次谐波的作用下，引起电网谐振，系统紊乱，供电系统遭受污染，有电气设备过热受损风险。</w:t>
      </w:r>
    </w:p>
    <w:p w14:paraId="32D75F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（4）35kV变电所内主变及开关柜可能发生故障，有可能造成矿井大面积停电的风险。</w:t>
      </w:r>
    </w:p>
    <w:p w14:paraId="0CC79C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（5）井下供电设备及供电线路可能发生漏电、短路等故障，造成井下局部采区停电的风险。</w:t>
      </w:r>
    </w:p>
    <w:p w14:paraId="2848B048">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w:t>
      </w:r>
      <w:r>
        <w:rPr>
          <w:rFonts w:ascii="仿宋_GB2312" w:hAnsi="仿宋_GB2312" w:eastAsia="仿宋_GB2312" w:cs="仿宋_GB2312"/>
          <w:b/>
          <w:bCs/>
          <w:snapToGrid w:val="0"/>
          <w:color w:val="auto"/>
          <w:kern w:val="0"/>
          <w:sz w:val="30"/>
          <w:szCs w:val="30"/>
          <w:highlight w:val="none"/>
        </w:rPr>
        <w:t>1.2 风险评估结果</w:t>
      </w:r>
    </w:p>
    <w:p w14:paraId="3F7A7B9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供电系统停电</w:t>
      </w:r>
      <w:r>
        <w:rPr>
          <w:rFonts w:ascii="仿宋_GB2312" w:hAnsi="仿宋_GB2312" w:eastAsia="仿宋_GB2312" w:cs="仿宋_GB2312"/>
          <w:color w:val="auto"/>
          <w:kern w:val="0"/>
          <w:sz w:val="28"/>
          <w:szCs w:val="28"/>
          <w:highlight w:val="none"/>
        </w:rPr>
        <w:t>风险为</w:t>
      </w:r>
      <w:r>
        <w:rPr>
          <w:rFonts w:hint="eastAsia" w:ascii="仿宋_GB2312" w:hAnsi="仿宋_GB2312" w:eastAsia="仿宋_GB2312" w:cs="仿宋_GB2312"/>
          <w:color w:val="auto"/>
          <w:kern w:val="0"/>
          <w:sz w:val="28"/>
          <w:szCs w:val="28"/>
          <w:highlight w:val="none"/>
        </w:rPr>
        <w:t>重大</w:t>
      </w:r>
      <w:r>
        <w:rPr>
          <w:rFonts w:ascii="仿宋_GB2312" w:hAnsi="仿宋_GB2312" w:eastAsia="仿宋_GB2312" w:cs="仿宋_GB2312"/>
          <w:color w:val="auto"/>
          <w:kern w:val="0"/>
          <w:sz w:val="28"/>
          <w:szCs w:val="28"/>
          <w:highlight w:val="none"/>
        </w:rPr>
        <w:t>风险。</w:t>
      </w:r>
    </w:p>
    <w:p w14:paraId="7A595264">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74" w:name="_Toc31972"/>
      <w:bookmarkStart w:id="475" w:name="_Toc12512"/>
      <w:r>
        <w:rPr>
          <w:rFonts w:hint="eastAsia" w:ascii="楷体_GB2312" w:hAnsi="楷体_GB2312" w:eastAsia="楷体_GB2312" w:cs="楷体_GB2312"/>
          <w:color w:val="auto"/>
          <w:sz w:val="30"/>
          <w:szCs w:val="30"/>
          <w:highlight w:val="none"/>
        </w:rPr>
        <w:t>8.2 应急工作职责</w:t>
      </w:r>
      <w:bookmarkEnd w:id="474"/>
      <w:bookmarkEnd w:id="475"/>
    </w:p>
    <w:p w14:paraId="4718E07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w:t>
      </w:r>
      <w:r>
        <w:rPr>
          <w:rFonts w:ascii="仿宋_GB2312" w:hAnsi="仿宋_GB2312" w:eastAsia="仿宋_GB2312" w:cs="仿宋_GB2312"/>
          <w:b/>
          <w:bCs/>
          <w:snapToGrid w:val="0"/>
          <w:color w:val="auto"/>
          <w:kern w:val="0"/>
          <w:sz w:val="30"/>
          <w:szCs w:val="30"/>
          <w:highlight w:val="none"/>
        </w:rPr>
        <w:t>2.1 应急自救小组</w:t>
      </w:r>
    </w:p>
    <w:p w14:paraId="16211CB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75A892B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634FF24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3E2B44A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w:t>
      </w:r>
      <w:r>
        <w:rPr>
          <w:rFonts w:ascii="仿宋_GB2312" w:hAnsi="仿宋_GB2312" w:eastAsia="仿宋_GB2312" w:cs="仿宋_GB2312"/>
          <w:b/>
          <w:bCs/>
          <w:snapToGrid w:val="0"/>
          <w:color w:val="auto"/>
          <w:kern w:val="0"/>
          <w:sz w:val="30"/>
          <w:szCs w:val="30"/>
          <w:highlight w:val="none"/>
        </w:rPr>
        <w:t>2.2 具体职责</w:t>
      </w:r>
    </w:p>
    <w:p w14:paraId="06D2F57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59A665B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048C504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21CC496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7B487F2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（5）管理人员：根据事故性质和严重程度，组织现场人员进行应急处置，若事态扩大，立即请求增援。</w:t>
      </w:r>
    </w:p>
    <w:p w14:paraId="13F72F0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rPr>
        <w:t>维修</w:t>
      </w:r>
      <w:r>
        <w:rPr>
          <w:rFonts w:ascii="仿宋_GB2312" w:hAnsi="仿宋_GB2312" w:eastAsia="仿宋_GB2312" w:cs="仿宋_GB2312"/>
          <w:color w:val="auto"/>
          <w:kern w:val="0"/>
          <w:sz w:val="28"/>
          <w:szCs w:val="28"/>
          <w:highlight w:val="none"/>
        </w:rPr>
        <w:t>工：根据事故的严重程度，按照救援小组安排，负责</w:t>
      </w:r>
      <w:r>
        <w:rPr>
          <w:rFonts w:hint="eastAsia" w:ascii="仿宋_GB2312" w:hAnsi="仿宋_GB2312" w:eastAsia="仿宋_GB2312" w:cs="仿宋_GB2312"/>
          <w:color w:val="auto"/>
          <w:kern w:val="0"/>
          <w:sz w:val="28"/>
          <w:szCs w:val="28"/>
          <w:highlight w:val="none"/>
        </w:rPr>
        <w:t>设备设施维修</w:t>
      </w:r>
      <w:r>
        <w:rPr>
          <w:rFonts w:ascii="仿宋_GB2312" w:hAnsi="仿宋_GB2312" w:eastAsia="仿宋_GB2312" w:cs="仿宋_GB2312"/>
          <w:color w:val="auto"/>
          <w:kern w:val="0"/>
          <w:sz w:val="28"/>
          <w:szCs w:val="28"/>
          <w:highlight w:val="none"/>
        </w:rPr>
        <w:t>。</w:t>
      </w:r>
    </w:p>
    <w:p w14:paraId="682716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（7）电工：听从指令，负责电气设备停送电管理，设备设施电气系统维修。</w:t>
      </w:r>
    </w:p>
    <w:p w14:paraId="1B6ABC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：负责事故现场人员应急处置监督。</w:t>
      </w:r>
    </w:p>
    <w:p w14:paraId="10C7A00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ascii="仿宋_GB2312" w:hAnsi="仿宋_GB2312" w:eastAsia="仿宋_GB2312" w:cs="仿宋_GB2312"/>
          <w:color w:val="auto"/>
          <w:kern w:val="0"/>
          <w:sz w:val="28"/>
          <w:szCs w:val="28"/>
          <w:highlight w:val="none"/>
        </w:rPr>
        <w:t>现场作业人员：积极开展应急处置</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47DCCA5D">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76" w:name="_Toc28989"/>
      <w:bookmarkStart w:id="477" w:name="_Toc24477"/>
      <w:r>
        <w:rPr>
          <w:rFonts w:hint="eastAsia" w:ascii="楷体_GB2312" w:hAnsi="楷体_GB2312" w:eastAsia="楷体_GB2312" w:cs="楷体_GB2312"/>
          <w:color w:val="auto"/>
          <w:sz w:val="30"/>
          <w:szCs w:val="30"/>
          <w:highlight w:val="none"/>
        </w:rPr>
        <w:t>8.3 应急处置</w:t>
      </w:r>
      <w:bookmarkEnd w:id="476"/>
      <w:bookmarkEnd w:id="477"/>
    </w:p>
    <w:p w14:paraId="46B1E45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w:t>
      </w:r>
      <w:r>
        <w:rPr>
          <w:rFonts w:ascii="仿宋_GB2312" w:hAnsi="仿宋_GB2312" w:eastAsia="仿宋_GB2312" w:cs="仿宋_GB2312"/>
          <w:b/>
          <w:bCs/>
          <w:snapToGrid w:val="0"/>
          <w:color w:val="auto"/>
          <w:kern w:val="0"/>
          <w:sz w:val="30"/>
          <w:szCs w:val="30"/>
          <w:highlight w:val="none"/>
        </w:rPr>
        <w:t>3.1 事故应急处置程序</w:t>
      </w:r>
    </w:p>
    <w:p w14:paraId="60D33F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值班领导、分管领导和总经理，详细汇报事故发生的性质、时间、地点、灾区人数，危害程度及现状；积极组织自救互救。</w:t>
      </w:r>
    </w:p>
    <w:p w14:paraId="6A0845F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在10min内完成事故处置，调度室立即命令井下作业人员组织人员停电撤人至安全地点。调度室立即向当日值班领导、总经理、分管领导汇报，通知带班、包保等专业科室及区队管理人员达到现场处置。</w:t>
      </w:r>
    </w:p>
    <w:p w14:paraId="2BA2A6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2EFBCBB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上一级应急预案进入预备状态。根据综合应急预案应急响应分级，达到启动上一级应急响应时，按照专项预案程序进行处置；召请矿山救护队组织抢救，调度室立即通知医院医疗救护人员到达事故现场或到井口待命。</w:t>
      </w:r>
    </w:p>
    <w:p w14:paraId="432F716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01AB75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8.3.2.1人员救护</w:t>
      </w:r>
    </w:p>
    <w:p w14:paraId="20AB03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（1）现场发生事故后，现场人员要迅速了解或判明事故的地点、范围和危害程度，根据现场实际情况，确定撤退路线和避灾自救的方法，如无法保证自身安全，应立即撤至安全地点。</w:t>
      </w:r>
    </w:p>
    <w:p w14:paraId="3801B5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撤退时，任何人无论在任何情况下都不要惊慌、不能乱跑。应在现场负责人及有经验的老工人带领下有组织地撤退。如有人员受伤，要及时组织救助，帮助撤离。撤退到顶板完好、通风良好地点，并及时向调度室汇报。报告内容简明、扼要，报告内容包括事故性质、时间、地点、范围、主要原因、伤亡情况和人员撤离情况等，并保持与调度室的联系。</w:t>
      </w:r>
    </w:p>
    <w:p w14:paraId="1CE7F6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触电人员。首先判断是高压触电还是低压触电。如果是高压触电，室内人员应距离触电点4米以外，室外人员应距离触电点8米以外，切勿贸然营救，否则会造成二次触电。如果是低压触电，在未弄清形势或采取有效措施的情况下，切勿擅自接触触电人员。</w:t>
      </w:r>
    </w:p>
    <w:p w14:paraId="791441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（4）医疗救护组要安排医务人员携带必要的抢险医药器具及时到达井口待命，必要时到达井下事故现场，对抢救出的受伤人员进行紧急医疗救治或护送上井救治。</w:t>
      </w:r>
    </w:p>
    <w:p w14:paraId="7693C2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抢救出伤员后，必须判断伤情的轻重，人员较多时先抢救重伤人员，后抢救轻伤人员，要认真执行“三先三后”的原则：即对窒息或心跳呼吸停止不久的伤员必须先复苏后搬运，对出血伤员必须先止血后搬运，对骨伤的伤员必须先固定后搬运。</w:t>
      </w:r>
    </w:p>
    <w:p w14:paraId="26A4A6C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8.3.2.2工艺操作</w:t>
      </w:r>
    </w:p>
    <w:p w14:paraId="57E829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（1）迅速限制事故的发展，消除事故根源，解除对人身和设备的威胁，保证其他设备的正常运行。</w:t>
      </w:r>
    </w:p>
    <w:p w14:paraId="4618A84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（2）尽快恢复对已停电的采区或工作面供电。</w:t>
      </w:r>
    </w:p>
    <w:p w14:paraId="2E39B90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如果对人身和设备构成威胁时，应立即设法解除，必要时立即停止设备运行，如果未对人身和设备构成威胁时，应尽力保持或恢复设备的正常运行，应该特别注意对未直接受到损坏的设备的隔离，保证其正常运行。</w:t>
      </w:r>
    </w:p>
    <w:p w14:paraId="3A7C58D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（4）对于高压触电事故，应及时关闭设备，或者戴上绝缘手套，穿上绝缘靴，用相应电压等级的绝缘工具按顺序切断电源。</w:t>
      </w:r>
    </w:p>
    <w:p w14:paraId="393753F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（5）对于低压触电事故，脱离电源的方法是立即切断电源。如果电源开关距离太远，可用有绝缘柄的电工铂或持木柄干燥的斧头切断电线。</w:t>
      </w:r>
    </w:p>
    <w:p w14:paraId="5B4C90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（6）当电线搭落在触电者身上或压在其身下时，可用干燥的衣服、手套、绳索、皮带、木板、木棒等绝缘物作为工具，拉开触电者或挑开电线，使触电者脱离电源。</w:t>
      </w:r>
    </w:p>
    <w:p w14:paraId="053924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如果触电者的衣服是干燥的，可以用一只手抓住他的衣服，拉离电源。救护人不得接触触电者的皮肤，救护人不能直接用手或金属及潮湿的物体作为救护工具，应使用适当的绝缘工具，最好用一只手操作，以防自己触电。</w:t>
      </w:r>
    </w:p>
    <w:p w14:paraId="1171AC9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当矿井两回路均失电时，短时间无法恢复矿井供电情况下，应立即打开风井防爆盖进行自然通风同时撤出井下作业人员，并及时制定线路检维修计划，明确线路检维修时限及人员安排，并经机电矿长、总工程师审批。</w:t>
      </w:r>
    </w:p>
    <w:p w14:paraId="0C2B55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井下局部通风机因停电造成停风后，停风区域的跟班队长要立即安排工人停止作业，并将人员全部撤到安全地点。各队当班维护工要立即将本队风电闭锁开关手把打至零位并闭锁，切断工作面动力电源，然后到距离风电闭锁开关就近的电话处，向调度室汇报，听从调度指挥，待命；当班瓦检员负责监督队组人员撤离工作，并到就近电话处，听从调度指挥，检测工作面瓦斯浓度。</w:t>
      </w:r>
    </w:p>
    <w:p w14:paraId="3E5F08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（10）发生变电所着火事故，值班人员要立即断开着火设备或线路，并使用灭火器或沙子灭火，同时汇报调度室组织人员进行处理。</w:t>
      </w:r>
    </w:p>
    <w:p w14:paraId="737F5CA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（11）地面35KV变电所事故发生后，若判断为地面35KV变电所故障导致矿井大面积停电，</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值班人员要立即与矿调度联系，调度员立即通知事故应急领导组成员迅速赶到调度室，并做好停送电记录。</w:t>
      </w:r>
    </w:p>
    <w:p w14:paraId="5F6B874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（12）恢复送电的原则：按照“先高压，后低压；先风机，后动力；先掘进，后回采”原则，逐级恢复送电。</w:t>
      </w:r>
    </w:p>
    <w:p w14:paraId="68C9E33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8.3.2.3事故控制</w:t>
      </w:r>
    </w:p>
    <w:p w14:paraId="2D21AE96">
      <w:pPr>
        <w:numPr>
          <w:ilvl w:val="0"/>
          <w:numId w:val="0"/>
        </w:num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bidi="ar-SA"/>
        </w:rPr>
        <w:t>（1）</w:t>
      </w:r>
      <w:r>
        <w:rPr>
          <w:rFonts w:hint="eastAsia" w:ascii="仿宋_GB2312" w:hAnsi="仿宋_GB2312" w:eastAsia="仿宋_GB2312" w:cs="仿宋_GB2312"/>
          <w:color w:val="auto"/>
          <w:kern w:val="0"/>
          <w:sz w:val="28"/>
          <w:szCs w:val="28"/>
          <w:highlight w:val="yellow"/>
          <w:lang w:val="en-US" w:eastAsia="zh-CN"/>
        </w:rPr>
        <w:t>当任一回路检修或发生停电故障时，</w:t>
      </w:r>
      <w:r>
        <w:rPr>
          <w:rFonts w:hint="eastAsia" w:ascii="仿宋_GB2312" w:hAnsi="仿宋_GB2312" w:eastAsia="仿宋_GB2312" w:cs="仿宋_GB2312"/>
          <w:color w:val="auto"/>
          <w:kern w:val="0"/>
          <w:sz w:val="28"/>
          <w:szCs w:val="28"/>
          <w:highlight w:val="yellow"/>
        </w:rPr>
        <w:t>当班值班人员立即向</w:t>
      </w:r>
      <w:r>
        <w:rPr>
          <w:rFonts w:hint="eastAsia" w:ascii="仿宋_GB2312" w:hAnsi="仿宋_GB2312" w:eastAsia="仿宋_GB2312" w:cs="仿宋_GB2312"/>
          <w:color w:val="auto"/>
          <w:kern w:val="0"/>
          <w:sz w:val="28"/>
          <w:szCs w:val="28"/>
          <w:highlight w:val="yellow"/>
          <w:lang w:val="en-US" w:eastAsia="zh-CN"/>
        </w:rPr>
        <w:t>机电</w:t>
      </w:r>
      <w:r>
        <w:rPr>
          <w:rFonts w:hint="eastAsia" w:ascii="仿宋_GB2312" w:hAnsi="仿宋_GB2312" w:eastAsia="仿宋_GB2312" w:cs="仿宋_GB2312"/>
          <w:color w:val="auto"/>
          <w:kern w:val="0"/>
          <w:sz w:val="28"/>
          <w:szCs w:val="28"/>
          <w:highlight w:val="yellow"/>
        </w:rPr>
        <w:t>工区和调度室汇报。调度员立即通知采掘工作面立即停</w:t>
      </w:r>
      <w:r>
        <w:rPr>
          <w:rFonts w:hint="eastAsia" w:ascii="仿宋_GB2312" w:hAnsi="仿宋_GB2312" w:eastAsia="仿宋_GB2312" w:cs="仿宋_GB2312"/>
          <w:color w:val="auto"/>
          <w:kern w:val="0"/>
          <w:sz w:val="28"/>
          <w:szCs w:val="28"/>
          <w:highlight w:val="yellow"/>
          <w:lang w:val="en-US" w:eastAsia="zh-CN"/>
        </w:rPr>
        <w:t>止生产。随时做好</w:t>
      </w:r>
      <w:r>
        <w:rPr>
          <w:rFonts w:hint="eastAsia" w:ascii="仿宋_GB2312" w:hAnsi="仿宋_GB2312" w:eastAsia="仿宋_GB2312" w:cs="仿宋_GB2312"/>
          <w:color w:val="auto"/>
          <w:kern w:val="0"/>
          <w:sz w:val="28"/>
          <w:szCs w:val="28"/>
          <w:highlight w:val="yellow"/>
        </w:rPr>
        <w:t>撤人</w:t>
      </w:r>
      <w:r>
        <w:rPr>
          <w:rFonts w:hint="eastAsia" w:ascii="仿宋_GB2312" w:hAnsi="仿宋_GB2312" w:eastAsia="仿宋_GB2312" w:cs="仿宋_GB2312"/>
          <w:color w:val="auto"/>
          <w:kern w:val="0"/>
          <w:sz w:val="28"/>
          <w:szCs w:val="28"/>
          <w:highlight w:val="yellow"/>
          <w:lang w:val="en-US" w:eastAsia="zh-CN"/>
        </w:rPr>
        <w:t>的准备工作</w:t>
      </w:r>
      <w:r>
        <w:rPr>
          <w:rFonts w:hint="eastAsia" w:ascii="仿宋_GB2312" w:hAnsi="仿宋_GB2312" w:eastAsia="仿宋_GB2312" w:cs="仿宋_GB2312"/>
          <w:color w:val="auto"/>
          <w:kern w:val="0"/>
          <w:sz w:val="28"/>
          <w:szCs w:val="28"/>
          <w:highlight w:val="yellow"/>
        </w:rPr>
        <w:t>。</w:t>
      </w:r>
    </w:p>
    <w:p w14:paraId="1856FAA7">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2</w:t>
      </w:r>
      <w:r>
        <w:rPr>
          <w:rFonts w:hint="eastAsia" w:ascii="仿宋_GB2312" w:hAnsi="仿宋_GB2312" w:eastAsia="仿宋_GB2312" w:cs="仿宋_GB2312"/>
          <w:color w:val="auto"/>
          <w:kern w:val="0"/>
          <w:sz w:val="28"/>
          <w:szCs w:val="28"/>
          <w:highlight w:val="yellow"/>
        </w:rPr>
        <w:t>）发生停电事故后，井下作业地点现场负责人应立即启动现场处置方案，组织人员停止作业，撤到新鲜风流中静待，向调度室汇报。</w:t>
      </w:r>
    </w:p>
    <w:p w14:paraId="305AD706">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3</w:t>
      </w:r>
      <w:r>
        <w:rPr>
          <w:rFonts w:hint="eastAsia" w:ascii="仿宋_GB2312" w:hAnsi="仿宋_GB2312" w:eastAsia="仿宋_GB2312" w:cs="仿宋_GB2312"/>
          <w:color w:val="auto"/>
          <w:kern w:val="0"/>
          <w:sz w:val="28"/>
          <w:szCs w:val="28"/>
          <w:highlight w:val="yellow"/>
        </w:rPr>
        <w:t>）调度室接到事故汇报后，调度员必须立即通过井下语音广播系统、无线通信系统、调度通讯系统等，3分钟通知到井下受停电影响范围内人员撤离至新鲜风流中静待。</w:t>
      </w:r>
    </w:p>
    <w:p w14:paraId="3C4C97C3">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4）机电</w:t>
      </w:r>
      <w:r>
        <w:rPr>
          <w:rFonts w:hint="eastAsia" w:ascii="仿宋_GB2312" w:hAnsi="仿宋_GB2312" w:eastAsia="仿宋_GB2312" w:cs="仿宋_GB2312"/>
          <w:color w:val="auto"/>
          <w:kern w:val="0"/>
          <w:sz w:val="28"/>
          <w:szCs w:val="28"/>
          <w:highlight w:val="yellow"/>
        </w:rPr>
        <w:t>工区值班人员立即组织人员进行倒闸操作。倒闸操作前应先观察信号、电源屏查清</w:t>
      </w:r>
      <w:r>
        <w:rPr>
          <w:rFonts w:hint="eastAsia" w:ascii="仿宋_GB2312" w:hAnsi="仿宋_GB2312" w:eastAsia="仿宋_GB2312" w:cs="仿宋_GB2312"/>
          <w:color w:val="auto"/>
          <w:kern w:val="0"/>
          <w:sz w:val="28"/>
          <w:szCs w:val="28"/>
          <w:highlight w:val="yellow"/>
          <w:lang w:val="en-US" w:eastAsia="zh-CN"/>
        </w:rPr>
        <w:t>确认</w:t>
      </w:r>
      <w:r>
        <w:rPr>
          <w:rFonts w:hint="eastAsia" w:ascii="仿宋_GB2312" w:hAnsi="仿宋_GB2312" w:eastAsia="仿宋_GB2312" w:cs="仿宋_GB2312"/>
          <w:color w:val="auto"/>
          <w:kern w:val="0"/>
          <w:sz w:val="28"/>
          <w:szCs w:val="28"/>
          <w:highlight w:val="yellow"/>
        </w:rPr>
        <w:t>是属于哪一部分或上一级变电所哪一回路</w:t>
      </w:r>
      <w:r>
        <w:rPr>
          <w:rFonts w:hint="eastAsia" w:ascii="仿宋_GB2312" w:hAnsi="仿宋_GB2312" w:eastAsia="仿宋_GB2312" w:cs="仿宋_GB2312"/>
          <w:color w:val="auto"/>
          <w:kern w:val="0"/>
          <w:sz w:val="28"/>
          <w:szCs w:val="28"/>
          <w:highlight w:val="yellow"/>
          <w:lang w:val="en-US" w:eastAsia="zh-CN"/>
        </w:rPr>
        <w:t>停电</w:t>
      </w:r>
      <w:r>
        <w:rPr>
          <w:rFonts w:hint="eastAsia" w:ascii="仿宋_GB2312" w:hAnsi="仿宋_GB2312" w:eastAsia="仿宋_GB2312" w:cs="仿宋_GB2312"/>
          <w:color w:val="auto"/>
          <w:kern w:val="0"/>
          <w:sz w:val="28"/>
          <w:szCs w:val="28"/>
          <w:highlight w:val="yellow"/>
        </w:rPr>
        <w:t>，然后进行倒闸操作。</w:t>
      </w:r>
    </w:p>
    <w:p w14:paraId="5E88872A">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①</w:t>
      </w:r>
      <w:r>
        <w:rPr>
          <w:rFonts w:hint="eastAsia" w:ascii="仿宋_GB2312" w:hAnsi="仿宋_GB2312" w:eastAsia="仿宋_GB2312" w:cs="仿宋_GB2312"/>
          <w:color w:val="auto"/>
          <w:kern w:val="0"/>
          <w:sz w:val="28"/>
          <w:szCs w:val="28"/>
          <w:highlight w:val="yellow"/>
        </w:rPr>
        <w:t>倒闸操作时如电动合闸供不上时，进行手动供电。</w:t>
      </w:r>
    </w:p>
    <w:p w14:paraId="6CB8FB7D">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②</w:t>
      </w:r>
      <w:r>
        <w:rPr>
          <w:rFonts w:hint="eastAsia" w:ascii="仿宋_GB2312" w:hAnsi="仿宋_GB2312" w:eastAsia="仿宋_GB2312" w:cs="仿宋_GB2312"/>
          <w:color w:val="auto"/>
          <w:kern w:val="0"/>
          <w:sz w:val="28"/>
          <w:szCs w:val="28"/>
          <w:highlight w:val="yellow"/>
        </w:rPr>
        <w:t>联系新矿集团电力调度中心要求35kV</w:t>
      </w:r>
      <w:r>
        <w:rPr>
          <w:rFonts w:hint="eastAsia" w:ascii="仿宋_GB2312" w:hAnsi="仿宋_GB2312" w:eastAsia="仿宋_GB2312" w:cs="仿宋_GB2312"/>
          <w:color w:val="auto"/>
          <w:kern w:val="0"/>
          <w:sz w:val="28"/>
          <w:szCs w:val="28"/>
          <w:highlight w:val="yellow"/>
          <w:lang w:val="en-US" w:eastAsia="zh-CN"/>
        </w:rPr>
        <w:t>另一</w:t>
      </w:r>
      <w:r>
        <w:rPr>
          <w:rFonts w:hint="eastAsia" w:ascii="仿宋_GB2312" w:hAnsi="仿宋_GB2312" w:eastAsia="仿宋_GB2312" w:cs="仿宋_GB2312"/>
          <w:color w:val="auto"/>
          <w:kern w:val="0"/>
          <w:sz w:val="28"/>
          <w:szCs w:val="28"/>
          <w:highlight w:val="yellow"/>
        </w:rPr>
        <w:t>回路带</w:t>
      </w:r>
      <w:r>
        <w:rPr>
          <w:rFonts w:hint="eastAsia" w:ascii="仿宋_GB2312" w:hAnsi="仿宋_GB2312" w:eastAsia="仿宋_GB2312" w:cs="仿宋_GB2312"/>
          <w:color w:val="auto"/>
          <w:kern w:val="0"/>
          <w:sz w:val="28"/>
          <w:szCs w:val="28"/>
          <w:highlight w:val="yellow"/>
          <w:lang w:val="en-US" w:eastAsia="zh-CN"/>
        </w:rPr>
        <w:t>矿井一、二级</w:t>
      </w:r>
      <w:r>
        <w:rPr>
          <w:rFonts w:hint="eastAsia" w:ascii="仿宋_GB2312" w:hAnsi="仿宋_GB2312" w:eastAsia="仿宋_GB2312" w:cs="仿宋_GB2312"/>
          <w:color w:val="auto"/>
          <w:kern w:val="0"/>
          <w:sz w:val="28"/>
          <w:szCs w:val="28"/>
          <w:highlight w:val="yellow"/>
        </w:rPr>
        <w:t>全部负荷。</w:t>
      </w:r>
    </w:p>
    <w:p w14:paraId="42FAFB52">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③</w:t>
      </w:r>
      <w:r>
        <w:rPr>
          <w:rFonts w:hint="eastAsia" w:ascii="仿宋_GB2312" w:hAnsi="仿宋_GB2312" w:eastAsia="仿宋_GB2312" w:cs="仿宋_GB2312"/>
          <w:color w:val="auto"/>
          <w:kern w:val="0"/>
          <w:sz w:val="28"/>
          <w:szCs w:val="28"/>
          <w:highlight w:val="yellow"/>
        </w:rPr>
        <w:t>断开35kV室停电回路高压开关柜（进线）断路器。</w:t>
      </w:r>
    </w:p>
    <w:p w14:paraId="4D8FEB01">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④</w:t>
      </w:r>
      <w:r>
        <w:rPr>
          <w:rFonts w:hint="eastAsia" w:ascii="仿宋_GB2312" w:hAnsi="仿宋_GB2312" w:eastAsia="仿宋_GB2312" w:cs="仿宋_GB2312"/>
          <w:color w:val="auto"/>
          <w:kern w:val="0"/>
          <w:sz w:val="28"/>
          <w:szCs w:val="28"/>
          <w:highlight w:val="yellow"/>
        </w:rPr>
        <w:t>合上35kV室高压开关柜（联络柜）断路器。</w:t>
      </w:r>
    </w:p>
    <w:p w14:paraId="30434F2E">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⑤</w:t>
      </w:r>
      <w:r>
        <w:rPr>
          <w:rFonts w:hint="eastAsia" w:ascii="仿宋_GB2312" w:hAnsi="仿宋_GB2312" w:eastAsia="仿宋_GB2312" w:cs="仿宋_GB2312"/>
          <w:color w:val="auto"/>
          <w:kern w:val="0"/>
          <w:sz w:val="28"/>
          <w:szCs w:val="28"/>
          <w:highlight w:val="yellow"/>
        </w:rPr>
        <w:t>送电正常后汇报调度室、机电管理部、新矿集团电力调度中心。</w:t>
      </w:r>
    </w:p>
    <w:p w14:paraId="1EA89DFB">
      <w:pPr>
        <w:spacing w:line="440" w:lineRule="exact"/>
        <w:ind w:firstLine="560" w:firstLineChars="200"/>
        <w:rPr>
          <w:rFonts w:hint="eastAsia" w:ascii="仿宋_GB2312" w:hAnsi="仿宋_GB2312" w:eastAsia="仿宋_GB2312" w:cs="仿宋_GB2312"/>
          <w:color w:val="auto"/>
          <w:kern w:val="0"/>
          <w:sz w:val="28"/>
          <w:szCs w:val="28"/>
          <w:highlight w:val="yellow"/>
          <w:lang w:val="en-US" w:eastAsia="zh-CN"/>
        </w:rPr>
      </w:pPr>
      <w:r>
        <w:rPr>
          <w:rFonts w:hint="eastAsia" w:ascii="仿宋_GB2312" w:hAnsi="仿宋_GB2312" w:eastAsia="仿宋_GB2312" w:cs="仿宋_GB2312"/>
          <w:color w:val="auto"/>
          <w:kern w:val="0"/>
          <w:sz w:val="28"/>
          <w:szCs w:val="28"/>
          <w:highlight w:val="yellow"/>
          <w:lang w:eastAsia="zh-CN"/>
        </w:rPr>
        <w:t>（</w:t>
      </w:r>
      <w:r>
        <w:rPr>
          <w:rFonts w:hint="eastAsia" w:ascii="仿宋_GB2312" w:hAnsi="仿宋_GB2312" w:eastAsia="仿宋_GB2312" w:cs="仿宋_GB2312"/>
          <w:color w:val="auto"/>
          <w:kern w:val="0"/>
          <w:sz w:val="28"/>
          <w:szCs w:val="28"/>
          <w:highlight w:val="yellow"/>
          <w:lang w:val="en-US" w:eastAsia="zh-CN"/>
        </w:rPr>
        <w:t>5）</w:t>
      </w:r>
      <w:r>
        <w:rPr>
          <w:rFonts w:hint="eastAsia" w:ascii="仿宋_GB2312" w:hAnsi="仿宋_GB2312" w:eastAsia="仿宋_GB2312" w:cs="仿宋_GB2312"/>
          <w:color w:val="auto"/>
          <w:kern w:val="0"/>
          <w:sz w:val="28"/>
          <w:szCs w:val="28"/>
          <w:highlight w:val="yellow"/>
        </w:rPr>
        <w:t>35kV双回路分列运行，单回路供电线路检修</w:t>
      </w:r>
      <w:r>
        <w:rPr>
          <w:rFonts w:hint="eastAsia" w:ascii="仿宋_GB2312" w:hAnsi="仿宋_GB2312" w:eastAsia="仿宋_GB2312" w:cs="仿宋_GB2312"/>
          <w:color w:val="auto"/>
          <w:kern w:val="0"/>
          <w:sz w:val="28"/>
          <w:szCs w:val="28"/>
          <w:highlight w:val="yellow"/>
          <w:lang w:val="en-US" w:eastAsia="zh-CN"/>
        </w:rPr>
        <w:t>时，变电所工作人员联系上级变电所，提前使用其中一回路和</w:t>
      </w:r>
      <w:r>
        <w:rPr>
          <w:rFonts w:hint="eastAsia" w:ascii="仿宋_GB2312" w:hAnsi="仿宋_GB2312" w:eastAsia="仿宋_GB2312" w:cs="仿宋_GB2312"/>
          <w:color w:val="auto"/>
          <w:kern w:val="0"/>
          <w:sz w:val="28"/>
          <w:szCs w:val="28"/>
          <w:highlight w:val="yellow"/>
        </w:rPr>
        <w:t>35kV</w:t>
      </w:r>
      <w:r>
        <w:rPr>
          <w:rFonts w:hint="eastAsia" w:ascii="仿宋_GB2312" w:hAnsi="仿宋_GB2312" w:eastAsia="仿宋_GB2312" w:cs="仿宋_GB2312"/>
          <w:color w:val="auto"/>
          <w:kern w:val="0"/>
          <w:sz w:val="28"/>
          <w:szCs w:val="28"/>
          <w:highlight w:val="yellow"/>
          <w:lang w:val="en-US" w:eastAsia="zh-CN"/>
        </w:rPr>
        <w:t>另一</w:t>
      </w:r>
      <w:r>
        <w:rPr>
          <w:rFonts w:hint="eastAsia" w:ascii="仿宋_GB2312" w:hAnsi="仿宋_GB2312" w:eastAsia="仿宋_GB2312" w:cs="仿宋_GB2312"/>
          <w:color w:val="auto"/>
          <w:kern w:val="0"/>
          <w:sz w:val="28"/>
          <w:szCs w:val="28"/>
          <w:highlight w:val="yellow"/>
        </w:rPr>
        <w:t>回路</w:t>
      </w:r>
      <w:r>
        <w:rPr>
          <w:rFonts w:hint="eastAsia" w:ascii="仿宋_GB2312" w:hAnsi="仿宋_GB2312" w:eastAsia="仿宋_GB2312" w:cs="仿宋_GB2312"/>
          <w:color w:val="auto"/>
          <w:kern w:val="0"/>
          <w:sz w:val="28"/>
          <w:szCs w:val="28"/>
          <w:highlight w:val="yellow"/>
          <w:lang w:val="en-US" w:eastAsia="zh-CN"/>
        </w:rPr>
        <w:t>供电。保证矿井保安负荷的安全运行。</w:t>
      </w:r>
    </w:p>
    <w:p w14:paraId="3FD641AA">
      <w:pPr>
        <w:spacing w:line="440" w:lineRule="exact"/>
        <w:ind w:firstLine="560" w:firstLineChars="200"/>
        <w:rPr>
          <w:rFonts w:hint="eastAsia"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lang w:val="en-US" w:eastAsia="zh-CN"/>
        </w:rPr>
        <w:t>（6）</w:t>
      </w:r>
      <w:r>
        <w:rPr>
          <w:rFonts w:hint="eastAsia" w:ascii="仿宋_GB2312" w:hAnsi="仿宋_GB2312" w:eastAsia="仿宋_GB2312" w:cs="仿宋_GB2312"/>
          <w:color w:val="auto"/>
          <w:kern w:val="0"/>
          <w:sz w:val="28"/>
          <w:szCs w:val="28"/>
          <w:highlight w:val="yellow"/>
          <w:lang w:eastAsia="zh-CN"/>
        </w:rPr>
        <w:t>35kV双回路分列运行，单回路供电线路检修</w:t>
      </w:r>
      <w:r>
        <w:rPr>
          <w:rFonts w:hint="eastAsia" w:ascii="仿宋_GB2312" w:hAnsi="仿宋_GB2312" w:eastAsia="仿宋_GB2312" w:cs="仿宋_GB2312"/>
          <w:color w:val="auto"/>
          <w:kern w:val="0"/>
          <w:sz w:val="28"/>
          <w:szCs w:val="28"/>
          <w:highlight w:val="yellow"/>
          <w:lang w:val="en-US" w:eastAsia="zh-CN"/>
        </w:rPr>
        <w:t>或故障期间，使用的回路或</w:t>
      </w:r>
      <w:r>
        <w:rPr>
          <w:rFonts w:hint="eastAsia" w:ascii="仿宋_GB2312" w:hAnsi="仿宋_GB2312" w:eastAsia="仿宋_GB2312" w:cs="仿宋_GB2312"/>
          <w:color w:val="auto"/>
          <w:kern w:val="0"/>
          <w:sz w:val="28"/>
          <w:szCs w:val="28"/>
          <w:highlight w:val="yellow"/>
          <w:lang w:eastAsia="zh-CN"/>
        </w:rPr>
        <w:t>35kV</w:t>
      </w:r>
      <w:r>
        <w:rPr>
          <w:rFonts w:hint="eastAsia" w:ascii="仿宋_GB2312" w:hAnsi="仿宋_GB2312" w:eastAsia="仿宋_GB2312" w:cs="仿宋_GB2312"/>
          <w:color w:val="auto"/>
          <w:kern w:val="0"/>
          <w:sz w:val="28"/>
          <w:szCs w:val="28"/>
          <w:highlight w:val="yellow"/>
          <w:lang w:val="en-US" w:eastAsia="zh-CN"/>
        </w:rPr>
        <w:t>另一</w:t>
      </w:r>
      <w:r>
        <w:rPr>
          <w:rFonts w:hint="eastAsia" w:ascii="仿宋_GB2312" w:hAnsi="仿宋_GB2312" w:eastAsia="仿宋_GB2312" w:cs="仿宋_GB2312"/>
          <w:color w:val="auto"/>
          <w:kern w:val="0"/>
          <w:sz w:val="28"/>
          <w:szCs w:val="28"/>
          <w:highlight w:val="yellow"/>
          <w:lang w:eastAsia="zh-CN"/>
        </w:rPr>
        <w:t>回路</w:t>
      </w:r>
      <w:r>
        <w:rPr>
          <w:rFonts w:hint="eastAsia" w:ascii="仿宋_GB2312" w:hAnsi="仿宋_GB2312" w:eastAsia="仿宋_GB2312" w:cs="仿宋_GB2312"/>
          <w:color w:val="auto"/>
          <w:kern w:val="0"/>
          <w:sz w:val="28"/>
          <w:szCs w:val="28"/>
          <w:highlight w:val="yellow"/>
          <w:lang w:val="en-US" w:eastAsia="zh-CN"/>
        </w:rPr>
        <w:t>供电出现故障。按照矿井双回路供电故障停电处置措施进行处置。</w:t>
      </w:r>
    </w:p>
    <w:p w14:paraId="49B635F3">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7</w:t>
      </w:r>
      <w:r>
        <w:rPr>
          <w:rFonts w:hint="eastAsia" w:ascii="仿宋_GB2312" w:hAnsi="仿宋_GB2312" w:eastAsia="仿宋_GB2312" w:cs="仿宋_GB2312"/>
          <w:color w:val="auto"/>
          <w:kern w:val="0"/>
          <w:sz w:val="28"/>
          <w:szCs w:val="28"/>
          <w:highlight w:val="yellow"/>
        </w:rPr>
        <w:t>）调度室通知救护队和医疗救护队伍集合待命，并立即报告值班矿领导、分管矿领导、矿长，通知有关部门和单位立即到调度室集合。</w:t>
      </w:r>
    </w:p>
    <w:p w14:paraId="1E8A9E20">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8</w:t>
      </w:r>
      <w:r>
        <w:rPr>
          <w:rFonts w:hint="eastAsia" w:ascii="仿宋_GB2312" w:hAnsi="仿宋_GB2312" w:eastAsia="仿宋_GB2312" w:cs="仿宋_GB2312"/>
          <w:color w:val="auto"/>
          <w:kern w:val="0"/>
          <w:sz w:val="28"/>
          <w:szCs w:val="28"/>
          <w:highlight w:val="yellow"/>
        </w:rPr>
        <w:t>）调度室立即联系供电部门，询问停电原因、停电时间、停电处置情况，并向指挥部汇报，由指挥部根据停电情况安排下一步应急处置工作。</w:t>
      </w:r>
    </w:p>
    <w:p w14:paraId="47C4E8E2">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9</w:t>
      </w:r>
      <w:r>
        <w:rPr>
          <w:rFonts w:hint="eastAsia" w:ascii="仿宋_GB2312" w:hAnsi="仿宋_GB2312" w:eastAsia="仿宋_GB2312" w:cs="仿宋_GB2312"/>
          <w:color w:val="auto"/>
          <w:kern w:val="0"/>
          <w:sz w:val="28"/>
          <w:szCs w:val="28"/>
          <w:highlight w:val="yellow"/>
        </w:rPr>
        <w:t>）利用安全监控系统不间断监测矿井各地点环境参数等情况，对监测数据进行分析，发生异常立即报告指挥部。</w:t>
      </w:r>
    </w:p>
    <w:p w14:paraId="58891505">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10</w:t>
      </w:r>
      <w:r>
        <w:rPr>
          <w:rFonts w:hint="eastAsia" w:ascii="仿宋_GB2312" w:hAnsi="仿宋_GB2312" w:eastAsia="仿宋_GB2312" w:cs="仿宋_GB2312"/>
          <w:color w:val="auto"/>
          <w:kern w:val="0"/>
          <w:sz w:val="28"/>
          <w:szCs w:val="28"/>
          <w:highlight w:val="yellow"/>
        </w:rPr>
        <w:t>）确认在10min内无法处理恢复供电紧急停风时，主要通风机司机立即打开风井防爆盖并敞开安全门，充分利用矿井自然风压通风。（启动主通风机停风应急预案）</w:t>
      </w:r>
    </w:p>
    <w:p w14:paraId="71A270E0">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11</w:t>
      </w:r>
      <w:r>
        <w:rPr>
          <w:rFonts w:hint="eastAsia" w:ascii="仿宋_GB2312" w:hAnsi="仿宋_GB2312" w:eastAsia="仿宋_GB2312" w:cs="仿宋_GB2312"/>
          <w:color w:val="auto"/>
          <w:kern w:val="0"/>
          <w:sz w:val="28"/>
          <w:szCs w:val="28"/>
          <w:highlight w:val="yellow"/>
        </w:rPr>
        <w:t>）外电全部停电后，立即启动应急电源，井下所有人员应服从统一指挥，在清点人员后有组织的按避灾路线尽快升井，人员升井后清点人数做好记录。要利用井下人员定位系统对井下人员撤离情况进行监测，准确掌握井下人员的撤离情况。</w:t>
      </w:r>
    </w:p>
    <w:p w14:paraId="3828E0A0">
      <w:pPr>
        <w:spacing w:line="440" w:lineRule="exact"/>
        <w:ind w:firstLine="560" w:firstLineChars="200"/>
        <w:rPr>
          <w:rFonts w:ascii="仿宋_GB2312" w:hAnsi="仿宋_GB2312" w:eastAsia="仿宋_GB2312" w:cs="仿宋_GB2312"/>
          <w:color w:val="auto"/>
          <w:kern w:val="0"/>
          <w:sz w:val="28"/>
          <w:szCs w:val="28"/>
          <w:highlight w:val="yellow"/>
        </w:rPr>
      </w:pPr>
      <w:r>
        <w:rPr>
          <w:rFonts w:hint="eastAsia" w:ascii="仿宋_GB2312" w:hAnsi="仿宋_GB2312" w:eastAsia="仿宋_GB2312" w:cs="仿宋_GB2312"/>
          <w:color w:val="auto"/>
          <w:kern w:val="0"/>
          <w:sz w:val="28"/>
          <w:szCs w:val="28"/>
          <w:highlight w:val="yellow"/>
        </w:rPr>
        <w:t>（</w:t>
      </w:r>
      <w:r>
        <w:rPr>
          <w:rFonts w:hint="eastAsia" w:ascii="仿宋_GB2312" w:hAnsi="仿宋_GB2312" w:eastAsia="仿宋_GB2312" w:cs="仿宋_GB2312"/>
          <w:color w:val="auto"/>
          <w:kern w:val="0"/>
          <w:sz w:val="28"/>
          <w:szCs w:val="28"/>
          <w:highlight w:val="yellow"/>
          <w:lang w:val="en-US" w:eastAsia="zh-CN"/>
        </w:rPr>
        <w:t>12</w:t>
      </w:r>
      <w:r>
        <w:rPr>
          <w:rFonts w:hint="eastAsia" w:ascii="仿宋_GB2312" w:hAnsi="仿宋_GB2312" w:eastAsia="仿宋_GB2312" w:cs="仿宋_GB2312"/>
          <w:color w:val="auto"/>
          <w:kern w:val="0"/>
          <w:sz w:val="28"/>
          <w:szCs w:val="28"/>
          <w:highlight w:val="yellow"/>
        </w:rPr>
        <w:t>）矿井恢复供电后，按照主通风机停风的应急处置措施恢复井下通风。</w:t>
      </w:r>
    </w:p>
    <w:p w14:paraId="41ACABE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8.3.2.4消防</w:t>
      </w:r>
    </w:p>
    <w:p w14:paraId="4790F62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7DE012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8.3.2.5现场恢复</w:t>
      </w:r>
    </w:p>
    <w:p w14:paraId="66172A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077742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2611B9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6696CED3">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8.3.4 报警电话及相关救援单位联络</w:t>
      </w:r>
    </w:p>
    <w:p w14:paraId="4FBB7D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79CF5D5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011410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78CE54D8">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033DE0C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6D0DA54A">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78" w:name="_Toc28851"/>
      <w:bookmarkStart w:id="479" w:name="_Toc10151"/>
      <w:r>
        <w:rPr>
          <w:rFonts w:hint="eastAsia" w:ascii="楷体_GB2312" w:hAnsi="楷体_GB2312" w:eastAsia="楷体_GB2312" w:cs="楷体_GB2312"/>
          <w:color w:val="auto"/>
          <w:sz w:val="30"/>
          <w:szCs w:val="30"/>
          <w:highlight w:val="none"/>
        </w:rPr>
        <w:t>8.4 注意事项</w:t>
      </w:r>
      <w:bookmarkEnd w:id="478"/>
      <w:bookmarkEnd w:id="479"/>
    </w:p>
    <w:p w14:paraId="7C60CD45">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8.4.1 人员防护</w:t>
      </w:r>
    </w:p>
    <w:p w14:paraId="76C659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554C53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1ED002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60CA226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1ECC669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8.4.2 自救互救</w:t>
      </w:r>
    </w:p>
    <w:p w14:paraId="77ADD88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（1）发生全矿井停电，必须以最短的时间首先恢复主扇风机供电、主排水泵房和副井绞车房的供电。</w:t>
      </w:r>
    </w:p>
    <w:p w14:paraId="70CC8F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（2）采掘工作面或其它地点受停电停风影响时，现场人员必须停止作业，立即发出警报，撤出所有受停电停风威胁地点的人员，撤离时必须按指定的避灾路线撤离。</w:t>
      </w:r>
    </w:p>
    <w:p w14:paraId="49D113C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（3）若停电停风巷道内有压风管，可打开压风管供人员呼吸。</w:t>
      </w:r>
    </w:p>
    <w:p w14:paraId="7E6410B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（4）若停电停风距离井口较远，可取就近的压风自救装置或打开压风管路分支闸阀供人员呼吸。附近如有临时避险硐室，人员可进入临时避险硐室，等待救援。</w:t>
      </w:r>
    </w:p>
    <w:p w14:paraId="2425AA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（5）若现场发生人身触电事故，现场人员应首先及时切断电源，并防止二次伤害发生。当触电人脱离电源后，应根据触电人具体情况迅速汇报调度及值班领导并组织现场救护，如伤势严重应及时拨打 120 急救电话。</w:t>
      </w:r>
    </w:p>
    <w:p w14:paraId="09CC62C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（6）在救护人员未到达之前，现场救助人员应不得停止对触电人员进行人工呼吸及心脏复苏救护。</w:t>
      </w:r>
    </w:p>
    <w:p w14:paraId="723AA0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（7）电气事故抢修处理时必须严格执行各工种安全技术操作规程及有关规定，严禁违章作业和冒险蛮干。</w:t>
      </w:r>
    </w:p>
    <w:p w14:paraId="79FCEBD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8.4.3 装备使用</w:t>
      </w:r>
    </w:p>
    <w:p w14:paraId="7DA0EB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4BB872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6CDCA76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5DB57E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079CD9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6679980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8.4.4 现场安全</w:t>
      </w:r>
    </w:p>
    <w:p w14:paraId="6289AF2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494202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78FA4B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0E936E2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0B6AB0C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70F33F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6860FC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575BB84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66303D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4E79837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（10）进入避难硐室前，应在硐室外留有明显标志，以便救护队发现。</w:t>
      </w:r>
    </w:p>
    <w:p w14:paraId="756F69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（11）待救时应保持冷静、不得急躁，以减少氧气消耗，保持体力。</w:t>
      </w:r>
    </w:p>
    <w:p w14:paraId="5399A6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（12）硐室内保留一盏灯照明，其余矿灯全部关闭。</w:t>
      </w:r>
    </w:p>
    <w:p w14:paraId="0994A406">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80" w:name="_Toc11875"/>
      <w:bookmarkStart w:id="481" w:name="_Toc10330"/>
      <w:r>
        <w:rPr>
          <w:rFonts w:hint="eastAsia" w:ascii="楷体_GB2312" w:hAnsi="楷体_GB2312" w:eastAsia="楷体_GB2312" w:cs="楷体_GB2312"/>
          <w:color w:val="auto"/>
          <w:sz w:val="30"/>
          <w:szCs w:val="30"/>
          <w:highlight w:val="none"/>
        </w:rPr>
        <w:t>8.5 其他需要特别警示的事项</w:t>
      </w:r>
      <w:bookmarkEnd w:id="480"/>
      <w:bookmarkEnd w:id="481"/>
    </w:p>
    <w:p w14:paraId="031365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254731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6B7EB0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255AE2F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r>
        <w:rPr>
          <w:rFonts w:ascii="仿宋_GB2312" w:hAnsi="仿宋_GB2312" w:eastAsia="仿宋_GB2312" w:cs="仿宋_GB2312"/>
          <w:color w:val="auto"/>
          <w:kern w:val="0"/>
          <w:sz w:val="28"/>
          <w:szCs w:val="28"/>
          <w:highlight w:val="none"/>
        </w:rPr>
        <w:br w:type="page"/>
      </w:r>
    </w:p>
    <w:p w14:paraId="79101760">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482" w:name="_Toc23326"/>
      <w:bookmarkStart w:id="483" w:name="_Toc3180"/>
      <w:r>
        <w:rPr>
          <w:rFonts w:hint="eastAsia" w:ascii="黑体" w:hAnsi="黑体" w:eastAsia="黑体" w:cs="黑体"/>
          <w:color w:val="auto"/>
          <w:sz w:val="30"/>
          <w:szCs w:val="30"/>
          <w:highlight w:val="none"/>
        </w:rPr>
        <w:t>9 提升运输事故现场处置方案</w:t>
      </w:r>
      <w:bookmarkEnd w:id="482"/>
      <w:bookmarkEnd w:id="483"/>
    </w:p>
    <w:p w14:paraId="74DE1449">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84" w:name="_Toc552"/>
      <w:bookmarkStart w:id="485" w:name="_Toc12081"/>
      <w:r>
        <w:rPr>
          <w:rFonts w:hint="eastAsia" w:ascii="楷体_GB2312" w:hAnsi="楷体_GB2312" w:eastAsia="楷体_GB2312" w:cs="楷体_GB2312"/>
          <w:color w:val="auto"/>
          <w:sz w:val="30"/>
          <w:szCs w:val="30"/>
          <w:highlight w:val="none"/>
        </w:rPr>
        <w:t>9.1 事故风险描述</w:t>
      </w:r>
      <w:bookmarkEnd w:id="484"/>
      <w:bookmarkEnd w:id="485"/>
    </w:p>
    <w:p w14:paraId="130104A9">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9.1.1 风险描述</w:t>
      </w:r>
    </w:p>
    <w:p w14:paraId="420A74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（1）矿井提升运输事故包括立井提升机断绳、提升容器坠落（蹲罐）、坠物（坠人）、卡罐、提升容器过卷及提升系统设备损坏；</w:t>
      </w:r>
    </w:p>
    <w:p w14:paraId="7994BFD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（2）斜巷轨道因矿车连接跳销、断环和断碰头、挡车设施、保护装置失效等引起的斜巷跑车、车辆脱轨等；</w:t>
      </w:r>
    </w:p>
    <w:p w14:paraId="4FC07E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（3）架空乘人装置乘人钢丝绳发生断绳、变坡点掉绳、或因各项保护失效、单边上下人数较多及减速机断轴且安全闸失效时发生飞车等；</w:t>
      </w:r>
    </w:p>
    <w:p w14:paraId="4F52B01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（4）带式输送机输送带着火、输送带撕裂、断带、煤仓溃仓、人员坠仓、输送带挤人、卷人等；</w:t>
      </w:r>
    </w:p>
    <w:p w14:paraId="34241FC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（5）平巷轨道运输电机车牵引列车（人行车、矿车）发生掉道、翻车、撞事故人、灯、铃、制动失效</w:t>
      </w:r>
      <w:r>
        <w:rPr>
          <w:rFonts w:hint="eastAsia" w:ascii="仿宋_GB2312" w:hAnsi="仿宋_GB2312" w:eastAsia="仿宋_GB2312" w:cs="仿宋_GB2312"/>
          <w:color w:val="auto"/>
          <w:kern w:val="0"/>
          <w:sz w:val="28"/>
          <w:szCs w:val="28"/>
          <w:highlight w:val="none"/>
          <w:lang w:eastAsia="zh-CN"/>
        </w:rPr>
        <w:t>；</w:t>
      </w:r>
    </w:p>
    <w:p w14:paraId="49BF3A3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（6）单轨吊</w:t>
      </w:r>
      <w:r>
        <w:rPr>
          <w:rFonts w:hint="eastAsia" w:ascii="仿宋_GB2312" w:hAnsi="仿宋_GB2312" w:eastAsia="仿宋_GB2312" w:cs="仿宋_GB2312"/>
          <w:color w:val="auto"/>
          <w:kern w:val="0"/>
          <w:sz w:val="28"/>
          <w:szCs w:val="28"/>
          <w:highlight w:val="none"/>
          <w:lang w:eastAsia="zh-CN"/>
        </w:rPr>
        <w:t>机车</w:t>
      </w:r>
      <w:r>
        <w:rPr>
          <w:rFonts w:hint="eastAsia" w:ascii="仿宋_GB2312" w:hAnsi="仿宋_GB2312" w:eastAsia="仿宋_GB2312" w:cs="仿宋_GB2312"/>
          <w:color w:val="auto"/>
          <w:kern w:val="0"/>
          <w:sz w:val="28"/>
          <w:szCs w:val="28"/>
          <w:highlight w:val="none"/>
        </w:rPr>
        <w:t>可燃性液体火灾、牵引力或制动力不足造成单轨吊飞车或吊轨及吊挂设施失效，造成单轨吊坠落或脱轨等。</w:t>
      </w:r>
    </w:p>
    <w:p w14:paraId="3D74376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w:t>
      </w:r>
      <w:r>
        <w:rPr>
          <w:rFonts w:ascii="仿宋_GB2312" w:hAnsi="仿宋_GB2312" w:eastAsia="仿宋_GB2312" w:cs="仿宋_GB2312"/>
          <w:b/>
          <w:bCs/>
          <w:snapToGrid w:val="0"/>
          <w:color w:val="auto"/>
          <w:kern w:val="0"/>
          <w:sz w:val="30"/>
          <w:szCs w:val="30"/>
          <w:highlight w:val="none"/>
        </w:rPr>
        <w:t>1.2 风险评估结果</w:t>
      </w:r>
    </w:p>
    <w:p w14:paraId="480B4A1E">
      <w:pPr>
        <w:spacing w:line="520" w:lineRule="exact"/>
        <w:ind w:firstLine="560" w:firstLineChars="200"/>
        <w:rPr>
          <w:rFonts w:ascii="仿宋_GB2312" w:hAnsi="仿宋_GB2312" w:eastAsia="仿宋_GB2312" w:cs="仿宋_GB2312"/>
          <w:color w:val="auto"/>
          <w:sz w:val="30"/>
          <w:szCs w:val="30"/>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提升运输事故风险评估为重大风险。</w:t>
      </w:r>
    </w:p>
    <w:p w14:paraId="34C2731C">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86" w:name="_Toc25459"/>
      <w:bookmarkStart w:id="487" w:name="_Toc29047"/>
      <w:bookmarkStart w:id="488" w:name="_Toc29720"/>
      <w:bookmarkStart w:id="489" w:name="_Toc30014"/>
      <w:bookmarkStart w:id="490" w:name="_Toc1380"/>
      <w:bookmarkStart w:id="491" w:name="_Toc21016"/>
      <w:r>
        <w:rPr>
          <w:rFonts w:hint="eastAsia" w:ascii="楷体_GB2312" w:hAnsi="楷体_GB2312" w:eastAsia="楷体_GB2312" w:cs="楷体_GB2312"/>
          <w:color w:val="auto"/>
          <w:sz w:val="30"/>
          <w:szCs w:val="30"/>
          <w:highlight w:val="none"/>
        </w:rPr>
        <w:t>9.</w:t>
      </w:r>
      <w:r>
        <w:rPr>
          <w:rFonts w:ascii="楷体_GB2312" w:hAnsi="楷体_GB2312" w:eastAsia="楷体_GB2312" w:cs="楷体_GB2312"/>
          <w:color w:val="auto"/>
          <w:sz w:val="30"/>
          <w:szCs w:val="30"/>
          <w:highlight w:val="none"/>
        </w:rPr>
        <w:t>2 应急工作职责</w:t>
      </w:r>
      <w:bookmarkEnd w:id="486"/>
      <w:bookmarkEnd w:id="487"/>
      <w:bookmarkEnd w:id="488"/>
      <w:bookmarkEnd w:id="489"/>
      <w:bookmarkEnd w:id="490"/>
      <w:bookmarkEnd w:id="491"/>
    </w:p>
    <w:p w14:paraId="0DDFF2E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w:t>
      </w:r>
      <w:r>
        <w:rPr>
          <w:rFonts w:ascii="仿宋_GB2312" w:hAnsi="仿宋_GB2312" w:eastAsia="仿宋_GB2312" w:cs="仿宋_GB2312"/>
          <w:b/>
          <w:bCs/>
          <w:snapToGrid w:val="0"/>
          <w:color w:val="auto"/>
          <w:kern w:val="0"/>
          <w:sz w:val="30"/>
          <w:szCs w:val="30"/>
          <w:highlight w:val="none"/>
        </w:rPr>
        <w:t>2.1 应急自救小组</w:t>
      </w:r>
    </w:p>
    <w:p w14:paraId="110EE98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32C29A7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3689F24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5A618BC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w:t>
      </w:r>
      <w:r>
        <w:rPr>
          <w:rFonts w:ascii="仿宋_GB2312" w:hAnsi="仿宋_GB2312" w:eastAsia="仿宋_GB2312" w:cs="仿宋_GB2312"/>
          <w:b/>
          <w:bCs/>
          <w:snapToGrid w:val="0"/>
          <w:color w:val="auto"/>
          <w:kern w:val="0"/>
          <w:sz w:val="30"/>
          <w:szCs w:val="30"/>
          <w:highlight w:val="none"/>
        </w:rPr>
        <w:t>2.2 具体职责</w:t>
      </w:r>
    </w:p>
    <w:p w14:paraId="4461644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5D50EF9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272234B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0866701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1B70865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（5）管理人员：根据事故性质和严重程度，组织现场人员进行应急处置，若事态扩大，立即请求增援。</w:t>
      </w:r>
    </w:p>
    <w:p w14:paraId="1713D9F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rPr>
        <w:t>维修</w:t>
      </w:r>
      <w:r>
        <w:rPr>
          <w:rFonts w:ascii="仿宋_GB2312" w:hAnsi="仿宋_GB2312" w:eastAsia="仿宋_GB2312" w:cs="仿宋_GB2312"/>
          <w:color w:val="auto"/>
          <w:kern w:val="0"/>
          <w:sz w:val="28"/>
          <w:szCs w:val="28"/>
          <w:highlight w:val="none"/>
        </w:rPr>
        <w:t>工：根据事故的严重程度，按照救援小组安排，负责</w:t>
      </w:r>
      <w:r>
        <w:rPr>
          <w:rFonts w:hint="eastAsia" w:ascii="仿宋_GB2312" w:hAnsi="仿宋_GB2312" w:eastAsia="仿宋_GB2312" w:cs="仿宋_GB2312"/>
          <w:color w:val="auto"/>
          <w:kern w:val="0"/>
          <w:sz w:val="28"/>
          <w:szCs w:val="28"/>
          <w:highlight w:val="none"/>
        </w:rPr>
        <w:t>设备设施维修</w:t>
      </w:r>
      <w:r>
        <w:rPr>
          <w:rFonts w:ascii="仿宋_GB2312" w:hAnsi="仿宋_GB2312" w:eastAsia="仿宋_GB2312" w:cs="仿宋_GB2312"/>
          <w:color w:val="auto"/>
          <w:kern w:val="0"/>
          <w:sz w:val="28"/>
          <w:szCs w:val="28"/>
          <w:highlight w:val="none"/>
        </w:rPr>
        <w:t>。</w:t>
      </w:r>
    </w:p>
    <w:p w14:paraId="61B8E72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（7）电工：听从指令，负责电气设备停送电管理，设备设施电气系统维修。</w:t>
      </w:r>
    </w:p>
    <w:p w14:paraId="3FF8BC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：负责事故现场人员应急处置监督。</w:t>
      </w:r>
    </w:p>
    <w:p w14:paraId="0C11D4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w:t>
      </w:r>
      <w:r>
        <w:rPr>
          <w:rFonts w:ascii="仿宋_GB2312" w:hAnsi="仿宋_GB2312" w:eastAsia="仿宋_GB2312" w:cs="仿宋_GB2312"/>
          <w:color w:val="auto"/>
          <w:kern w:val="0"/>
          <w:sz w:val="28"/>
          <w:szCs w:val="28"/>
          <w:highlight w:val="none"/>
        </w:rPr>
        <w:t>现场作业人员：积极开展应急处置</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p>
    <w:p w14:paraId="4143B11E">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92" w:name="_Toc12492"/>
      <w:bookmarkStart w:id="493" w:name="_Toc13712"/>
      <w:r>
        <w:rPr>
          <w:rFonts w:hint="eastAsia" w:ascii="楷体_GB2312" w:hAnsi="楷体_GB2312" w:eastAsia="楷体_GB2312" w:cs="楷体_GB2312"/>
          <w:color w:val="auto"/>
          <w:sz w:val="30"/>
          <w:szCs w:val="30"/>
          <w:highlight w:val="none"/>
        </w:rPr>
        <w:t>9.</w:t>
      </w:r>
      <w:r>
        <w:rPr>
          <w:rFonts w:ascii="楷体_GB2312" w:hAnsi="楷体_GB2312" w:eastAsia="楷体_GB2312" w:cs="楷体_GB2312"/>
          <w:color w:val="auto"/>
          <w:sz w:val="30"/>
          <w:szCs w:val="30"/>
          <w:highlight w:val="none"/>
        </w:rPr>
        <w:t>3 应急处置</w:t>
      </w:r>
      <w:bookmarkEnd w:id="492"/>
      <w:bookmarkEnd w:id="493"/>
    </w:p>
    <w:p w14:paraId="17D843A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w:t>
      </w:r>
      <w:r>
        <w:rPr>
          <w:rFonts w:ascii="仿宋_GB2312" w:hAnsi="仿宋_GB2312" w:eastAsia="仿宋_GB2312" w:cs="仿宋_GB2312"/>
          <w:b/>
          <w:bCs/>
          <w:snapToGrid w:val="0"/>
          <w:color w:val="auto"/>
          <w:kern w:val="0"/>
          <w:sz w:val="30"/>
          <w:szCs w:val="30"/>
          <w:highlight w:val="none"/>
        </w:rPr>
        <w:t>3.1 事故应急处置程序</w:t>
      </w:r>
    </w:p>
    <w:p w14:paraId="0C107A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2FA4FF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6FF6D2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1AC9A77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根据综合应急预案应急响应分级，达到启动上一级应急响应，按照专项预案程序进行处置；召请矿山救护队组织抢救，调度室立即通知医院医疗救护人员到达事故现场或到井口待命。</w:t>
      </w:r>
    </w:p>
    <w:p w14:paraId="177FB7C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2EA6E4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9.3.2.1人员救护</w:t>
      </w:r>
    </w:p>
    <w:p w14:paraId="4FC2093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（一）发生事故后，现场人员要迅速了解或判明提升运输事故发生的地点、范围和危害程度，是否有人员伤害，并根据现场实际情况，及时报告调度室及运输工区值班人员。</w:t>
      </w:r>
    </w:p>
    <w:p w14:paraId="7BB6031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（二）确定避灾和互救的方法，停止事故影响区域作业，组织抢救遇险人员，如无法保证自身安全，应立即撤至安全地点及时报告调度室及工区值班人员。</w:t>
      </w:r>
    </w:p>
    <w:p w14:paraId="6465090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（三）如有人员受伤，要及时组织救助，帮助撤离到顶板完好、通风良好地点，并迅速运送升井到医院救治。</w:t>
      </w:r>
    </w:p>
    <w:p w14:paraId="4F9C585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（四）对于提升运输事故造成巷道坍塌掩埋的人员及时清理鼻孔、口腔的堵塞物。</w:t>
      </w:r>
    </w:p>
    <w:p w14:paraId="2D8657D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（五）高处坠落的人员，事故现场作业人员应在现场负责人指挥下，立即组织自救互救。发现伤员及时进行止血、包扎和骨折固定等紧急处理。</w:t>
      </w:r>
    </w:p>
    <w:p w14:paraId="57B4E4B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（1）‌休克与昏迷抢救措施‌：若伤者‌休克与昏迷时，要让其‌平卧、保暖、下肢抬高20度‌；昏迷者‌面部转向一侧‌，防止呕吐物堵塞气道。</w:t>
      </w:r>
    </w:p>
    <w:p w14:paraId="2176FFF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（2）‌骨折与出血抢救措施‌：若伤者‌骨折与出血，出血处用干净纱布按压止血；骨折部位‌先固定再搬运‌，脊柱骨折必须用硬板平抬，严禁背运或扭曲身体。</w:t>
      </w:r>
    </w:p>
    <w:p w14:paraId="32B611E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（3）‌心跳呼吸停止抢救措施‌：若伤者没呼吸心跳，立即进行‌人工呼吸和胸外心脏按压‌，直到心跳恢复。</w:t>
      </w:r>
    </w:p>
    <w:p w14:paraId="0621AB5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（六）调度室接到事故汇报后，值班调度员立即通过井下语音广播系统、无线通讯系统、调度通讯系统等，通知到井下所有可能受事故波及区域人员撤离。在矿山救护队监护下组织抢救遇险人员及处理事故工作。</w:t>
      </w:r>
    </w:p>
    <w:p w14:paraId="51080BE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（七）医疗救护组要安排医务人员携带必要的抢险医药器具及时到达井口待命，必要时到达井下事故现场，对抢救出的受伤人员进行紧急医疗救治或护送上井救治。</w:t>
      </w:r>
    </w:p>
    <w:p w14:paraId="0DEE584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（八）施救中选用起重、破拆、千斤顶等装备搬移挪动设备时，应采取措施保护遇险人员安全，免受二次伤害。</w:t>
      </w:r>
    </w:p>
    <w:p w14:paraId="0A442C6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九）组织人员立即清理运输通道、准备抢救车辆，并配备足够电机车、平巷人车、人工担架，确保抢救人员、物资及时运到事故现场。抢救出的遇险人员，要用毯子保温，对长期困在井下人员，不要用灯光照射眼睛。对受困或受挤压时间较长人员，按照医疗救护人员的指导采取有利于救治的对应措施。</w:t>
      </w:r>
    </w:p>
    <w:p w14:paraId="5A387E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9.3.2.2工艺操作</w:t>
      </w:r>
    </w:p>
    <w:p w14:paraId="0A7C82F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（一）主、副井提升事故现场应急处置措施</w:t>
      </w:r>
    </w:p>
    <w:p w14:paraId="4635011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（1）主、副井提升系统断绳事故现场应急处置措施</w:t>
      </w:r>
    </w:p>
    <w:p w14:paraId="76E3E6E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主提升为多绳提升，出现断一根或一到三根钢丝绳时，核实罐笼（箕斗）所在位置，制定可行的处置措施。若罐笼（箕斗）未坠入井底，应首先对罐笼（箕斗）进行固定，防止二次滑落；若坠入井底，按照坠罐（箕斗）事故应急处置措施处置。</w:t>
      </w:r>
    </w:p>
    <w:p w14:paraId="73F1614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②副井提升事故首先确定罐笼内是否有人员，若有人应首先救人。救援人员从梯子间进至坠罐处，将人员救至梯子间，从梯子间护送上井。</w:t>
      </w:r>
    </w:p>
    <w:p w14:paraId="26FEFA4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③核实钢丝绳断的位置及损坏钢丝绳的情况，回收断绳，调拨备用钢丝绳，制定措施进行更换。</w:t>
      </w:r>
    </w:p>
    <w:p w14:paraId="43F58D0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④施工时清理井架、井口附着物，井口设专人值守警戒，防止施工过程中坠物伤人。</w:t>
      </w:r>
    </w:p>
    <w:p w14:paraId="627360B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⑤对于主井箕斗和副井罐内无人时，从主滚筒上拆除损坏钢丝绳，处理完断绳后，然后根据实际情况更换合格的钢丝绳。</w:t>
      </w:r>
    </w:p>
    <w:p w14:paraId="3F064F4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⑥断绳造成坠罐（箕斗）事故的按照主、副井提升坠罐（箕斗）事故处置措施执行。</w:t>
      </w:r>
    </w:p>
    <w:p w14:paraId="70FD9DE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（2）主、副井提升系统坠罐（箕斗）事故现场应急处置措施</w:t>
      </w:r>
    </w:p>
    <w:p w14:paraId="61F567F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①副井提升系统坠罐确定副井罐内有人员时，应首先采取救人措施。</w:t>
      </w:r>
    </w:p>
    <w:p w14:paraId="5E1C58F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②救援时清理井架（塔）、井口附着物，井口设专人值守警戒，防止施工过程中坠物伤人。先行探查井筒内有毒有害气体和氧气浓度以及梯子间安全状况，在保证安全的情况下可以通过梯子间向下搜救。</w:t>
      </w:r>
    </w:p>
    <w:p w14:paraId="29DD583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③当罐笼坠入井底时，可以通过排水通道抢救遇险人员，积水较时采取排水措施，并采取局部通风措施，防止人员窒息。</w:t>
      </w:r>
    </w:p>
    <w:p w14:paraId="1CC3750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④提升人员井筒发生事故，需要使用事故井筒的，清理井口并设专人把守警戒。对井筒、提升系统及设备进行安全评估、检查和提升测试，确保提升安全可靠；</w:t>
      </w:r>
    </w:p>
    <w:p w14:paraId="5BAB203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⑤检查观察井筒上部是否有物品坠落危险，必要时在井筒上部断面安设防护盖板，保障救援安全。</w:t>
      </w:r>
    </w:p>
    <w:p w14:paraId="4D46659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⑥救援时间较长时，可以通过绳索和吊篮等方式为被困人员输送食物、饮料、相关药品及通信工具，维持被困人员生命和情绪稳定。</w:t>
      </w:r>
    </w:p>
    <w:p w14:paraId="7897D7D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⑦并检查坠罐（箕斗）损坏情况并进行处理。若罐内（箕斗）存有物料，应根据现场实际情况制定可行性措施卸掉负载，同时进行其它事项的处理。</w:t>
      </w:r>
    </w:p>
    <w:p w14:paraId="10A616C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（3）主、副井提升系统卡罐（箕斗）事故现场应急处理措施</w:t>
      </w:r>
    </w:p>
    <w:p w14:paraId="30C97F3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①副井提升系统卡罐，确定副井罐内有人员时，应首先采取救人措施。</w:t>
      </w:r>
    </w:p>
    <w:p w14:paraId="65790A6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救援时清理井架、井口附着物，井口设专人值守警戒，防止施工过程中坠物伤人。有梯子间的井筒，先行探查井筒内有毒有害气体和氧气浓度以及梯子间安全状况，在保证安全的情况下可以通过梯子间向下搜救。</w:t>
      </w:r>
    </w:p>
    <w:p w14:paraId="6BA83A7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③需要通过提升系统及设备进行探查搜救的，须经评估、检查和测试，确保提升系统及设备安全可靠后方可实施。</w:t>
      </w:r>
    </w:p>
    <w:p w14:paraId="654F4DD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④应急救援人员佩戴保险带，所带工具系绳入套防止掉落，配备使用通信工具保持联络。</w:t>
      </w:r>
    </w:p>
    <w:p w14:paraId="497AE05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⑤应急救援人员到达卡罐位置，先观察卡罐状况，必要时采取稳定或者加固措施，防止施救时罐笼再次坠落。</w:t>
      </w:r>
    </w:p>
    <w:p w14:paraId="4ACDA01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⑥救援时间较长时，可以通过绳索和吊篮等方式为被困人员输送食物、饮料、相关药品及通信工具，维持被困人员生命和情绪稳定。</w:t>
      </w:r>
    </w:p>
    <w:p w14:paraId="7F3421A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⑦检查观察井筒上部是否有物品坠落危险，必要时在井筒上部断面安设防护盖板，保障救援安全。救援人员用对讲机联系利用梯子间进行接送受困人员。</w:t>
      </w:r>
    </w:p>
    <w:p w14:paraId="3960F49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⑧检查卡罐（箕斗）损坏情况并进行处理。若罐内（箕斗）存有物料，应根据现场实际情况制定可行性措施卸掉负载，同时进行其它事项的处理。</w:t>
      </w:r>
    </w:p>
    <w:p w14:paraId="195823C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⑨如果是罐道损坏造成的，先进行必要的处理，把单罐提到井口位置，先处理损坏的罐耳，再处理罐道，恢复提升。</w:t>
      </w:r>
    </w:p>
    <w:p w14:paraId="6B75ECA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⑩主井提升因为卡箕斗而损坏钢丝绳罐道的，应首先对损坏的箕斗进行处置，固定、检查、处理井筒设施。组织人员更换钢丝绳罐道。</w:t>
      </w:r>
    </w:p>
    <w:p w14:paraId="0656077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（4）主、副井提升系统提升机房发生火灾现场应急处理措施</w:t>
      </w:r>
    </w:p>
    <w:p w14:paraId="0842ECD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①主、副井提升系统提升机房发生火灾时，提升</w:t>
      </w:r>
      <w:r>
        <w:rPr>
          <w:rFonts w:hint="eastAsia" w:ascii="仿宋_GB2312" w:hAnsi="仿宋_GB2312" w:eastAsia="仿宋_GB2312" w:cs="仿宋_GB2312"/>
          <w:color w:val="auto"/>
          <w:kern w:val="0"/>
          <w:sz w:val="28"/>
          <w:szCs w:val="28"/>
          <w:highlight w:val="none"/>
          <w:lang w:eastAsia="zh-CN"/>
        </w:rPr>
        <w:t>机</w:t>
      </w:r>
      <w:r>
        <w:rPr>
          <w:rFonts w:hint="eastAsia" w:ascii="仿宋_GB2312" w:hAnsi="仿宋_GB2312" w:eastAsia="仿宋_GB2312" w:cs="仿宋_GB2312"/>
          <w:color w:val="auto"/>
          <w:kern w:val="0"/>
          <w:sz w:val="28"/>
          <w:szCs w:val="28"/>
          <w:highlight w:val="none"/>
        </w:rPr>
        <w:t>司机立即停止设备运行，使用现场的灭火器材在上风口积极进行灭火。</w:t>
      </w:r>
    </w:p>
    <w:p w14:paraId="531D8E5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②现场人员应迅速切断事故现场电源，在确保个人安全的情况下汇报调度室和机电工区值班人员。</w:t>
      </w:r>
    </w:p>
    <w:p w14:paraId="475A934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③正确使用灭火器材、材料，扑灭初期火灾或控制灾情。</w:t>
      </w:r>
    </w:p>
    <w:p w14:paraId="07E37E9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④初期火灾不能及时扑灭或有效控制灾情时，启动“2.8矿井火灾事故专项应急预案”。</w:t>
      </w:r>
    </w:p>
    <w:p w14:paraId="40B203B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（5）主、副井罐道损坏事故现场应急处置措施</w:t>
      </w:r>
    </w:p>
    <w:p w14:paraId="742EFA1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副井罐道损坏时，井筒维修工沿梯子间到事发地点，对损坏罐道进行细致检查，确定提升机是否能运行，如能运行则将罐笼或箕斗缓慢提至上井口，检查、处理罐耳，然后更换损坏的罐道。如不能运行，现场处理损坏的罐耳、罐道。</w:t>
      </w:r>
    </w:p>
    <w:p w14:paraId="147B967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主井为钢丝绳罐道，损坏时主井提升机司机应立即停车，按下提升机闭锁开关，停止提升系统运行。应急处置人员到达事发地点后，按照专项措施，确定提升机是否能继续运行，如能运行则将箕斗缓慢提至上井口。如不能运行，现场井筒维修工检查损坏情况，对箕斗进行固定，然后再由矿相关人员制定钢丝绳罐道更换措施，对损坏钢丝绳进行更换。</w:t>
      </w:r>
    </w:p>
    <w:p w14:paraId="63B6689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（6）主、副井提升系统过卷事故现场应急处置措施</w:t>
      </w:r>
    </w:p>
    <w:p w14:paraId="23174CA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①副井出现过卷事故时，若罐笼内有人，则先采取措施将人员接出上井。然后采取相关措施恢复提升机运行，最后再恢复上下井口井筒装备。</w:t>
      </w:r>
    </w:p>
    <w:p w14:paraId="230DEC7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②主井出现过卷事故时，根据制定的专项处理措施，井筒维修人员由副井下井，到达事发地点，采取相关措施恢复提升机运行，再恢复上下井口井筒装备。</w:t>
      </w:r>
    </w:p>
    <w:p w14:paraId="2253892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（7）主、副井提升系统过装事故现场应急处置措施</w:t>
      </w:r>
    </w:p>
    <w:p w14:paraId="683DA7C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主井出现过装事故时，应制定安全技术措施，上井口专人看管，防止人员靠近或有人工作。井筒维修人员从副井下井到主井装载，采取措施将煤卸入仰井内，直到不超重为止。人员进入箕斗前必须把提升机闭锁且使用安全带。</w:t>
      </w:r>
    </w:p>
    <w:p w14:paraId="65486BB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②副井出现过装事故时，应制定技术措施，上井口专人看管，防止人员靠近或有人工作。运输工区等相关人员佩戴安全带，人工将超载物质分解，达到不超载时恢复提升。</w:t>
      </w:r>
    </w:p>
    <w:p w14:paraId="6720C95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（8）主、副井井口坠物事故现场应急处置措施</w:t>
      </w:r>
    </w:p>
    <w:p w14:paraId="7A55F15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当发生井口坠物时，停止提升系统运行，井筒维修人员对井筒内电缆、管路、钢丝绳、罐道、罐道梁及罐笼进行检查，查明原因，制定措施对损坏设施进行处理后，方可恢复运行。</w:t>
      </w:r>
    </w:p>
    <w:p w14:paraId="0E0076C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（9）主、副井提升机紧急制动现场应急处置措施</w:t>
      </w:r>
    </w:p>
    <w:p w14:paraId="614CF53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①当钢丝绳在运行中遭受包括紧急制动等原因在内的猛烈拉动时，司机必须立即停车，采取措施了解乘坐人员安全情况，如有人员受伤要报告调度室，制定救援措施，组织抢险人员对被困人员进行抢救。</w:t>
      </w:r>
    </w:p>
    <w:p w14:paraId="096B7BD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无人员伤亡时，维护工对提升机的各主要部件特别是钢丝绳和各部位连接装置以及制动机构进行详细检查，同时要对安全回路进行全面检查，确认完好后方可开车。因钢丝绳或各部位连接装置以及制动机构存在异常情况，短时间无法恢复运行时，现场负责人应组织人员撤离，人员撤离后对提升机异常部位进行抢修。</w:t>
      </w:r>
    </w:p>
    <w:p w14:paraId="31478F9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（10）主、副井提升电动机、电气控制装置损坏事故现场应急处置措施</w:t>
      </w:r>
    </w:p>
    <w:p w14:paraId="2C012F3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①事故发生后，首先确认罐笼（箕斗）停止的位置。如果是副井电动机事故应核实罐内是否有人，上井口把钩工及时向矿调度室、机电工区汇报。</w:t>
      </w:r>
    </w:p>
    <w:p w14:paraId="0A1D908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如果副井罐笼内有人，则先采取措施将人员送到井下或提至地面，设备不能运行时安排人员打开梯子间，引导经过梯子间升井。可制定措施利用主立井箕斗运行升降上、下井工作人员，由调度室协调组织机电工区进行主立井上下井口信号把钩工人员的安排，由安全监察部负责维持秩序。</w:t>
      </w:r>
    </w:p>
    <w:p w14:paraId="051C7F5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③机电工区接到主电动机、电气控制装置损坏事故汇报后，当班值班人员立即组织抢修人员。机电工区当天值班管理人员为现场指挥负责人，准备抢修用材料配件及其它特殊材料配件，等待指挥部的命令。</w:t>
      </w:r>
    </w:p>
    <w:p w14:paraId="3F9008D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④机电工区组织人员对主电动机进行抢修。如果电动机损坏，矿井无法处理，报机电副总工程师和机电管理部组织人员更换。</w:t>
      </w:r>
    </w:p>
    <w:p w14:paraId="71E831A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⑤如果是电气控制装置的个别保险损坏，值班电工查出后应立即更换，试车时应注意：主令给定一定少给慢给，发现异常立即停给定或拍紧停。试车无异常后，再恢复正常提升。</w:t>
      </w:r>
    </w:p>
    <w:p w14:paraId="4795CD1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⑥如果是其中一个整流装置的可控硅损坏，现场处置人员可切换到另外一套整流装置；若两套整流装置都损坏时，首先采取措施，先把人员提上来或放下去再进行处理。</w:t>
      </w:r>
    </w:p>
    <w:p w14:paraId="63CF348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⑦事故处理完毕后，由现场施工负责人组织对电控系统进行全面检查，确认无事故隐患点后，组织试运行2-3勾，确认无误后方可撤离现场，并及时汇报。</w:t>
      </w:r>
    </w:p>
    <w:p w14:paraId="3B1374B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（11）副井提升系统断尾绳事故现场应急处置措施</w:t>
      </w:r>
    </w:p>
    <w:p w14:paraId="59EBD92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①事故发生后，当班司机及时向矿调度室、机电工区汇报罐笼（箕斗）停止位置。如果是副井事故应核实罐内是否有人，上井口把钩工及时向矿调度室、机电工区汇。</w:t>
      </w:r>
    </w:p>
    <w:p w14:paraId="012C321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如果罐笼内有人，首先核实尾绳事故是否影响提升机应急运行。如果张力差允许，制定措施在现场负责人的监督下，由主司机操作，副司机监护，把人员放到井下或提至地面，未上井的井下人员由主立井上井。否则需采取措施配重运行。</w:t>
      </w:r>
    </w:p>
    <w:p w14:paraId="7A179DA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工区管理人员组织人员查看施工现场，做好记录，及时安排技术人员根据井筒装备损坏情况，制定安全技术措施，按规定撤出井下受影响作业人员，准备抢修用焊条、电焊机、氧气、乙炔等特殊材料配件，立即组织人员抢修。</w:t>
      </w:r>
    </w:p>
    <w:p w14:paraId="40CEE78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④将所有物品准备齐全后，按应急救援指挥部指令抢修或更换损坏的尾绳。</w:t>
      </w:r>
    </w:p>
    <w:p w14:paraId="713FA6E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（二）主运输带式输送机事故现场应急处置措施</w:t>
      </w:r>
    </w:p>
    <w:p w14:paraId="56ACB5B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（1）带式输送机火灾事故应急处置措施</w:t>
      </w:r>
    </w:p>
    <w:p w14:paraId="63EA47E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①带式输送机发生火灾时，输送机司机应立即停机，使用现场的灭火器材在上风口积极进行灭火。</w:t>
      </w:r>
    </w:p>
    <w:p w14:paraId="301A64D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②现场人员应迅速切断事故现场电源，在确保个人安全的情况下汇报调度室和机电工区值班人员。调度室及时通知下风口所有受到威胁的人员撤离。</w:t>
      </w:r>
    </w:p>
    <w:p w14:paraId="042DF68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③利用监测监控系统及时观察火灾现场回风区域的各种气体数据。正确使用灭火器材、材料，扑灭初期火灾或控制灾情。</w:t>
      </w:r>
    </w:p>
    <w:p w14:paraId="4A37B4E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④初期火灾不能及时扑灭或有效控制灾情时，启动“2.8矿井火灾事故专项应急预案”。</w:t>
      </w:r>
    </w:p>
    <w:p w14:paraId="58AFF0A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（2）带式输送机机械伤人事故现场应急处置措施</w:t>
      </w:r>
    </w:p>
    <w:p w14:paraId="0A718C8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①发现带式输送机转动部位伤人或运输胶带伤人时，要立即停止带式输送机运转并闭锁开关，及时救护人员。</w:t>
      </w:r>
    </w:p>
    <w:p w14:paraId="188C01E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②运输胶带伤人，应松开胶带输送张紧装置，截断胶带，救出受伤害人员。</w:t>
      </w:r>
    </w:p>
    <w:p w14:paraId="4D03271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（3）带式输送机断带事故现场应急处置措施</w:t>
      </w:r>
    </w:p>
    <w:p w14:paraId="4E3F44A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发生断带事故时，现场人员立即停止带式输送机运行，向调度室和工区值班人员汇报。根据现场情况，松开胶带机张紧装置，视情况决定对断开的胶带进行更换或对接。</w:t>
      </w:r>
    </w:p>
    <w:p w14:paraId="7076DB5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（4）带式输送机胶带撕裂事故现场应急处置措施</w:t>
      </w:r>
    </w:p>
    <w:p w14:paraId="7545156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①带式输送机胶带出现撕裂事故时，现场人员立即拉动沿线胶带机闭锁开关使输送机停机。</w:t>
      </w:r>
    </w:p>
    <w:p w14:paraId="24BD8F3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②撕带宽度小于原带宽度20%时，要将撕裂的胶带条剪掉；撕带宽度大于原带宽度20%时，必须制定专项安全技术措施更换胶带。</w:t>
      </w:r>
    </w:p>
    <w:p w14:paraId="5E8CDB0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③撕边胶带缠绕在滚筒轴上时，必须依据现场情况卡好夹板，采取拆卸滚筒等有效方式拉出胶带，或根据实际情况连接胶带处理。</w:t>
      </w:r>
    </w:p>
    <w:p w14:paraId="185A380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④处理完毕进行验收，合格后方可使用。</w:t>
      </w:r>
    </w:p>
    <w:p w14:paraId="7918C93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（三）架空乘人装置事故现场应急处置措施</w:t>
      </w:r>
    </w:p>
    <w:p w14:paraId="56C9E25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（1）架空乘人装置飞车、断绳事故现场应急处置措施</w:t>
      </w:r>
    </w:p>
    <w:p w14:paraId="64D02E4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①当发现架空乘人装置断绳、飞车事故时，操作人员应立即发出预警，并立即停止架空乘人装置电源。现场人员积极抢救受伤害人员。</w:t>
      </w:r>
    </w:p>
    <w:p w14:paraId="17ABBAB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②乘车人员应迅速下车，拉动沿线急停装置，停止架空乘人装置运转。</w:t>
      </w:r>
    </w:p>
    <w:p w14:paraId="10A2FB6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③乘车人员下车后，快速躲入最近安全硐内或尽可能远离绳道及座椅甩动轨迹区域，以避免车速过大后造成人员伤害。</w:t>
      </w:r>
    </w:p>
    <w:p w14:paraId="7B2B7CD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④现场人员积极实施救援的同时，立即向调度室和运输工区值班人员汇报。应根据实际情况，开展积极有效的自救和互救。</w:t>
      </w:r>
    </w:p>
    <w:p w14:paraId="17E2037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⑤在事故巷道设置警戒线、警示灯等警戒措施，并设专人值守，禁止无关人员通行。</w:t>
      </w:r>
    </w:p>
    <w:p w14:paraId="2754091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⑥注意观察事故现场周边设施、设备、巷道的变化情况，防止巷道构件塌落伤人，必要时加固巷道、消除隐患。</w:t>
      </w:r>
    </w:p>
    <w:p w14:paraId="731A205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⑦救援人员应在做好安全防范措施后再进行处置。人员抢救结束后，制定措施后进行处理设备或更换钢丝绳工作。</w:t>
      </w:r>
    </w:p>
    <w:p w14:paraId="60BDE51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（2）架空乘人装置机械、电气事故现场应急处置措施</w:t>
      </w:r>
    </w:p>
    <w:p w14:paraId="39E5931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①运输工区接到架空乘人装置事故汇报后，当班值班人员立即组织抢修人员，准备抢修用起吊设备（如手拉葫芦、钢丝套绳等）、棕绳、滑子等材料配件。</w:t>
      </w:r>
    </w:p>
    <w:p w14:paraId="45A3747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②抢修人员到位后，由盯班管理人员指定施工负责人，强调注意事项，对参加施工人员进行分工，抢修现场损坏的设施。</w:t>
      </w:r>
    </w:p>
    <w:p w14:paraId="4E03EA3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③由施工负责人对事故现场进一步勘查，查明事故原因做好记录。</w:t>
      </w:r>
    </w:p>
    <w:p w14:paraId="14EA348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（四）单轨吊运输事故现场应急处置措施</w:t>
      </w:r>
    </w:p>
    <w:p w14:paraId="59FC079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（1）单轨吊火灾事故应急处置措施</w:t>
      </w:r>
    </w:p>
    <w:p w14:paraId="11EFA01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①单轨吊运行或蓄电池充电过程中，出现着火时，现场人员立即停止运行、发出警报，切断事故现场电源并在上风口积极进行灭火。</w:t>
      </w:r>
    </w:p>
    <w:p w14:paraId="0E256FA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②在确保个人安全的情况下汇报调度室和工区值班人员。</w:t>
      </w:r>
    </w:p>
    <w:p w14:paraId="4458E85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③正确使用灭火器材、材料，扑灭初期火灾或控制灾情。</w:t>
      </w:r>
    </w:p>
    <w:p w14:paraId="6DBC123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④调度室及时通知撤出下风口所有受到威胁的人员撤离。</w:t>
      </w:r>
    </w:p>
    <w:p w14:paraId="07B5F41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⑤利用监测监控系统及时观察火灾现场回风区域的各种气体数据。</w:t>
      </w:r>
    </w:p>
    <w:p w14:paraId="0CD0EA1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⑥初期火灾不能及时扑灭或有效控制灾情时，启动“2.8矿井火灾事故专项应急预案”。</w:t>
      </w:r>
    </w:p>
    <w:p w14:paraId="0C93A88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（2）单轨吊运行、跑车伤人事故现场应急处置措施</w:t>
      </w:r>
    </w:p>
    <w:p w14:paraId="7AE8D15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①发生事故后，现场负责人立即组织危险区域人员撤离至安全区域，在确保安全的情况下组织开展自救和互救。</w:t>
      </w:r>
    </w:p>
    <w:p w14:paraId="2542F5D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②事故现场人员应视伤者情况尽快进行有效的抢救，立即救出至安全地点，对伤员进行止血、包扎和骨折固定等紧急处理后，迅速移交专业医护人员送医院救治。</w:t>
      </w:r>
    </w:p>
    <w:p w14:paraId="7312D66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③事故现场人员在对遇险人员进行抢救的同时，应对现场拉线划定警戒区域，采取措施防止事故蔓延扩大或导致次生事故的发生。</w:t>
      </w:r>
    </w:p>
    <w:p w14:paraId="746651B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④出现损坏巷道及顶板时，需将机车可靠固定后，首先处理顶板再恢复机车运行。</w:t>
      </w:r>
    </w:p>
    <w:p w14:paraId="6583A10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（3）单轨吊运行机车掉道、坠落事故现场应急处置措施。</w:t>
      </w:r>
    </w:p>
    <w:p w14:paraId="2FE2EC7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①发生事故或险情后，必须立即停止机车运行，以防事故扩大。出现损坏巷道及顶板时，需将机车可靠固定后，首先处理顶板再恢复机车运行。</w:t>
      </w:r>
    </w:p>
    <w:p w14:paraId="16F1F20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组织人员修复单轨吊机车及更换起吊锚杆和损坏的吊轨，现场人员将机车复轨前，需将机车未脱轨部位用完好40T链条或起吊装置可靠固定在后方吊轨或锚杆上，固定牢固后方可使用手拉葫芦复轨；单轨吊机车复轨时，应用不同长度链条将吊轨逐步放下形成斜坡，将机车下落部分逐步复轨。</w:t>
      </w:r>
    </w:p>
    <w:p w14:paraId="5C34BA8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（五）电机车运输事故现场应急处置措施</w:t>
      </w:r>
    </w:p>
    <w:p w14:paraId="0E02E3D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①发生提升机电机车运输事故，应立即停止车辆运行。现场人员及时对伤员进行抢救。</w:t>
      </w:r>
    </w:p>
    <w:p w14:paraId="4DD8AFF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②发现遇险人员立即救出至安全地点，对伤员进行止血、包扎和骨折固定等紧急处理后，迅速移交专业医护人员送医院救治。</w:t>
      </w:r>
    </w:p>
    <w:p w14:paraId="3C4AE64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（六）斜巷（调度、慢速）绞车事故现场应急处置措施</w:t>
      </w:r>
    </w:p>
    <w:p w14:paraId="6E6B338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①事故发生后，应采取紧急制动和固定跑车车辆措施，防止施救时车辆再次滑落。如果有人员伤亡时，首先对伤员进行抢救。</w:t>
      </w:r>
    </w:p>
    <w:p w14:paraId="6EAAEB7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②在事故巷道采取设置警戒线、警示灯等警戒措施，并设专人值守，禁止无关车辆和人员通行。</w:t>
      </w:r>
    </w:p>
    <w:p w14:paraId="1E1F977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③起重、搬移、挪动矿车时，防止车辆侧翻伤人，保护应急救援人员和遇险人员安全。</w:t>
      </w:r>
    </w:p>
    <w:p w14:paraId="5353DCB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④注意观察事故现场周边设施、设备、巷道的变化情况，防止巷道构件塌落伤人，必要时加固巷道、消除隐患。如果跑车造成巷道冒顶事故时，首先处理冒顶。</w:t>
      </w:r>
    </w:p>
    <w:p w14:paraId="290C8E0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⑤斜巷提升运输停电时出现停运事故，应立即组织有关人员进行送电，并检查各种保护、液压站、钢丝绳及信号通讯设施的完好。送电后，试运行无问题后恢复提升。</w:t>
      </w:r>
    </w:p>
    <w:p w14:paraId="2D0554A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⑥斜巷提升系统发生断绳事故，立即停止运行，查看断绳情况。组织人员更换或处理钢丝绳。</w:t>
      </w:r>
    </w:p>
    <w:p w14:paraId="478B1C2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⑦斜巷提升出现提升系统保护失灵时，立即停止运行，查看保护装置。处理完保护情况，并对保护装置进行试验灵敏可靠后，恢复提升设备运行。</w:t>
      </w:r>
    </w:p>
    <w:p w14:paraId="2D716EA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（七）平、斜巷运输车辆脱轨事故的现场应急处置措施</w:t>
      </w:r>
    </w:p>
    <w:p w14:paraId="62BB994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①现场人员根据现场情况采取相应的措施。</w:t>
      </w:r>
    </w:p>
    <w:p w14:paraId="27F6C33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②如果是轨道质量问题，组织轨道工对轨道进行整治，轨道合格后在单位带班人员或班组长的指挥下进行复轨。</w:t>
      </w:r>
    </w:p>
    <w:p w14:paraId="5ED0B9E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③采取紧急制动和固定车辆措施，防止施救时车辆再次脱轨。</w:t>
      </w:r>
    </w:p>
    <w:p w14:paraId="0057891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④复轨时，挂好车尾，使用复轨器，先抬一头复轨，后抬另一头复轨，人员要站在车辆上方，严禁站在车辆下方和车辆两边车辆伤害到的地方，严禁摘掉勾头复轨，严禁生拉硬拽用绞车复轨。</w:t>
      </w:r>
    </w:p>
    <w:p w14:paraId="62E83EF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（八）起重、吊装事故现场应急处置措施</w:t>
      </w:r>
    </w:p>
    <w:p w14:paraId="6CF1997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①出现起重、吊装事故，在抢救人员的同时，对吊装物件井下稳固，防止二次滑落，伤及人员。</w:t>
      </w:r>
    </w:p>
    <w:p w14:paraId="3981ACA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②当操作起重机械突发停电，应组织人员保护好现场。在工作场地周围竖立警示标志，派有关人员现场处理。</w:t>
      </w:r>
    </w:p>
    <w:p w14:paraId="244837E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③当操作起重机械发生绳索断裂，应组织人员保护好现场，及时向领导汇报，派有关人员检修、查处问题。</w:t>
      </w:r>
    </w:p>
    <w:p w14:paraId="40FDDFF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④当操作起重机械使用时，发生工件坠落，出现人员伤亡，应立即汇报，组织人员保护好现场，及时把受伤人员</w:t>
      </w:r>
      <w:r>
        <w:rPr>
          <w:rFonts w:hint="eastAsia" w:ascii="仿宋_GB2312" w:hAnsi="仿宋_GB2312" w:eastAsia="仿宋_GB2312" w:cs="仿宋_GB2312"/>
          <w:color w:val="auto"/>
          <w:kern w:val="0"/>
          <w:sz w:val="28"/>
          <w:szCs w:val="28"/>
          <w:highlight w:val="none"/>
          <w:lang w:eastAsia="zh-CN"/>
        </w:rPr>
        <w:t>送到</w:t>
      </w:r>
      <w:r>
        <w:rPr>
          <w:rFonts w:hint="eastAsia" w:ascii="仿宋_GB2312" w:hAnsi="仿宋_GB2312" w:eastAsia="仿宋_GB2312" w:cs="仿宋_GB2312"/>
          <w:color w:val="auto"/>
          <w:kern w:val="0"/>
          <w:sz w:val="28"/>
          <w:szCs w:val="28"/>
          <w:highlight w:val="none"/>
        </w:rPr>
        <w:t>医院抢救。</w:t>
      </w:r>
    </w:p>
    <w:p w14:paraId="303F6E0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（九）高处坠落事故现场应急处置措施</w:t>
      </w:r>
    </w:p>
    <w:p w14:paraId="4E08BBB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①发现人员高处坠落时，要立即停止附近设备运行，汇报调度室和单位值班人。</w:t>
      </w:r>
    </w:p>
    <w:p w14:paraId="3E56F71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②现场人员要积极与坠落人进行对话，若坠落人能施行自救时，现场人员要利用保安绳进行抢救，否则现场人员做好准备，等待救护队到来。</w:t>
      </w:r>
    </w:p>
    <w:p w14:paraId="2371458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在处理坠落伤害事故时，若物件飞落刺到员工体内，救援人员不要拔掉刺入身体的物件，以免造成大出血，只能做清洗伤口或止血等简单处理，应等医疗救护到来后，立即送医院救治，避免现场处置时发生大出血。</w:t>
      </w:r>
    </w:p>
    <w:p w14:paraId="1B59501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④如伤员大量出血，现场救治时要尽量止血，防止出血过多导致伤情加重甚至死亡。</w:t>
      </w:r>
    </w:p>
    <w:p w14:paraId="47D6E4C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⑤如果伤员在高处位置，救援人员首先要把伤者按正确的方法搬到安全的地方再进行下一步救治，防止伤者或救援人员发生高处坠落。</w:t>
      </w:r>
    </w:p>
    <w:p w14:paraId="12A802A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⑥如果处在不宜施救的场所，必须将患者搬运到能够安全施救的地方，搬运时应由身体强壮的救援人员搬运。</w:t>
      </w:r>
    </w:p>
    <w:p w14:paraId="2744B53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⑦受伤人员是脊柱骨折，不要弯曲、扭动患者的颈部和身体，不要接触患者的伤口，要使患者身体放松，尽量将患者放到担架或平板上进行搬运。避免搬运不当引起伤者的二次伤害和救援者的伤害。</w:t>
      </w:r>
    </w:p>
    <w:p w14:paraId="0826F2E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（十）有限空间作业事故现场应急处置措施</w:t>
      </w:r>
    </w:p>
    <w:p w14:paraId="1004710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（1）发生地面污水池等有限空间作业事故后，救援人员应配备好防护设备、对讲机以及随身绑设安全大绳，同时在外界留有至少1名人员保持交流。</w:t>
      </w:r>
    </w:p>
    <w:p w14:paraId="42103C0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w:t>
      </w:r>
      <w:r>
        <w:rPr>
          <w:rFonts w:hint="eastAsia" w:ascii="仿宋_GB2312" w:hAnsi="仿宋_GB2312" w:eastAsia="仿宋_GB2312" w:cs="仿宋_GB2312"/>
          <w:color w:val="auto"/>
          <w:kern w:val="0"/>
          <w:sz w:val="28"/>
          <w:szCs w:val="28"/>
          <w:highlight w:val="none"/>
          <w:lang w:eastAsia="zh-CN"/>
        </w:rPr>
        <w:t>作业</w:t>
      </w:r>
      <w:r>
        <w:rPr>
          <w:rFonts w:hint="eastAsia" w:ascii="仿宋_GB2312" w:hAnsi="仿宋_GB2312" w:eastAsia="仿宋_GB2312" w:cs="仿宋_GB2312"/>
          <w:color w:val="auto"/>
          <w:kern w:val="0"/>
          <w:sz w:val="28"/>
          <w:szCs w:val="28"/>
          <w:highlight w:val="none"/>
        </w:rPr>
        <w:t>人员在还具有自主意识的情况下，应采取积极自救措施。作业人员可使用隔绝式紧急逃生呼吸器等救援逃生设备，提高自救成功效率。如果作业人员自救逃生失败，应根据实际情况采取非进入式救援或进入式救援方式。</w:t>
      </w:r>
    </w:p>
    <w:p w14:paraId="65F8A1D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（3）当受困人员未佩戴全身式安全带，也无安全绳与有限空间外部挂点连接，或因受困人员所处位置无法实施非进入式救援时，就需要救援人员进入有限空间内实施救援。</w:t>
      </w:r>
    </w:p>
    <w:p w14:paraId="7897924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实施进入式救援，要求救援人员必须采取科学的防护措施，确保自身防护安全、有效。同时，救援人员应经过专门的有限空间救援培训和演练，能够熟练使用防护用品和救援设备设施，并确保能在自身安全的前提下成功施救。若救援人员未得到足够防护，不能保障自身安全，则不得进入有限空间实施救援。</w:t>
      </w:r>
    </w:p>
    <w:p w14:paraId="7E7FDA6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应当严格遵守“先通风、再检测、后作业”的原则。进入有限空间前，采取有效通风措施，严格控制可燃气体、有毒气体浓度及含氣量在安全指标范围内，确认合格后才允许进入作业；有毒、有害气体含量不得超过GBZ1-2002工业企业设计卫生标准规定的最高容许浓度，氧含量应为</w:t>
      </w:r>
      <w:r>
        <w:rPr>
          <w:rFonts w:hint="eastAsia" w:ascii="仿宋_GB2312" w:hAnsi="仿宋_GB2312" w:eastAsia="仿宋_GB2312" w:cs="仿宋_GB2312"/>
          <w:color w:val="auto"/>
          <w:kern w:val="0"/>
          <w:sz w:val="28"/>
          <w:szCs w:val="28"/>
          <w:highlight w:val="none"/>
          <w:lang w:eastAsia="zh-CN"/>
        </w:rPr>
        <w:t>19.5%—23.5%</w:t>
      </w:r>
      <w:r>
        <w:rPr>
          <w:rFonts w:hint="eastAsia" w:ascii="仿宋_GB2312" w:hAnsi="仿宋_GB2312" w:eastAsia="仿宋_GB2312" w:cs="仿宋_GB2312"/>
          <w:color w:val="auto"/>
          <w:kern w:val="0"/>
          <w:sz w:val="28"/>
          <w:szCs w:val="28"/>
          <w:highlight w:val="none"/>
        </w:rPr>
        <w:t>。必要时可再采取强制通风的方法。</w:t>
      </w:r>
    </w:p>
    <w:p w14:paraId="5F5CE3E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使用检测仪器对有限空间有毒有害气体的浓度和氧气的含量进行检测。无检测仪器可以使用动物检测法或蜡烛法进行检测。动物检测法：在进入有限空间前，先往有限空间内放入鸡、鸭、鸽子等动物，观察一段时间其情况，若生命体态正常则证明有限空间空气没有问题，反之则有问题，需继续进行通风换气。然后再次检测。</w:t>
      </w:r>
    </w:p>
    <w:p w14:paraId="4B983D4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当受限空间内有人昏迷或窒息，伤势严重，救护人员必须佩戴好防护器具、救援人员必须严格按照先通风、再检测、后进入的原则，保证有限空间内氧气、有毒有害气体、可燃性气体浓度符合安全要求后，方可进入救人，其他人员负责在外接应。</w:t>
      </w:r>
    </w:p>
    <w:p w14:paraId="43F8CCE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救护人员下到出事地点，伤员伤势重且无法站立时，可用安全绳直接往上拉，可一边托着伤者，一边指挥上面的人拉的快慢，同时保护伤者不被刮碰梯子、器壁，同时也要保护好自己的安全。其他人员在拉绳子的过程中，要使重心尽量往出入口中心移，用力要均匀，与下面的人员配合好，一定要注意不能碰伤伤员。用安全带系好被抢救者两腿根部及上体妥善提升使患者脱离危险区域，避免影响其呼吸或触及受伤部位。</w:t>
      </w:r>
    </w:p>
    <w:p w14:paraId="3931067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切实做好作业空间的工艺处理，所有与作业点相连的管道、阀门必须采取有效隔离措施，并悬挂警示牌板。进入带有搅挫器等转动部件的有限空间内，必须将电源开关拉下后上锁等措施，并加警示牌，设专人监护。</w:t>
      </w:r>
    </w:p>
    <w:p w14:paraId="6758A39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有限空间作业应有足够的照明，设备内照明电压应按相关规定执行，所有灯具及电动工具必须符合防潮、防爆等安全要求，有限空间照明电压应小于或等于36V，在潮湿容器、狭小容器内作业电压应小于或等于12V。</w:t>
      </w:r>
    </w:p>
    <w:p w14:paraId="4ECB58D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现场要配备一定数量符合规定的应急救护器具和灭火器材。应急处置人员要穿戴好必要的劳动防护用品（呼吸器、工作服、工作帽、手套、工作鞋、安全绳等），系好安全带，以防止受到伤害。在有限空间内救援照明灯应使用12V以下安全行灯，照明电源的导线要使用绝缘性能好的软导线。</w:t>
      </w:r>
    </w:p>
    <w:p w14:paraId="7F23E65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（十一）压力容器事故现场应急处置措施</w:t>
      </w:r>
    </w:p>
    <w:p w14:paraId="14ABD65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发生后，现场负责人、维修工、压风机司机要立即电话向调度室和工区值班人员汇报。汇报时要汇报清事故发生的性质、时间、地点、灾区人数，危害程度及现状。及时停止设备运行，并关闭供风大闸阀，停掉高低压供电电源。</w:t>
      </w:r>
    </w:p>
    <w:p w14:paraId="37E9C53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（2）调度室接到报告后首先命令受灾区域人员撤离，然后向应急指挥部汇报，启动相应的现场处置方案，按照指挥部的命令召请矿山救护队组织抢救，通知医院医疗救护人员到达事故现场待命。</w:t>
      </w:r>
    </w:p>
    <w:p w14:paraId="6FA6175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（3）救护人员根据事故类别，选择正确避灾路线，引导灾区人员迅速撤离到安全区域。</w:t>
      </w:r>
    </w:p>
    <w:p w14:paraId="704D3F9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（4）井下压力容器事故引发火灾时，在现场负责人的指挥下，救援小组有序到达压力容器处展开灭火工作。同时启动《矿井火灾事故专项应急预案》。</w:t>
      </w:r>
    </w:p>
    <w:p w14:paraId="27B6AB6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（5）地面压力容器事故引发火灾时，及时拨打消防救援电话报警。</w:t>
      </w:r>
    </w:p>
    <w:p w14:paraId="6DBC173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（6）迅速引导人员疏散，抢救受伤人员，配合消防队员及时控制和扑灭初起火灾。</w:t>
      </w:r>
    </w:p>
    <w:p w14:paraId="7313B19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（7）如果有受伤人员要做好伤员的运送和现场抢救工作。</w:t>
      </w:r>
    </w:p>
    <w:p w14:paraId="7AA336D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充分利用机房现场的消防桶、消防沙、灭火器等消防器材进行现场灭火。</w:t>
      </w:r>
    </w:p>
    <w:p w14:paraId="3576EB1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（8）迅速判断和查明是否有再次发生爆炸的可能性和危险性，采取一切可能的措施，全力制止再次爆炸的发生。</w:t>
      </w:r>
    </w:p>
    <w:p w14:paraId="635F57A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（9）灭掉火源后，应急处置人员分成三组进行隐患排查：</w:t>
      </w:r>
    </w:p>
    <w:p w14:paraId="1CDCD66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第一组排查残余的火种，清除附近的易燃物继续灭火；</w:t>
      </w:r>
    </w:p>
    <w:p w14:paraId="1DFEE80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第二组排查压力管路影响情况和其他压风机的安全状况及其他风包安全状况；</w:t>
      </w:r>
    </w:p>
    <w:p w14:paraId="1E4E81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第三组排查事故现场的电气开关设施，电缆的受损情况，各保护的试验情况。</w:t>
      </w:r>
    </w:p>
    <w:p w14:paraId="054EE0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9.3.2.3事故控制</w:t>
      </w:r>
    </w:p>
    <w:p w14:paraId="0E8F641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（1）启动应急预案，报告事故情况。调度室接到事故报告后，应迅速启动应急预案，立即通知救护队、医院等救援力量赶赴事故地点进行救援，向矿领导报告事故情况，并按照要求向上级有关部门报告。</w:t>
      </w:r>
    </w:p>
    <w:p w14:paraId="35505F8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（2）采取有效措施，组织开展救援。矿井应根据情况停止事故设备运行，切断其供电电源，迅速组织开展救援工作，采取一切可能的措施，积极抢救被困遇险人员，防止事故扩大。</w:t>
      </w:r>
    </w:p>
    <w:p w14:paraId="560B88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卡罐抢险救援要清理井架、井口附着物，防止救援过程中坠物伤人。井口设专人把守，做好警戒。施救人员必须佩戴保险带、安全帽，所带工具都要系绳入套，防止掉落。在被困人员暂时无法救出时，要通过绳索和吊篮将通信工具、食物和水及相关药品下放给被困人员。</w:t>
      </w:r>
    </w:p>
    <w:p w14:paraId="2EE4E4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坠罐抢险救援施救人员入井后，对现场进行勘查，发现能够立即救出的人员要立即救出，妥善安置，对不能立即救出的要在采取措施后施救。施救时必须先观察井筒上部是否有物品坠落危险，确认无危险后再进行救援。</w:t>
      </w:r>
    </w:p>
    <w:p w14:paraId="0551FFB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迅速搜寻幸存人员，发现伤员及时进行止血、包扎和骨折固定等紧急处理，并迅速运送升井到医院救治。处理现场险情隐患，加固被破坏的巷道时，应安排专人观察现场情况，采取安全措施保证救援人员安全，防止发生次生事故。</w:t>
      </w:r>
    </w:p>
    <w:p w14:paraId="049122F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9.3.2.4消防</w:t>
      </w:r>
    </w:p>
    <w:p w14:paraId="20C248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现场发现明火时，利用附近设置的消防器材和供水管路，采用惰性气体、喷水等直接灭火的方法进行灭火。</w:t>
      </w:r>
    </w:p>
    <w:p w14:paraId="1FF3F7C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9.3.2.5现场恢复</w:t>
      </w:r>
    </w:p>
    <w:p w14:paraId="236162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538793C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771E2DC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04528FB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w:t>
      </w:r>
      <w:r>
        <w:rPr>
          <w:rFonts w:ascii="仿宋_GB2312" w:hAnsi="仿宋_GB2312" w:eastAsia="仿宋_GB2312" w:cs="仿宋_GB2312"/>
          <w:b/>
          <w:bCs/>
          <w:snapToGrid w:val="0"/>
          <w:color w:val="auto"/>
          <w:kern w:val="0"/>
          <w:sz w:val="30"/>
          <w:szCs w:val="30"/>
          <w:highlight w:val="none"/>
        </w:rPr>
        <w:t>3.4 报警电话及相关救援单位联络</w:t>
      </w:r>
    </w:p>
    <w:p w14:paraId="5C11DF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15C641A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6915FA0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3D8B4267">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4050188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60266C7B">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94" w:name="_Toc11405"/>
      <w:bookmarkStart w:id="495" w:name="_Toc5981"/>
      <w:r>
        <w:rPr>
          <w:rFonts w:hint="eastAsia" w:ascii="楷体_GB2312" w:hAnsi="楷体_GB2312" w:eastAsia="楷体_GB2312" w:cs="楷体_GB2312"/>
          <w:color w:val="auto"/>
          <w:sz w:val="30"/>
          <w:szCs w:val="30"/>
          <w:highlight w:val="none"/>
        </w:rPr>
        <w:t>9.</w:t>
      </w:r>
      <w:r>
        <w:rPr>
          <w:rFonts w:ascii="楷体_GB2312" w:hAnsi="楷体_GB2312" w:eastAsia="楷体_GB2312" w:cs="楷体_GB2312"/>
          <w:color w:val="auto"/>
          <w:sz w:val="30"/>
          <w:szCs w:val="30"/>
          <w:highlight w:val="none"/>
        </w:rPr>
        <w:t>4 注意事项</w:t>
      </w:r>
      <w:bookmarkEnd w:id="494"/>
      <w:bookmarkEnd w:id="495"/>
    </w:p>
    <w:p w14:paraId="7FA3D25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9.4.1 人员防护</w:t>
      </w:r>
    </w:p>
    <w:p w14:paraId="74FE8AC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00B2EE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115330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668253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5F0C829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9.4.2 自救互救</w:t>
      </w:r>
    </w:p>
    <w:p w14:paraId="6FD51C6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（1）蹲罐时乘坐人员的自救与互救</w:t>
      </w:r>
    </w:p>
    <w:p w14:paraId="027B3FF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①罐笼内人员不多时，人员应分散开，乘罐人员两手握紧扶手，两腿悬空，以减少或免除蹲罐时对人体特别是腿部的伤害；</w:t>
      </w:r>
    </w:p>
    <w:p w14:paraId="672F68E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②当罐内人员较多，未握住扶手的人要抓住握扶手的人，两腿弯曲。</w:t>
      </w:r>
    </w:p>
    <w:p w14:paraId="2358645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③发生蹲罐事故后，未受伤人员应立即在现场为受伤人员止血、包扎和骨折临时固定等急救处理。</w:t>
      </w:r>
    </w:p>
    <w:p w14:paraId="0585D69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（2）罐笼断绳时乘坐人员的自救与互救</w:t>
      </w:r>
    </w:p>
    <w:p w14:paraId="4229EC6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①罐笼运行发生断绳事故后，乘罐人员应紧握罐笼内的扶手，两腿悬空，以免罐笼快速停止时摔伤和其他伤害。</w:t>
      </w:r>
    </w:p>
    <w:p w14:paraId="2FB59B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②罐笼由于保险装置的作用减速并停稳后，乘罐人员不要来回跑动，以保持罐笼的平衡，并发出呼救信号，等待营救。</w:t>
      </w:r>
    </w:p>
    <w:p w14:paraId="3238A49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（3）主运输事故现场自救和互救措施</w:t>
      </w:r>
    </w:p>
    <w:p w14:paraId="19B440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①转动部位挤人事故，应立即拉胶带机沿线急停停止皮带运转，尽快救出人员。</w:t>
      </w:r>
    </w:p>
    <w:p w14:paraId="0E457F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②人员坠仓事故，尽量避开煤矸掉落位置，若供氧不足，可佩带自救器，要及时发出求救信号。</w:t>
      </w:r>
    </w:p>
    <w:p w14:paraId="133265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（4）辅助运输事故现场自救和互救措施</w:t>
      </w:r>
    </w:p>
    <w:p w14:paraId="3FFCAB9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①采取积极有效措施，将事故消灭在初始阶段或控制在最小范围，最大限度地减少事故造成的伤害和损失。</w:t>
      </w:r>
    </w:p>
    <w:p w14:paraId="26CD86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②在避灾期间，遇险矿工要有良好的精神心理状态，情绪安定、自信乐观、意志坚强。</w:t>
      </w:r>
    </w:p>
    <w:p w14:paraId="2BA386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③对伤者进行救援时，措施要有效，避免二次伤害，救援人员应躲开危险波及的范围。</w:t>
      </w:r>
    </w:p>
    <w:p w14:paraId="7AE60CC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④施救前，应就近组织人员以最快的速度准备合适的工具。</w:t>
      </w:r>
    </w:p>
    <w:p w14:paraId="417B925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⑤救援现场应有一人负责统一指挥和监护，其它人员进行施救</w:t>
      </w:r>
    </w:p>
    <w:p w14:paraId="1B2CBFD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9.4.3 装备使用</w:t>
      </w:r>
    </w:p>
    <w:p w14:paraId="577801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55085EC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6175EB0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46BF93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298AC3A5">
      <w:pPr>
        <w:spacing w:line="440" w:lineRule="exact"/>
        <w:ind w:firstLine="560" w:firstLineChars="200"/>
        <w:rPr>
          <w:rFonts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0230177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9.4.4 现场安全</w:t>
      </w:r>
    </w:p>
    <w:p w14:paraId="0E1C72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12EA80A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78B298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59A4B8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2E9055E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1E45A4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504CFA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502086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5D54EE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18F32366">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496" w:name="_Toc17280"/>
      <w:bookmarkStart w:id="497" w:name="_Toc20719"/>
      <w:r>
        <w:rPr>
          <w:rFonts w:hint="eastAsia" w:ascii="楷体_GB2312" w:hAnsi="楷体_GB2312" w:eastAsia="楷体_GB2312" w:cs="楷体_GB2312"/>
          <w:color w:val="auto"/>
          <w:sz w:val="30"/>
          <w:szCs w:val="30"/>
          <w:highlight w:val="none"/>
        </w:rPr>
        <w:t>9.5其他需要特别警示的事项</w:t>
      </w:r>
      <w:bookmarkEnd w:id="496"/>
      <w:bookmarkEnd w:id="497"/>
    </w:p>
    <w:p w14:paraId="19CA158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（1）井上下事故波及范围区域划定，警戒线设置。 </w:t>
      </w:r>
    </w:p>
    <w:p w14:paraId="18D0CDB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①事故地点 50m 范围内禁止闲人靠近。 </w:t>
      </w:r>
    </w:p>
    <w:p w14:paraId="4CCA4BD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②事故地点周围 50m 处路口设好警戒线。 </w:t>
      </w:r>
    </w:p>
    <w:p w14:paraId="1911098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（2）事故井口、地面警戒线周围设置治安保卫人员。 </w:t>
      </w:r>
    </w:p>
    <w:p w14:paraId="29CD4BC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4F0914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475B086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20BDFE40">
      <w:pPr>
        <w:tabs>
          <w:tab w:val="left" w:pos="0"/>
        </w:tabs>
        <w:adjustRightInd w:val="0"/>
        <w:snapToGrid w:val="0"/>
        <w:spacing w:line="460" w:lineRule="exact"/>
        <w:ind w:firstLine="600" w:firstLineChars="200"/>
        <w:outlineLvl w:val="0"/>
        <w:rPr>
          <w:rFonts w:ascii="黑体" w:hAnsi="黑体" w:eastAsia="黑体" w:cs="黑体"/>
          <w:color w:val="auto"/>
          <w:sz w:val="30"/>
          <w:szCs w:val="30"/>
          <w:highlight w:val="none"/>
        </w:rPr>
      </w:pPr>
      <w:bookmarkStart w:id="498" w:name="_Toc14037"/>
      <w:bookmarkStart w:id="499" w:name="_Toc29086"/>
      <w:r>
        <w:rPr>
          <w:rFonts w:hint="eastAsia" w:ascii="黑体" w:hAnsi="黑体" w:eastAsia="黑体" w:cs="黑体"/>
          <w:color w:val="auto"/>
          <w:sz w:val="30"/>
          <w:szCs w:val="30"/>
          <w:highlight w:val="none"/>
        </w:rPr>
        <w:t xml:space="preserve">10 </w:t>
      </w:r>
      <w:r>
        <w:rPr>
          <w:rFonts w:hint="eastAsia" w:ascii="黑体" w:hAnsi="黑体" w:eastAsia="黑体" w:cs="黑体"/>
          <w:color w:val="auto"/>
          <w:sz w:val="30"/>
          <w:szCs w:val="30"/>
          <w:highlight w:val="none"/>
          <w:lang w:val="en-US" w:eastAsia="zh-CN"/>
        </w:rPr>
        <w:t>民用</w:t>
      </w:r>
      <w:r>
        <w:rPr>
          <w:rFonts w:hint="eastAsia" w:ascii="黑体" w:hAnsi="黑体" w:eastAsia="黑体" w:cs="黑体"/>
          <w:color w:val="auto"/>
          <w:sz w:val="30"/>
          <w:szCs w:val="30"/>
          <w:highlight w:val="none"/>
        </w:rPr>
        <w:t>爆炸物品事故现场处置方案</w:t>
      </w:r>
      <w:bookmarkEnd w:id="498"/>
      <w:bookmarkEnd w:id="499"/>
    </w:p>
    <w:p w14:paraId="5E34785B">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500" w:name="_Toc10192"/>
      <w:bookmarkStart w:id="501" w:name="_Toc32052"/>
      <w:r>
        <w:rPr>
          <w:rFonts w:hint="eastAsia" w:ascii="楷体_GB2312" w:hAnsi="楷体_GB2312" w:eastAsia="楷体_GB2312" w:cs="楷体_GB2312"/>
          <w:color w:val="auto"/>
          <w:sz w:val="30"/>
          <w:szCs w:val="30"/>
          <w:highlight w:val="none"/>
        </w:rPr>
        <w:t>10.1事故风险描述</w:t>
      </w:r>
      <w:bookmarkEnd w:id="500"/>
      <w:bookmarkEnd w:id="501"/>
    </w:p>
    <w:p w14:paraId="0699138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10.1.1 风险描述</w:t>
      </w:r>
    </w:p>
    <w:p w14:paraId="1DD1CDD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爆炸物品库位于+590水平，采用壁槽方式布置，包括库房、辅助硐室和通向库房的两条巷道，库房距井筒、井底车场、主要运输大巷以及采区主要风门的法线距离都在60米以上；距行人巷道法线距离在20米以上；库房两端通道与库房连接处设置了齿形阻波墙，爆炸材料库最大贮存炸药量1728kg，最大贮存雷管量13920发。其中贮存炸药壁槽6个，每个壁槽存放最多12箱炸药,每箱24kg。爆炸物品在装卸、运输、贮存保管、发放和使用过程中，内部发生化学反应或遇高温,热源、撞击摩擦、静电、射频波等，可造成火灾、爆炸事故，产生高温高压、有毒有害气体。</w:t>
      </w:r>
    </w:p>
    <w:p w14:paraId="5C7BBDF6">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w:t>
      </w:r>
      <w:r>
        <w:rPr>
          <w:rFonts w:ascii="仿宋_GB2312" w:hAnsi="仿宋_GB2312" w:eastAsia="仿宋_GB2312" w:cs="仿宋_GB2312"/>
          <w:b/>
          <w:bCs/>
          <w:snapToGrid w:val="0"/>
          <w:color w:val="auto"/>
          <w:kern w:val="0"/>
          <w:sz w:val="30"/>
          <w:szCs w:val="30"/>
          <w:highlight w:val="none"/>
        </w:rPr>
        <w:t>1.2 风险评估结果</w:t>
      </w:r>
    </w:p>
    <w:p w14:paraId="233DA3B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爆炸物品</w:t>
      </w:r>
      <w:r>
        <w:rPr>
          <w:rFonts w:ascii="仿宋_GB2312" w:hAnsi="仿宋_GB2312" w:eastAsia="仿宋_GB2312" w:cs="仿宋_GB2312"/>
          <w:color w:val="auto"/>
          <w:kern w:val="0"/>
          <w:sz w:val="28"/>
          <w:szCs w:val="28"/>
          <w:highlight w:val="none"/>
        </w:rPr>
        <w:t>风险</w:t>
      </w:r>
      <w:r>
        <w:rPr>
          <w:rFonts w:hint="eastAsia" w:ascii="仿宋_GB2312" w:hAnsi="仿宋_GB2312" w:eastAsia="仿宋_GB2312" w:cs="仿宋_GB2312"/>
          <w:color w:val="auto"/>
          <w:kern w:val="0"/>
          <w:sz w:val="28"/>
          <w:szCs w:val="28"/>
          <w:highlight w:val="none"/>
          <w:lang w:val="en-US" w:eastAsia="zh-CN"/>
        </w:rPr>
        <w:t>重大</w:t>
      </w:r>
      <w:r>
        <w:rPr>
          <w:rFonts w:ascii="仿宋_GB2312" w:hAnsi="仿宋_GB2312" w:eastAsia="仿宋_GB2312" w:cs="仿宋_GB2312"/>
          <w:color w:val="auto"/>
          <w:kern w:val="0"/>
          <w:sz w:val="28"/>
          <w:szCs w:val="28"/>
          <w:highlight w:val="none"/>
        </w:rPr>
        <w:t>风险。</w:t>
      </w:r>
    </w:p>
    <w:p w14:paraId="658A994B">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502" w:name="_Toc22641"/>
      <w:bookmarkStart w:id="503" w:name="_Toc31530"/>
      <w:r>
        <w:rPr>
          <w:rFonts w:hint="eastAsia" w:ascii="楷体_GB2312" w:hAnsi="楷体_GB2312" w:eastAsia="楷体_GB2312" w:cs="楷体_GB2312"/>
          <w:color w:val="auto"/>
          <w:sz w:val="30"/>
          <w:szCs w:val="30"/>
          <w:highlight w:val="none"/>
        </w:rPr>
        <w:t>10.</w:t>
      </w:r>
      <w:r>
        <w:rPr>
          <w:rFonts w:ascii="楷体_GB2312" w:hAnsi="楷体_GB2312" w:eastAsia="楷体_GB2312" w:cs="楷体_GB2312"/>
          <w:color w:val="auto"/>
          <w:sz w:val="30"/>
          <w:szCs w:val="30"/>
          <w:highlight w:val="none"/>
        </w:rPr>
        <w:t>2 应急工作职责</w:t>
      </w:r>
      <w:bookmarkEnd w:id="502"/>
      <w:bookmarkEnd w:id="503"/>
    </w:p>
    <w:p w14:paraId="00FC5B51">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w:t>
      </w:r>
      <w:r>
        <w:rPr>
          <w:rFonts w:ascii="仿宋_GB2312" w:hAnsi="仿宋_GB2312" w:eastAsia="仿宋_GB2312" w:cs="仿宋_GB2312"/>
          <w:b/>
          <w:bCs/>
          <w:snapToGrid w:val="0"/>
          <w:color w:val="auto"/>
          <w:kern w:val="0"/>
          <w:sz w:val="30"/>
          <w:szCs w:val="30"/>
          <w:highlight w:val="none"/>
        </w:rPr>
        <w:t>2.1 应急自救小组</w:t>
      </w:r>
    </w:p>
    <w:p w14:paraId="0171B46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76FD1FD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1C64722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0D326D1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w:t>
      </w:r>
      <w:r>
        <w:rPr>
          <w:rFonts w:ascii="仿宋_GB2312" w:hAnsi="仿宋_GB2312" w:eastAsia="仿宋_GB2312" w:cs="仿宋_GB2312"/>
          <w:b/>
          <w:bCs/>
          <w:snapToGrid w:val="0"/>
          <w:color w:val="auto"/>
          <w:kern w:val="0"/>
          <w:sz w:val="30"/>
          <w:szCs w:val="30"/>
          <w:highlight w:val="none"/>
        </w:rPr>
        <w:t>2.2 具体职责</w:t>
      </w:r>
    </w:p>
    <w:p w14:paraId="45E8419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24D960C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rPr>
        <w:t>班组长：协助跟班队长组织现场应急处置，救治伤员。</w:t>
      </w:r>
    </w:p>
    <w:p w14:paraId="7C605A9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（3）值班人员：接到事故报告，按照指令，召集小组成员及工区有关人员，协调现场自救和应急处置工作，同时做好相关记录。</w:t>
      </w:r>
    </w:p>
    <w:p w14:paraId="46EC57E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（4）技术人员：负责制定救援措施和提供技术资料。</w:t>
      </w:r>
    </w:p>
    <w:p w14:paraId="5AE30E2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（5）管理人员：根据事故性质和严重程度，组织现场人员进行应急处置和自救，若事态扩大，立即请求增援。</w:t>
      </w:r>
    </w:p>
    <w:p w14:paraId="4EBD77F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：负责事故现场人员撤离、警戒。</w:t>
      </w:r>
    </w:p>
    <w:p w14:paraId="464F825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现场作业人员：积极开展应急处置和自救互救。根据事故的严重程度，按照救援小组安排，负责维护</w:t>
      </w:r>
      <w:r>
        <w:rPr>
          <w:rFonts w:hint="eastAsia" w:ascii="仿宋_GB2312" w:hAnsi="仿宋_GB2312" w:eastAsia="仿宋_GB2312" w:cs="仿宋_GB2312"/>
          <w:color w:val="auto"/>
          <w:kern w:val="0"/>
          <w:sz w:val="28"/>
          <w:szCs w:val="28"/>
          <w:highlight w:val="none"/>
        </w:rPr>
        <w:t>巷道</w:t>
      </w:r>
      <w:r>
        <w:rPr>
          <w:rFonts w:ascii="仿宋_GB2312" w:hAnsi="仿宋_GB2312" w:eastAsia="仿宋_GB2312" w:cs="仿宋_GB2312"/>
          <w:color w:val="auto"/>
          <w:kern w:val="0"/>
          <w:sz w:val="28"/>
          <w:szCs w:val="28"/>
          <w:highlight w:val="none"/>
        </w:rPr>
        <w:t>。出现紧急事故时随时待命，一旦接到通知，马上到达现场进行抢险工作，做到</w:t>
      </w:r>
      <w:r>
        <w:rPr>
          <w:rFonts w:hint="eastAsia" w:ascii="仿宋_GB2312" w:hAnsi="仿宋_GB2312" w:eastAsia="仿宋_GB2312" w:cs="仿宋_GB2312"/>
          <w:color w:val="auto"/>
          <w:kern w:val="0"/>
          <w:sz w:val="28"/>
          <w:szCs w:val="28"/>
          <w:highlight w:val="none"/>
        </w:rPr>
        <w:t>救援</w:t>
      </w:r>
      <w:r>
        <w:rPr>
          <w:rFonts w:ascii="仿宋_GB2312" w:hAnsi="仿宋_GB2312" w:eastAsia="仿宋_GB2312" w:cs="仿宋_GB2312"/>
          <w:color w:val="auto"/>
          <w:kern w:val="0"/>
          <w:sz w:val="28"/>
          <w:szCs w:val="28"/>
          <w:highlight w:val="none"/>
        </w:rPr>
        <w:t>材料到现场。</w:t>
      </w:r>
      <w:r>
        <w:rPr>
          <w:rFonts w:hint="eastAsia" w:ascii="仿宋_GB2312" w:hAnsi="仿宋_GB2312" w:eastAsia="仿宋_GB2312" w:cs="仿宋_GB2312"/>
          <w:color w:val="auto"/>
          <w:kern w:val="0"/>
          <w:sz w:val="28"/>
          <w:szCs w:val="28"/>
          <w:highlight w:val="none"/>
        </w:rPr>
        <w:t>听从指令，负责切断灾区电源。</w:t>
      </w:r>
    </w:p>
    <w:p w14:paraId="7C56D668">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504" w:name="_Toc19808"/>
      <w:bookmarkStart w:id="505" w:name="_Toc9018"/>
      <w:r>
        <w:rPr>
          <w:rFonts w:hint="eastAsia" w:ascii="楷体_GB2312" w:hAnsi="楷体_GB2312" w:eastAsia="楷体_GB2312" w:cs="楷体_GB2312"/>
          <w:color w:val="auto"/>
          <w:sz w:val="30"/>
          <w:szCs w:val="30"/>
          <w:highlight w:val="none"/>
        </w:rPr>
        <w:t>10.</w:t>
      </w:r>
      <w:r>
        <w:rPr>
          <w:rFonts w:ascii="楷体_GB2312" w:hAnsi="楷体_GB2312" w:eastAsia="楷体_GB2312" w:cs="楷体_GB2312"/>
          <w:color w:val="auto"/>
          <w:sz w:val="30"/>
          <w:szCs w:val="30"/>
          <w:highlight w:val="none"/>
        </w:rPr>
        <w:t>3 应急处置</w:t>
      </w:r>
      <w:bookmarkEnd w:id="504"/>
      <w:bookmarkEnd w:id="505"/>
    </w:p>
    <w:p w14:paraId="5326376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w:t>
      </w:r>
      <w:r>
        <w:rPr>
          <w:rFonts w:ascii="仿宋_GB2312" w:hAnsi="仿宋_GB2312" w:eastAsia="仿宋_GB2312" w:cs="仿宋_GB2312"/>
          <w:b/>
          <w:bCs/>
          <w:snapToGrid w:val="0"/>
          <w:color w:val="auto"/>
          <w:kern w:val="0"/>
          <w:sz w:val="30"/>
          <w:szCs w:val="30"/>
          <w:highlight w:val="none"/>
        </w:rPr>
        <w:t>3.1 事故应急处置程序</w:t>
      </w:r>
    </w:p>
    <w:p w14:paraId="231E02B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（1）事故报警：事故发生后，灾害现场负责人，立即启动现场处置方案并电话汇报调度室和总经理，详细汇报事故发生的性质、时间、地点、灾区人数，危害程度及现状；积极组织自救互救。</w:t>
      </w:r>
    </w:p>
    <w:p w14:paraId="6C30581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发生事故后，灾害现场负责人（区队以上带班人员、班组长、安监员和现场施工负责人）立即启动事故现场处置方案，受威胁人员撤离危险区域。若事故小，则立即组织人员进行处理；若无法保证人员安全，则组织人员停电撤人至安全地点并电话汇报调度室。调度室立即向当日值班领导、总经理、分管领导汇报，通知带班、包保等专业科室及区队管理人员达到现场处置；</w:t>
      </w:r>
    </w:p>
    <w:p w14:paraId="34722F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6C0123E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（4）事故扩大同应急预案的衔接程序：启动现场处置方案的同时，根据综合应急预案应急响应分级</w:t>
      </w:r>
      <w:r>
        <w:rPr>
          <w:rFonts w:hint="eastAsia" w:ascii="仿宋_GB2312" w:hAnsi="仿宋_GB2312" w:cs="仿宋_GB2312"/>
          <w:color w:val="auto"/>
          <w:kern w:val="0"/>
          <w:sz w:val="28"/>
          <w:szCs w:val="28"/>
          <w:highlight w:val="none"/>
        </w:rPr>
        <w:t>，达到</w:t>
      </w:r>
      <w:r>
        <w:rPr>
          <w:rFonts w:hint="eastAsia" w:ascii="仿宋_GB2312" w:hAnsi="仿宋_GB2312" w:eastAsia="仿宋_GB2312" w:cs="仿宋_GB2312"/>
          <w:color w:val="auto"/>
          <w:kern w:val="0"/>
          <w:sz w:val="28"/>
          <w:szCs w:val="28"/>
          <w:highlight w:val="none"/>
        </w:rPr>
        <w:t>启动上一级应急响应，按照专项预案程序进行处置；召请矿山救护队组织抢救，调度室立即通知医院医疗救护人员到达事故现场或到井口待命。</w:t>
      </w:r>
    </w:p>
    <w:p w14:paraId="1285791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0E40E8B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10.3.2.1人员救护</w:t>
      </w:r>
    </w:p>
    <w:p w14:paraId="3245913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（1）发生爆炸物品事故后，调度员要立即通知救护队下井救援，通知医院驻矿医生、护士到井口待命或下井救治伤员。 </w:t>
      </w:r>
    </w:p>
    <w:p w14:paraId="6EC89F6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（2）在救护队到来之前，附近人员可就近利用局部通风机或压风并且在确保安全的前提下进入抢救遇险人员，否则，严禁进入。 </w:t>
      </w:r>
    </w:p>
    <w:p w14:paraId="0E1984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（3）抢救出遇险人员，必须沿避灾路线将其抬运到新鲜风流中。 </w:t>
      </w:r>
    </w:p>
    <w:p w14:paraId="10094F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（4）对于因窒息或心跳呼吸骤停伤员，必须先复苏，后搬运。 </w:t>
      </w:r>
    </w:p>
    <w:p w14:paraId="53C8F36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（5）发生爆炸物品事故后，矿山救护队按照指挥部命令，立即奔赴现 场。到达现场后要及时有组织、有计划地抢救遇难人员，引导受灾害威胁人员，沿着安全路线上井。救护队员在确定无二次爆炸危险后，必须戴好氧气呼吸器进入灾区。处理爆炸物品事故重要方法：迅速查明事故的范围、原因，并切断通向灾区的电源，及时恢复受破坏的通风设施，加强事故区域的通风管理，避免发生二次爆炸。如因爆炸引起火灾，救护人员要迅速扑灭，防止事故的扩大。 </w:t>
      </w:r>
    </w:p>
    <w:p w14:paraId="598DCF6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（6）爆炸产生火灾，应同时进行灭火和救人，并采取防止再次发生爆炸的措施，派专人监测瓦斯，当瓦斯浓度达到2％以上，并继续增加有爆炸危险时，必须把救护人员撤到安全地点。</w:t>
      </w:r>
    </w:p>
    <w:p w14:paraId="1FA8243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无法撤离时，应进入就近的避难硐室，按操作规程启用避难硐室，立即将现场人员的健康状况、周边环境等情况汇报调度室，并接受调度室的指挥。在接到调度室的指令或避难硐室环境监测硐室外有害气体下降到安全情况下，认真组织确保安全、有序、快速撤离并报告调度室。</w:t>
      </w:r>
    </w:p>
    <w:p w14:paraId="6D1B6F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10.3.2.2工艺操作</w:t>
      </w:r>
    </w:p>
    <w:p w14:paraId="7844EF3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（1）发生爆炸物品事故时听到爆炸声，须立即张大口，用湿毛巾捂住口鼻（避免爆炸所产生强大冲击波击穿耳膜，引起永久性耳聋），就地卧倒，如有水坑，可侧卧于水中。</w:t>
      </w:r>
    </w:p>
    <w:p w14:paraId="4A03DA7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（2）现场人员要保持冷静，切忌乱跑，立即戴好自救器，在现场负责人的带领下，按避灾路线有序撤离，注意防止受到二次爆炸或连续爆炸的伤害，同时电话上报调度室。</w:t>
      </w:r>
    </w:p>
    <w:p w14:paraId="33CC7A0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（3）调度室迅速了解爆炸物品事故的发生位置、波及范围、人员伤亡情况和主通风机运行情况，了解通风是否畅通、瓦斯浓度有无变化，根据灾情确定停电范围，下达停电撤人命令。</w:t>
      </w:r>
    </w:p>
    <w:p w14:paraId="75D594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（4）若退路被堵，在确保安全的前提下，千方百计疏通巷道，尽快撤到新鲜风流中</w:t>
      </w:r>
    </w:p>
    <w:p w14:paraId="5CC20E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井筒、井底车场或石门发生爆炸时，在侦察确定没有火源，无爆炸危险的情况下，尽快恢复通风，救人和恢复通风应同时进行。如果有害气体严重威胁回风流方向的人员，在进风方向的人员已安全撤退的情况下，可采取区域反风，救护队进入原回风侧引导人员撤离灾区。</w:t>
      </w:r>
    </w:p>
    <w:p w14:paraId="231431E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（6）爆炸事故发生在采煤工作面时，应沿进风侧和回风侧进入救人，在此期间必须维持通风系统原状。</w:t>
      </w:r>
    </w:p>
    <w:p w14:paraId="630DEF9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爆炸物品库发生火灾事故时现场库管人员根据现场情况，及时进行灭火，如无法灭火，要尽快搬开雷管、炸药，无法搬开时要正确佩戴好自救器，切断爆炸物品库内电源，撤离现场；并及时关闭好防爆活门。</w:t>
      </w:r>
    </w:p>
    <w:p w14:paraId="5FB1AA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（8）如遇独头巷道距离较长、有害气体浓度大、支架支护损坏严重的情况，在确认没有火源、遇险人员已经牺牲时，严禁冒险进入工作，在恢复通风、打好支护后，方可搬运遇难人员。</w:t>
      </w:r>
    </w:p>
    <w:p w14:paraId="76E71F9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受灾害威胁人员在撤离时，应遵循以下原则：位于事故地点进风侧人员应迎着风流退出，位于回风侧人员佩带自救器顺风流撤出，并利用联络巷尽快地撤到新鲜风流中。如爆炸的火源袭来时，应背对火源卧倒或卧于水沟中，并用衣服或其它物料，盖住身体裸露部位，以减轻高温火焰灼伤。在撤退中，如发现前方巷道由于爆炸事故已发生严重冒顶，无法撤退时，应利用压风自救、供水施救系统进行自救或进入避难硐室等地点等待救护队的救援。</w:t>
      </w:r>
    </w:p>
    <w:p w14:paraId="280DDD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（10）在抢救事故期间，应随时向调度室汇报灾区状况和救灾工作的进展情况。</w:t>
      </w:r>
    </w:p>
    <w:p w14:paraId="6DCE6B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10.3.2.3事故控制</w:t>
      </w:r>
    </w:p>
    <w:p w14:paraId="0D6E9A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（1）安全监控部门对监测数据进行分析，发生异常立即报告指挥部，井下各分站配备备用电源，安全监控系统故障停电后，能自动切换至备用电源供电，确保数据实时传输，备用电源持续供电时间不低于4小时。 </w:t>
      </w:r>
    </w:p>
    <w:p w14:paraId="756245A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（2）指挥部根据灾情分析判断通风系统破坏程度及发生连续爆炸、火灾的可能性，积极研究制定救灾方案，并根据灾情发展及时调整优化方案。 </w:t>
      </w:r>
    </w:p>
    <w:p w14:paraId="1B7088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（3）发生爆炸物品事故后，通风设施、巷道会受到破坏，通风系统可能发生变化，救护队要及时检查，并进行相应的调整，使产生的有害气体尽快进入回风巷。 </w:t>
      </w:r>
    </w:p>
    <w:p w14:paraId="2798B3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10.3.2.4 消防 </w:t>
      </w:r>
    </w:p>
    <w:p w14:paraId="2061F7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52A9B41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10.3.2.5现场恢复</w:t>
      </w:r>
    </w:p>
    <w:p w14:paraId="16DBDE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78107A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3F05DC3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5F28509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w:t>
      </w:r>
      <w:r>
        <w:rPr>
          <w:rFonts w:ascii="仿宋_GB2312" w:hAnsi="仿宋_GB2312" w:eastAsia="仿宋_GB2312" w:cs="仿宋_GB2312"/>
          <w:b/>
          <w:bCs/>
          <w:snapToGrid w:val="0"/>
          <w:color w:val="auto"/>
          <w:kern w:val="0"/>
          <w:sz w:val="30"/>
          <w:szCs w:val="30"/>
          <w:highlight w:val="none"/>
        </w:rPr>
        <w:t>3.4 报警电话及相关救援单位联络</w:t>
      </w:r>
    </w:p>
    <w:p w14:paraId="7141828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10BFBB0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00F6755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6E1BCC8D">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3C16B6B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270AD66D">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506" w:name="_Toc26002"/>
      <w:bookmarkStart w:id="507" w:name="_Toc30941"/>
      <w:r>
        <w:rPr>
          <w:rFonts w:hint="eastAsia" w:ascii="楷体_GB2312" w:hAnsi="楷体_GB2312" w:eastAsia="楷体_GB2312" w:cs="楷体_GB2312"/>
          <w:color w:val="auto"/>
          <w:sz w:val="30"/>
          <w:szCs w:val="30"/>
          <w:highlight w:val="none"/>
        </w:rPr>
        <w:t>10.4 注意事项</w:t>
      </w:r>
      <w:bookmarkEnd w:id="506"/>
      <w:bookmarkEnd w:id="507"/>
    </w:p>
    <w:p w14:paraId="3374217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10.4.1 人员防护</w:t>
      </w:r>
    </w:p>
    <w:p w14:paraId="19530B0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790B69B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0FDEE8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5640D0B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4AB684B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10.4.2 自救互救</w:t>
      </w:r>
    </w:p>
    <w:p w14:paraId="5646D7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（1）自救与互救原则：安全撤离，妥善避险；沉着冷静，控制情绪；互相鼓励，互相帮助；团结协作，服从指挥。 </w:t>
      </w:r>
    </w:p>
    <w:p w14:paraId="506490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（2）班组长应当具备兼职救护队员的知识和能力，能够在发生险情后第一时间组织作业人员自救互救和安全避险。 </w:t>
      </w:r>
    </w:p>
    <w:p w14:paraId="09B08D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（3）救援人员必须认真按救援方案和救护安全措施执行，确保自身安全。 </w:t>
      </w:r>
    </w:p>
    <w:p w14:paraId="2DDF44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（4）煤矿作业人员必须熟悉应急救援预案和避灾路线，具有自救互救和安全避险知识，训练掌握自救器和紧急避险设施的使用方法。 </w:t>
      </w:r>
    </w:p>
    <w:p w14:paraId="34C09B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（5）对于受伤人员可采取以下措施：使之平躺，把腿垫高，利于血液回流；松开衣领、腰带，使之呼吸畅通；铺盖适当的衣物保暖；对于停止呼吸的立即进行人工呼吸，不要轻易放弃。</w:t>
      </w:r>
    </w:p>
    <w:p w14:paraId="2A61A4F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10.4.3 装备使用</w:t>
      </w:r>
    </w:p>
    <w:p w14:paraId="09D258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4EB8AE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6945D06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（3）佩戴自救器操作准确迅速，并经常性熟悉使用方法佩带自救器操作准确迅速，必须经过培训，并经考试合格后，方可配用。自救器佩戴操作要领：置右侧、掀护罩、启扳手、去上壳、展气囊、</w:t>
      </w:r>
      <w:r>
        <w:rPr>
          <w:rFonts w:hint="eastAsia" w:ascii="仿宋_GB2312" w:hAnsi="仿宋_GB2312" w:eastAsia="仿宋_GB2312" w:cs="仿宋_GB2312"/>
          <w:color w:val="auto"/>
          <w:kern w:val="0"/>
          <w:sz w:val="28"/>
          <w:szCs w:val="28"/>
          <w:highlight w:val="none"/>
          <w:lang w:eastAsia="zh-CN"/>
        </w:rPr>
        <w:t>戴</w:t>
      </w:r>
      <w:r>
        <w:rPr>
          <w:rFonts w:hint="eastAsia" w:ascii="仿宋_GB2312" w:hAnsi="仿宋_GB2312" w:eastAsia="仿宋_GB2312" w:cs="仿宋_GB2312"/>
          <w:color w:val="auto"/>
          <w:kern w:val="0"/>
          <w:sz w:val="28"/>
          <w:szCs w:val="28"/>
          <w:highlight w:val="none"/>
        </w:rPr>
        <w:t>脖带、启开关、咬口具、戴鼻夹、即撤离。</w:t>
      </w:r>
    </w:p>
    <w:p w14:paraId="7FD444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5A1544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784DF088">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10.4.4 现场安全</w:t>
      </w:r>
    </w:p>
    <w:p w14:paraId="483CCA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70D0054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61C5636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274CF4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085D884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1735287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2F46E7E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0C70A32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1E8F7CC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328A15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（10）进入避难硐室前，应在硐室外留有明显标志，以便救护队发现。</w:t>
      </w:r>
    </w:p>
    <w:p w14:paraId="0B655E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（11）待救时应保持冷静、不得急躁，以减少氧气消耗，保持体力。</w:t>
      </w:r>
    </w:p>
    <w:p w14:paraId="62F0AF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（12）硐室内保留一盏灯照明，其余矿灯全部关闭。</w:t>
      </w:r>
    </w:p>
    <w:p w14:paraId="296EB137">
      <w:pPr>
        <w:tabs>
          <w:tab w:val="left" w:pos="0"/>
        </w:tabs>
        <w:spacing w:line="560" w:lineRule="exact"/>
        <w:ind w:firstLine="600" w:firstLineChars="200"/>
        <w:outlineLvl w:val="1"/>
        <w:rPr>
          <w:rFonts w:ascii="楷体_GB2312" w:hAnsi="楷体_GB2312" w:eastAsia="楷体_GB2312" w:cs="楷体_GB2312"/>
          <w:color w:val="auto"/>
          <w:sz w:val="30"/>
          <w:szCs w:val="30"/>
          <w:highlight w:val="none"/>
        </w:rPr>
      </w:pPr>
      <w:bookmarkStart w:id="508" w:name="_Toc22321"/>
      <w:bookmarkStart w:id="509" w:name="_Toc12782"/>
      <w:r>
        <w:rPr>
          <w:rFonts w:hint="eastAsia" w:ascii="楷体_GB2312" w:hAnsi="楷体_GB2312" w:eastAsia="楷体_GB2312" w:cs="楷体_GB2312"/>
          <w:color w:val="auto"/>
          <w:sz w:val="30"/>
          <w:szCs w:val="30"/>
          <w:highlight w:val="none"/>
        </w:rPr>
        <w:t>10.5 其他需要特别警示的事项</w:t>
      </w:r>
      <w:bookmarkEnd w:id="508"/>
      <w:bookmarkEnd w:id="509"/>
    </w:p>
    <w:p w14:paraId="0AEFFAB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6F55E57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13C077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72F7376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36A4690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p w14:paraId="6F5EBBC4">
      <w:pPr>
        <w:spacing w:line="440" w:lineRule="exact"/>
        <w:ind w:firstLine="600" w:firstLineChars="200"/>
        <w:outlineLvl w:val="0"/>
        <w:rPr>
          <w:rFonts w:ascii="黑体" w:hAnsi="黑体" w:eastAsia="黑体" w:cs="黑体"/>
          <w:color w:val="auto"/>
          <w:sz w:val="30"/>
          <w:szCs w:val="30"/>
          <w:highlight w:val="none"/>
        </w:rPr>
      </w:pPr>
      <w:bookmarkStart w:id="510" w:name="_Toc11903"/>
      <w:bookmarkStart w:id="511" w:name="_Toc13856"/>
      <w:r>
        <w:rPr>
          <w:rFonts w:hint="eastAsia" w:ascii="黑体" w:hAnsi="黑体" w:eastAsia="黑体" w:cs="黑体"/>
          <w:color w:val="auto"/>
          <w:sz w:val="30"/>
          <w:szCs w:val="30"/>
          <w:highlight w:val="none"/>
        </w:rPr>
        <w:t xml:space="preserve">11 </w:t>
      </w:r>
      <w:bookmarkEnd w:id="510"/>
      <w:bookmarkStart w:id="512" w:name="_Toc23691"/>
      <w:r>
        <w:rPr>
          <w:rFonts w:hint="eastAsia" w:ascii="黑体" w:hAnsi="黑体" w:eastAsia="黑体" w:cs="黑体"/>
          <w:color w:val="auto"/>
          <w:sz w:val="30"/>
          <w:szCs w:val="30"/>
          <w:highlight w:val="none"/>
        </w:rPr>
        <w:t xml:space="preserve"> 自然灾害事故现场处置方案</w:t>
      </w:r>
      <w:bookmarkEnd w:id="511"/>
      <w:bookmarkEnd w:id="512"/>
    </w:p>
    <w:p w14:paraId="0DCB65AA">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13" w:name="_Toc5785"/>
      <w:bookmarkStart w:id="514" w:name="_Toc21781"/>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1</w:t>
      </w:r>
      <w:r>
        <w:rPr>
          <w:rFonts w:hint="eastAsia" w:ascii="楷体_GB2312" w:hAnsi="楷体_GB2312" w:eastAsia="楷体_GB2312" w:cs="楷体_GB2312"/>
          <w:color w:val="auto"/>
          <w:sz w:val="30"/>
          <w:szCs w:val="30"/>
          <w:highlight w:val="none"/>
        </w:rPr>
        <w:t>.1 事故风险描述</w:t>
      </w:r>
      <w:bookmarkEnd w:id="513"/>
      <w:bookmarkEnd w:id="514"/>
    </w:p>
    <w:p w14:paraId="725CCE9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.1.1 风险描述</w:t>
      </w:r>
    </w:p>
    <w:p w14:paraId="3363A174">
      <w:pPr>
        <w:pStyle w:val="35"/>
        <w:ind w:firstLine="560"/>
        <w:rPr>
          <w:rFonts w:ascii="仿宋_GB2312" w:hAnsi="仿宋_GB2312" w:cs="仿宋_GB2312"/>
          <w:color w:val="auto"/>
          <w:sz w:val="30"/>
          <w:szCs w:val="30"/>
          <w:highlight w:val="none"/>
        </w:rPr>
      </w:pPr>
      <w:r>
        <w:rPr>
          <w:rFonts w:hint="eastAsia" w:ascii="仿宋_GB2312" w:hAnsi="仿宋_GB2312" w:cs="仿宋_GB2312"/>
          <w:color w:val="auto"/>
          <w:kern w:val="0"/>
          <w:szCs w:val="28"/>
          <w:highlight w:val="none"/>
        </w:rPr>
        <w:t>当汛期本地区气象预报为暴雨蓝色预警天气或12小时以内连续降雨达到50mm以上；或强雷电、大风、强风暴、冰雹等强对流天气危及供电安全的；或发现地面向井下溃水的；因地震、强雷电、强暴雨雪、强风暴等自然灾害，造成线路接地、短路或遭雷击、倒杆、断线引起35kV线路两回路停电，造成全矿井停电。冬季寒潮期间，引发的冰雪天气及冰冻现象会造成供电线路积雪形成冰凌，受压断线造成供电事故；井筒气温降至冰点，淋水结冰形成冰凌，存在冰凌坠落伤及设备及人员状况时威胁矿井安全。</w:t>
      </w:r>
    </w:p>
    <w:p w14:paraId="3BFB42C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1.2 风险评估结果</w:t>
      </w:r>
    </w:p>
    <w:p w14:paraId="4048E4E2">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风险为较大风险。</w:t>
      </w:r>
    </w:p>
    <w:p w14:paraId="4263F11D">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15" w:name="_Toc29521"/>
      <w:bookmarkStart w:id="516" w:name="_Toc26197"/>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1</w:t>
      </w:r>
      <w:r>
        <w:rPr>
          <w:rFonts w:hint="eastAsia" w:ascii="楷体_GB2312" w:hAnsi="楷体_GB2312" w:eastAsia="楷体_GB2312" w:cs="楷体_GB2312"/>
          <w:color w:val="auto"/>
          <w:sz w:val="30"/>
          <w:szCs w:val="30"/>
          <w:highlight w:val="none"/>
        </w:rPr>
        <w:t>.</w:t>
      </w:r>
      <w:r>
        <w:rPr>
          <w:rFonts w:ascii="楷体_GB2312" w:hAnsi="楷体_GB2312" w:eastAsia="楷体_GB2312" w:cs="楷体_GB2312"/>
          <w:color w:val="auto"/>
          <w:sz w:val="30"/>
          <w:szCs w:val="30"/>
          <w:highlight w:val="none"/>
        </w:rPr>
        <w:t>2 应急工作职责</w:t>
      </w:r>
      <w:bookmarkEnd w:id="515"/>
      <w:bookmarkEnd w:id="516"/>
    </w:p>
    <w:p w14:paraId="50F9BF8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2.1 应急自救小组</w:t>
      </w:r>
    </w:p>
    <w:p w14:paraId="618B7EC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29E2D8CB">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48E2770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5F8AE7C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2.2 具体职责</w:t>
      </w:r>
    </w:p>
    <w:p w14:paraId="2791788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2D05863A">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（2）值班人员：接到事故报告，按照指令，召集小组成员及工区有关人员，协调现场自救和应急处置工作，同时做好相关记录。</w:t>
      </w:r>
    </w:p>
    <w:p w14:paraId="44935A1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（3）技术人员：负责制定救援措施和提供技术资料。</w:t>
      </w:r>
    </w:p>
    <w:p w14:paraId="31E4E1B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（4）管理人员：根据事故性质和严重程度，组织现场人员进行应急处置和自救，若事态扩大，立即请求增援</w:t>
      </w:r>
      <w:r>
        <w:rPr>
          <w:rFonts w:hint="eastAsia" w:ascii="仿宋_GB2312" w:hAnsi="仿宋_GB2312" w:eastAsia="仿宋_GB2312" w:cs="仿宋_GB2312"/>
          <w:color w:val="auto"/>
          <w:kern w:val="0"/>
          <w:sz w:val="28"/>
          <w:szCs w:val="28"/>
          <w:highlight w:val="none"/>
        </w:rPr>
        <w:t>。</w:t>
      </w:r>
    </w:p>
    <w:p w14:paraId="4AA754E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5</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：负责事故现场人员撤离以及应急处置工作监督。</w:t>
      </w:r>
    </w:p>
    <w:p w14:paraId="29F7025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6</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班组长：协助跟班队长组织现场应急处置，救治伤员。</w:t>
      </w:r>
    </w:p>
    <w:p w14:paraId="1E9E1F6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现场作业人员：积极开展应急处置和自救互救。</w:t>
      </w:r>
    </w:p>
    <w:p w14:paraId="348F9255">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17" w:name="_Toc16628"/>
      <w:bookmarkStart w:id="518" w:name="_Toc20844"/>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1</w:t>
      </w:r>
      <w:r>
        <w:rPr>
          <w:rFonts w:hint="eastAsia" w:ascii="楷体_GB2312" w:hAnsi="楷体_GB2312" w:eastAsia="楷体_GB2312" w:cs="楷体_GB2312"/>
          <w:color w:val="auto"/>
          <w:sz w:val="30"/>
          <w:szCs w:val="30"/>
          <w:highlight w:val="none"/>
        </w:rPr>
        <w:t>.</w:t>
      </w:r>
      <w:r>
        <w:rPr>
          <w:rFonts w:ascii="楷体_GB2312" w:hAnsi="楷体_GB2312" w:eastAsia="楷体_GB2312" w:cs="楷体_GB2312"/>
          <w:color w:val="auto"/>
          <w:sz w:val="30"/>
          <w:szCs w:val="30"/>
          <w:highlight w:val="none"/>
        </w:rPr>
        <w:t>3 应急处置</w:t>
      </w:r>
      <w:bookmarkEnd w:id="517"/>
      <w:bookmarkEnd w:id="518"/>
    </w:p>
    <w:p w14:paraId="00D47FB8">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3.1 事故应急处置程序</w:t>
      </w:r>
    </w:p>
    <w:p w14:paraId="0BE90C3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（1）事故报警：事故发生后，灾害现场负责人，立即启动现场处置方案并电话汇报调度室，详细汇报事故发生的性质、时间、地点，危害程度及现状；积极组织自救互救。</w:t>
      </w:r>
    </w:p>
    <w:p w14:paraId="6E297A8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调度室接到各种自然灾害警报等其他严重威胁矿井安全生产的情况预报时，矿井立即发布预警信息。现场负责人立即启动事故现场处置方案，组织人员撤离危险区域。调度室立即向当日值班领导、总经理、分管领导汇报，通知带班、包保等专业科室及区队管理人员达到现场处置；</w:t>
      </w:r>
    </w:p>
    <w:p w14:paraId="22D38B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20B3ED1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（4）事故扩大同应急预案的衔接程序：启动现场处置方案的同时，上一级应急预案进入预备状态。</w:t>
      </w:r>
    </w:p>
    <w:p w14:paraId="79B8FA7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7B091B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.3.2.1人员救护</w:t>
      </w:r>
    </w:p>
    <w:p w14:paraId="4D4A39A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（1）当气象部门发出暴雨、洪水等自然灾害预警达到规定的预警级别时必须及时撤出危险区域作业人员。</w:t>
      </w:r>
    </w:p>
    <w:p w14:paraId="33F4D0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工作人员接到撤人通知后，应在跟班区队长、班组长或有经验的老工人带领下，沿避灾路线撤离到安全地点直至地面，地面受威胁人员撤至地面安全避难场所，并清点人数向本单位值班人员汇报，各单位值班人员及时汇报调度室。</w:t>
      </w:r>
    </w:p>
    <w:p w14:paraId="3F082F8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护队只有在确保救援人员安全的前提下，才能进入灾区抢险救灾。抢救遇险人员时，首先应通过电话、喊话、人员位置监测系统、生命探测仪或敲打煤岩体、管子等手段与遇险人员取得联系，探明冒顶范围和遇险人数及位置。</w:t>
      </w:r>
    </w:p>
    <w:p w14:paraId="4D43E7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（4）调度室要安排医务人员携带必要的抢险医药器具及时到达井口待命，必要时到达井下事故现场，对抢救出的受伤人员进行紧急医疗救治或护送上井救治。</w:t>
      </w:r>
    </w:p>
    <w:p w14:paraId="6CE628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抢救出伤员后，必须判断伤情的轻重，人员较多时先抢救重伤人员，后抢救轻伤人员，要认真执行“三先三后”的原则：即对窒息或心跳呼吸停止不久的伤员必须先复苏后搬运，对出血伤员必须先止血后搬运，对骨伤的伤员必须先固定后搬运。</w:t>
      </w:r>
    </w:p>
    <w:p w14:paraId="3E67A5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（6）抢救出的遇险人员，要用毯子保温，对长期困在井下人员，不要用灯光照射眼睛；对受困或受挤压时间较长人员，按照医疗救护人员的指导采取有利于救治的对应措施。</w:t>
      </w:r>
    </w:p>
    <w:p w14:paraId="7D1A584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.3.2.2工艺操作</w:t>
      </w:r>
    </w:p>
    <w:p w14:paraId="2F470D7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（1）接到抢险救援通知或防洪警笛后，各单位抢险人员在本单位负责人的带领下迅速到达责任目标地点集合，按指挥部要求进行抢险。</w:t>
      </w:r>
    </w:p>
    <w:p w14:paraId="5AE9DA8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洪水溃入大巷内积水时，中央泵房要迅速关闭泵房防水门，开启工作和备用的排水设备，并控制好配水闸门进水量，同时应保证泵房人行道畅通；安全监察部明确专人负责在井口签发入井特别许可证并负责清点上井人数。</w:t>
      </w:r>
    </w:p>
    <w:p w14:paraId="2CBD10D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（3）若相关地点预先存放的封堵物资不足时，由调度室协调运营管理部负责封堵用料供应，</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及各单位抢险人员负责封堵用料的运输。</w:t>
      </w:r>
    </w:p>
    <w:p w14:paraId="0C86B44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（4）地面各场点：</w:t>
      </w:r>
    </w:p>
    <w:p w14:paraId="5EF4F66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①首先检查各厂点重要位置的封堵情况，做到不渗水，必要时在外部用黄土袋子封堵截水。</w:t>
      </w:r>
    </w:p>
    <w:p w14:paraId="238E68F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②检查潜水泵及相应的管路材料附件的准备情况，做到随时排水。</w:t>
      </w:r>
    </w:p>
    <w:p w14:paraId="0B736D6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③根据汛情及时与防洪指挥部联系，在厂点各门口用挡水板打堰封堵。</w:t>
      </w:r>
    </w:p>
    <w:p w14:paraId="643005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④指定专人负责监视设备运行情况，必要时采取相应措施。</w:t>
      </w:r>
    </w:p>
    <w:p w14:paraId="052944B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（5）井下变电所及泵房</w:t>
      </w:r>
    </w:p>
    <w:p w14:paraId="2FA6BD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①根据汛情及时关闭防水密闭门；若防水密闭门漏水，需及时在两个防水门口封堵打堰。</w:t>
      </w:r>
    </w:p>
    <w:p w14:paraId="77E8D81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②控制好各吸水井配给水闸门的进水量。</w:t>
      </w:r>
    </w:p>
    <w:p w14:paraId="3F085F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③确保泵房水泵正常排水。</w:t>
      </w:r>
    </w:p>
    <w:p w14:paraId="4AC4AF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（6）暴风雪：</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要及时安排人员对供电线路、通讯线路进行巡查，出现供电故障，及时报告，确保通讯、供电安全。对发生冻雨等灾害气候，属于矿井管辖的设备，根据操作规程分级停电后，进行冻雨处理，确保安全供电。同时，各单位要及时</w:t>
      </w:r>
      <w:r>
        <w:rPr>
          <w:rFonts w:hint="eastAsia" w:ascii="仿宋_GB2312" w:hAnsi="仿宋_GB2312" w:eastAsia="仿宋_GB2312" w:cs="仿宋_GB2312"/>
          <w:color w:val="auto"/>
          <w:kern w:val="0"/>
          <w:sz w:val="28"/>
          <w:szCs w:val="28"/>
          <w:highlight w:val="none"/>
          <w:lang w:eastAsia="zh-CN"/>
        </w:rPr>
        <w:t>清除</w:t>
      </w:r>
      <w:r>
        <w:rPr>
          <w:rFonts w:hint="eastAsia" w:ascii="仿宋_GB2312" w:hAnsi="仿宋_GB2312" w:eastAsia="仿宋_GB2312" w:cs="仿宋_GB2312"/>
          <w:color w:val="auto"/>
          <w:kern w:val="0"/>
          <w:sz w:val="28"/>
          <w:szCs w:val="28"/>
          <w:highlight w:val="none"/>
        </w:rPr>
        <w:t>工广及道路积雪。</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要及时安排人员对供电线路、通讯线路、房屋、设备进行巡查，恢复线路、房屋、设备。冰雪期间及过后要保证主、副井井口、宿舍楼、办公楼、浴室等场所的供暖。</w:t>
      </w:r>
    </w:p>
    <w:p w14:paraId="2DC221A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（7）发生冰雪灾害后，要组织人员对供暖管路、供水管路、排水管路进行巡查，根据需要对管路、阀门进行保温处理，防止冻裂管路、阀门。</w:t>
      </w:r>
    </w:p>
    <w:p w14:paraId="7D2088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（8）强降温降风雪天气灾害导致地面</w:t>
      </w:r>
      <w:r>
        <w:rPr>
          <w:rFonts w:hint="eastAsia" w:ascii="仿宋_GB2312" w:hAnsi="仿宋_GB2312" w:eastAsia="仿宋_GB2312" w:cs="仿宋_GB2312"/>
          <w:color w:val="auto"/>
          <w:kern w:val="0"/>
          <w:sz w:val="28"/>
          <w:szCs w:val="28"/>
          <w:highlight w:val="none"/>
          <w:lang w:eastAsia="zh-CN"/>
        </w:rPr>
        <w:t>工厂</w:t>
      </w:r>
      <w:r>
        <w:rPr>
          <w:rFonts w:hint="eastAsia" w:ascii="仿宋_GB2312" w:hAnsi="仿宋_GB2312" w:eastAsia="仿宋_GB2312" w:cs="仿宋_GB2312"/>
          <w:color w:val="auto"/>
          <w:kern w:val="0"/>
          <w:sz w:val="28"/>
          <w:szCs w:val="28"/>
          <w:highlight w:val="none"/>
        </w:rPr>
        <w:t>厂区停电事故</w:t>
      </w:r>
    </w:p>
    <w:p w14:paraId="55E0C6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①发生高压停电事故时，由</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配合机电管理部值班人员抢修。</w:t>
      </w:r>
    </w:p>
    <w:p w14:paraId="1874A3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②发生低压停电事故时由责任单位配合机电管理部值班人员抢修。</w:t>
      </w:r>
    </w:p>
    <w:p w14:paraId="4DB213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（9）强降温降雪灾害导致停水：</w:t>
      </w:r>
    </w:p>
    <w:p w14:paraId="187A7D7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负责工广区域及所属供水系统的突发性事故的应急处理。</w:t>
      </w:r>
    </w:p>
    <w:p w14:paraId="67E90E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②专业分管领导负责制定事故处理的应急计划，组织调遣供水事故抢修队并负责其安全、进度及事故应急处理后的汇报工作。</w:t>
      </w:r>
    </w:p>
    <w:p w14:paraId="29FB8E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（10）强降温降雪灾害导致通讯线路故障</w:t>
      </w:r>
    </w:p>
    <w:p w14:paraId="7CFA4B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①部门电话不通由机电管理部信息中心排查设备及配线是否故障，如设备故障按设备故障程序执行。如无故障，立即通知外线班长，告知故障电话外线线对，机房内派机务人员，配合外线人员排查。</w:t>
      </w:r>
    </w:p>
    <w:p w14:paraId="248718B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②巡线工迅速赶到现场排查故障，对排查过程中发现的问题，要及时与值班领导联系协调，并配合排除故障。</w:t>
      </w:r>
    </w:p>
    <w:p w14:paraId="7917D7D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出现信道传输故障，局部大面积通信中断，中心机房将会发出事故报警，值班人员根据报警显示，判断出现了问题，通过电话拨打判定故障点，并把信息准确地向值班领导汇报，机电管理部信息中心分管人员及时到中心机房排查故障并定位，及时排除相关故障。</w:t>
      </w:r>
    </w:p>
    <w:p w14:paraId="1258A8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（11）火灾导致房屋受损、线路、设备损坏：调度室负责联系责任单位进行维修、更换，恢复线路、设备正常状态。</w:t>
      </w:r>
    </w:p>
    <w:p w14:paraId="20D65E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（12）造成立井筒结冰：停止立井运行，撤离受威胁人员，对结冰处进行除冰处理，防止冰凌坠入井筒。</w:t>
      </w:r>
    </w:p>
    <w:p w14:paraId="21C6E89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（13）主通风机停止运转的处理：因强风、雷电、雷雨天</w:t>
      </w:r>
      <w:r>
        <w:rPr>
          <w:rFonts w:hint="eastAsia" w:ascii="仿宋_GB2312" w:hAnsi="仿宋_GB2312" w:eastAsia="仿宋_GB2312" w:cs="仿宋_GB2312"/>
          <w:color w:val="auto"/>
          <w:kern w:val="0"/>
          <w:sz w:val="28"/>
          <w:szCs w:val="28"/>
          <w:highlight w:val="none"/>
          <w:lang w:eastAsia="zh-CN"/>
        </w:rPr>
        <w:t>气导</w:t>
      </w:r>
      <w:r>
        <w:rPr>
          <w:rFonts w:hint="eastAsia" w:ascii="仿宋_GB2312" w:hAnsi="仿宋_GB2312" w:eastAsia="仿宋_GB2312" w:cs="仿宋_GB2312"/>
          <w:color w:val="auto"/>
          <w:kern w:val="0"/>
          <w:sz w:val="28"/>
          <w:szCs w:val="28"/>
          <w:highlight w:val="none"/>
        </w:rPr>
        <w:t>致供电中断的参照主要通风机停风事故现场处置方案措施执行。</w:t>
      </w:r>
    </w:p>
    <w:p w14:paraId="65D5ED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14）地震灾害处理：地面在室外就地选择开阔地蹲下或趴下，不要乱跑，不要随便返回室内，避开人多的地方；在楼内或平房内，应选择小开间、坚固家具旁就地躲藏，躲避时不要靠近窗边或阳台上去，千万不要跳楼。要避开高大建筑物。避开危险场所。在公共场所千万不要慌乱</w:t>
      </w:r>
      <w:r>
        <w:rPr>
          <w:rFonts w:hint="eastAsia" w:ascii="仿宋_GB2312" w:hAnsi="仿宋_GB2312" w:eastAsia="仿宋_GB2312" w:cs="仿宋_GB2312"/>
          <w:color w:val="auto"/>
          <w:kern w:val="0"/>
          <w:sz w:val="28"/>
          <w:szCs w:val="28"/>
          <w:highlight w:val="none"/>
          <w:lang w:eastAsia="zh-CN"/>
        </w:rPr>
        <w:t>涌向</w:t>
      </w:r>
      <w:r>
        <w:rPr>
          <w:rFonts w:hint="eastAsia" w:ascii="仿宋_GB2312" w:hAnsi="仿宋_GB2312" w:eastAsia="仿宋_GB2312" w:cs="仿宋_GB2312"/>
          <w:color w:val="auto"/>
          <w:kern w:val="0"/>
          <w:sz w:val="28"/>
          <w:szCs w:val="28"/>
          <w:highlight w:val="none"/>
        </w:rPr>
        <w:t>出口，避开人流的拥挤，避免造成不必要的伤害。在行驶的车辆内要抓牢扶手，降低重心，躲在座位附近。</w:t>
      </w:r>
    </w:p>
    <w:p w14:paraId="00EDE44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地震时，井下人员千万不要慌乱跑动，应选择顶板支护较好的硐室里或支撑较好的设备下躲避，等稳定后再选择逃生方式或等待救援。不要随意停送局部通风机,防止瓦斯聚集,造成瓦斯超限。地震时，可能发生局部火灾、水灾、瓦斯超限、卷道冒顶、冲击地压等次生灾害，可以根据现场情况,选择正确的避灾路线逃生，同时响应其它专项预案。地震后，往往还有多次余震发生，处境可能继续恶化，为了免遭新的伤害，要尽量改善自己所处环境。首先要保护呼吸畅通，</w:t>
      </w:r>
      <w:r>
        <w:rPr>
          <w:rFonts w:hint="eastAsia" w:ascii="仿宋_GB2312" w:hAnsi="仿宋_GB2312" w:eastAsia="仿宋_GB2312" w:cs="仿宋_GB2312"/>
          <w:color w:val="auto"/>
          <w:kern w:val="0"/>
          <w:sz w:val="28"/>
          <w:szCs w:val="28"/>
          <w:highlight w:val="none"/>
          <w:lang w:eastAsia="zh-CN"/>
        </w:rPr>
        <w:t>避开</w:t>
      </w:r>
      <w:r>
        <w:rPr>
          <w:rFonts w:hint="eastAsia" w:ascii="仿宋_GB2312" w:hAnsi="仿宋_GB2312" w:eastAsia="仿宋_GB2312" w:cs="仿宋_GB2312"/>
          <w:color w:val="auto"/>
          <w:kern w:val="0"/>
          <w:sz w:val="28"/>
          <w:szCs w:val="28"/>
          <w:highlight w:val="none"/>
        </w:rPr>
        <w:t>头部、胸部的杂物，闻到煤气、毒气时，用湿衣服等物捂住口、鼻；避开身体上方不结实的倒塌物和其它容易引起掉落的物体；扩大和稳定生存空间，用砖块、木棍等支撑</w:t>
      </w:r>
      <w:r>
        <w:rPr>
          <w:rFonts w:hint="eastAsia" w:ascii="仿宋_GB2312" w:hAnsi="仿宋_GB2312" w:eastAsia="仿宋_GB2312" w:cs="仿宋_GB2312"/>
          <w:color w:val="auto"/>
          <w:kern w:val="0"/>
          <w:sz w:val="28"/>
          <w:szCs w:val="28"/>
          <w:highlight w:val="none"/>
          <w:lang w:eastAsia="zh-CN"/>
        </w:rPr>
        <w:t>残垣断壁</w:t>
      </w:r>
      <w:r>
        <w:rPr>
          <w:rFonts w:hint="eastAsia" w:ascii="仿宋_GB2312" w:hAnsi="仿宋_GB2312" w:eastAsia="仿宋_GB2312" w:cs="仿宋_GB2312"/>
          <w:color w:val="auto"/>
          <w:kern w:val="0"/>
          <w:sz w:val="28"/>
          <w:szCs w:val="28"/>
          <w:highlight w:val="none"/>
        </w:rPr>
        <w:t>。设法脱离险境，如果找不到脱离险境的通道，尽量保存体力，用石块敲击能发出声响的物体，向外发出呼救信号，不要哭喊、急躁和盲目行动，这样会大量消耗精力和体力，尽可能控制自己的情绪或闭目休息，等待救援人员到来。如果受伤，要想法包扎，避免流血过多。如果被埋在废墟下的时间较长，救援人员未到，或者没有听到呼救信号，想办法维持自己的生命，如果自己周围有水和食品，一</w:t>
      </w:r>
      <w:r>
        <w:rPr>
          <w:rFonts w:hint="eastAsia" w:ascii="仿宋_GB2312" w:hAnsi="仿宋_GB2312" w:eastAsia="仿宋_GB2312" w:cs="仿宋_GB2312"/>
          <w:color w:val="auto"/>
          <w:kern w:val="0"/>
          <w:sz w:val="28"/>
          <w:szCs w:val="28"/>
          <w:highlight w:val="none"/>
          <w:lang w:eastAsia="zh-CN"/>
        </w:rPr>
        <w:t>定要</w:t>
      </w:r>
      <w:r>
        <w:rPr>
          <w:rFonts w:hint="eastAsia" w:ascii="仿宋_GB2312" w:hAnsi="仿宋_GB2312" w:eastAsia="仿宋_GB2312" w:cs="仿宋_GB2312"/>
          <w:color w:val="auto"/>
          <w:kern w:val="0"/>
          <w:sz w:val="28"/>
          <w:szCs w:val="28"/>
          <w:highlight w:val="none"/>
        </w:rPr>
        <w:t>节约使用。</w:t>
      </w:r>
    </w:p>
    <w:p w14:paraId="2D4F12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.3.2.3事故控制</w:t>
      </w:r>
    </w:p>
    <w:p w14:paraId="5DEC9B8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（1）采掘工作面两巷或其它地点因矿井发生停电、停风时，现场人员必须停止作业，立即按指挥部和调度室的</w:t>
      </w:r>
      <w:r>
        <w:rPr>
          <w:rFonts w:hint="eastAsia" w:ascii="仿宋_GB2312" w:hAnsi="仿宋_GB2312" w:eastAsia="仿宋_GB2312" w:cs="仿宋_GB2312"/>
          <w:color w:val="auto"/>
          <w:kern w:val="0"/>
          <w:sz w:val="28"/>
          <w:szCs w:val="28"/>
          <w:highlight w:val="none"/>
          <w:lang w:eastAsia="zh-CN"/>
        </w:rPr>
        <w:t>命令</w:t>
      </w:r>
      <w:r>
        <w:rPr>
          <w:rFonts w:hint="eastAsia" w:ascii="仿宋_GB2312" w:hAnsi="仿宋_GB2312" w:eastAsia="仿宋_GB2312" w:cs="仿宋_GB2312"/>
          <w:color w:val="auto"/>
          <w:kern w:val="0"/>
          <w:sz w:val="28"/>
          <w:szCs w:val="28"/>
          <w:highlight w:val="none"/>
        </w:rPr>
        <w:t>沿避灾路线向副井口方向撤离。</w:t>
      </w:r>
    </w:p>
    <w:p w14:paraId="54BF7D6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（2）调度室和机电工区及时确认风井的防爆门是否已自动打开，以便减小矿井自然通风的阻力。</w:t>
      </w:r>
    </w:p>
    <w:p w14:paraId="76AB609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（3）井下撤离人员若感觉呼吸困难时，应立即佩戴自救器继续沿避灾路线向副井口方向撤离。</w:t>
      </w:r>
    </w:p>
    <w:p w14:paraId="0BBE9A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（4）发生大雨、暴雨、洪涝灾害等险情后，井下人员在撤离过程中应结伴行走，尽量沿进风巷道行走，不得进入盲巷。调度室立即通知</w:t>
      </w:r>
      <w:r>
        <w:rPr>
          <w:rFonts w:hint="eastAsia" w:ascii="仿宋_GB2312" w:hAnsi="仿宋_GB2312" w:eastAsia="仿宋_GB2312" w:cs="仿宋_GB2312"/>
          <w:color w:val="auto"/>
          <w:kern w:val="0"/>
          <w:sz w:val="28"/>
          <w:szCs w:val="28"/>
          <w:highlight w:val="none"/>
          <w:lang w:eastAsia="zh-CN"/>
        </w:rPr>
        <w:t>机电工区</w:t>
      </w:r>
      <w:r>
        <w:rPr>
          <w:rFonts w:hint="eastAsia" w:ascii="仿宋_GB2312" w:hAnsi="仿宋_GB2312" w:eastAsia="仿宋_GB2312" w:cs="仿宋_GB2312"/>
          <w:color w:val="auto"/>
          <w:kern w:val="0"/>
          <w:sz w:val="28"/>
          <w:szCs w:val="28"/>
          <w:highlight w:val="none"/>
        </w:rPr>
        <w:t>停止立井运料，全力运人，确保人员正常升井。</w:t>
      </w:r>
    </w:p>
    <w:p w14:paraId="52A8FE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当井下采掘工作面来水无法撤离时，则就近找上山巷道进行避灾，此时所有人员必须静卧，不能急躁，减少氧气、热量等消耗，等待外部来人救援；如果巷道内有压风管，可打开压风管供人员呼吸，确保被困人员的安全，并经常敲打管路，向外部报警求救。</w:t>
      </w:r>
    </w:p>
    <w:p w14:paraId="5A3617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（6）调度室通知井口保健站值班人员准备好器材、药品立即组织人员到井口待命，预防出现人身事故，能第一时间进行处置。</w:t>
      </w:r>
    </w:p>
    <w:p w14:paraId="23B5ACC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（7）调度室通知矿井抢险队员立即集合，在井口待命，预防人员被困或人身事故，能第一时间进行救援。</w:t>
      </w:r>
    </w:p>
    <w:p w14:paraId="6A3877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.3.2.4消防</w:t>
      </w:r>
    </w:p>
    <w:p w14:paraId="76DB46B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585830A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.3.2.5现场恢复</w:t>
      </w:r>
    </w:p>
    <w:p w14:paraId="3C4F1F3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（1）确认无被困和失踪人员，现场事故已得到有效控制，可宣布应急救援行动结束。后续工作转为灾后恢复、经验教训的总结等。</w:t>
      </w:r>
    </w:p>
    <w:p w14:paraId="334910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（2）当事故得到有效控制，伤亡人员全部救出或转移，设备、设施处于受控状态，环境有害因素得到有效监测和处置达标，由应急总指挥宣布事故</w:t>
      </w:r>
      <w:r>
        <w:rPr>
          <w:rFonts w:hint="eastAsia" w:ascii="仿宋_GB2312" w:hAnsi="仿宋_GB2312" w:eastAsia="仿宋_GB2312" w:cs="仿宋_GB2312"/>
          <w:color w:val="auto"/>
          <w:kern w:val="0"/>
          <w:sz w:val="28"/>
          <w:szCs w:val="28"/>
          <w:highlight w:val="none"/>
          <w:lang w:eastAsia="zh-CN"/>
        </w:rPr>
        <w:t>应急</w:t>
      </w:r>
      <w:r>
        <w:rPr>
          <w:rFonts w:hint="eastAsia" w:ascii="仿宋_GB2312" w:hAnsi="仿宋_GB2312" w:eastAsia="仿宋_GB2312" w:cs="仿宋_GB2312"/>
          <w:color w:val="auto"/>
          <w:kern w:val="0"/>
          <w:sz w:val="28"/>
          <w:szCs w:val="28"/>
          <w:highlight w:val="none"/>
        </w:rPr>
        <w:t>救援工作结束，并转入现场恢复、障碍消除等工作。</w:t>
      </w:r>
    </w:p>
    <w:p w14:paraId="2860B3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由应急总指挥宣布事故应急救援终止命令，调度室负责传达到各单位，各单位传达到个人。</w:t>
      </w:r>
    </w:p>
    <w:p w14:paraId="4278062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.3.3 报警电话及相关救援单位联络</w:t>
      </w:r>
    </w:p>
    <w:p w14:paraId="231C24F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29BBE77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5DBA1B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2BCB0775">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06DB16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2F234038">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19" w:name="_Toc21019"/>
      <w:bookmarkStart w:id="520" w:name="_Toc17742"/>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1</w:t>
      </w:r>
      <w:r>
        <w:rPr>
          <w:rFonts w:hint="eastAsia" w:ascii="楷体_GB2312" w:hAnsi="楷体_GB2312" w:eastAsia="楷体_GB2312" w:cs="楷体_GB2312"/>
          <w:color w:val="auto"/>
          <w:sz w:val="30"/>
          <w:szCs w:val="30"/>
          <w:highlight w:val="none"/>
        </w:rPr>
        <w:t>.4 注意事项</w:t>
      </w:r>
      <w:bookmarkEnd w:id="519"/>
      <w:bookmarkEnd w:id="520"/>
    </w:p>
    <w:p w14:paraId="4E1E452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.4.1 人员防护</w:t>
      </w:r>
    </w:p>
    <w:p w14:paraId="4A46596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（1）选择防护用品应针对防护要求，正确选择符合要求的防护用品。</w:t>
      </w:r>
    </w:p>
    <w:p w14:paraId="122B381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（2）井下人员必须使用矿配发的个体防护用品，并熟练使用。</w:t>
      </w:r>
    </w:p>
    <w:p w14:paraId="79FCC74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（3）防护用品应经常性检查，确保性能完好。</w:t>
      </w:r>
    </w:p>
    <w:p w14:paraId="022E08A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（4）在有毒有害气体的环境中工作时，应尽量采取通风措施，排除有毒有害气体，避免佩戴呼吸器工作。</w:t>
      </w:r>
    </w:p>
    <w:p w14:paraId="0FA8785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 xml:space="preserve">.4.2 自救互救 </w:t>
      </w:r>
    </w:p>
    <w:p w14:paraId="6E6CEBB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（1）煤矿作业人员必须熟悉应急救援预案和避灾路线，具有自救互救和安全避险知识，训练掌握自救器和紧急避险设施的使用方法。 </w:t>
      </w:r>
    </w:p>
    <w:p w14:paraId="21382D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（2）班组长应当具备兼职救护队员的知识和能力，能够在发生险情后第一时间组织作业人员自救互救和安全避险。 </w:t>
      </w:r>
    </w:p>
    <w:p w14:paraId="11709FF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（3）救援人员必须认真按救援方案和救护安全措施执行，确保自身安全。 </w:t>
      </w:r>
    </w:p>
    <w:p w14:paraId="160D03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（4）自救与互救原则：安全撤离，妥善避险；沉着冷静，控制情绪；互相鼓励，互相帮助；团结协作，服从指挥。 </w:t>
      </w:r>
    </w:p>
    <w:p w14:paraId="1B3EAEC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（5）事故应急避险和现场自救互救措施。</w:t>
      </w:r>
    </w:p>
    <w:p w14:paraId="721302D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①事故现场有人员伤亡时，现场人员要及时按有关规定采取急救措施，如人工呼吸、临时止血包扎等。做好相互保安，相互提醒等自救互救措施。</w:t>
      </w:r>
    </w:p>
    <w:p w14:paraId="00BFADF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②采掘工作面或其它地点发现有出水预兆时，现场人员必须停止作业，立即发出警报，撤出所有受水灾威胁地点的人员，撤离时必须按指定的避灾路线撤离。</w:t>
      </w:r>
    </w:p>
    <w:p w14:paraId="525729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（6）其他应急避险和现场自救互救措施</w:t>
      </w:r>
    </w:p>
    <w:p w14:paraId="6C8C90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①事故现场有人员伤亡时，现场人员要及时按有关规定采取急救措施，如人工呼吸、临时止血包扎等。做好相互保安，相互提醒等自救互救措施。</w:t>
      </w:r>
    </w:p>
    <w:p w14:paraId="6C8045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②强降温降风雪天气导致主、副井提升容器结冰挂凌暂时无法提升时，则应将空箕斗、空罐笼提升到井筒交钩位置防冻，井下人员必须静卧，耐心等待，不能急躁，减少热量消耗，等待恢复提升救援。</w:t>
      </w:r>
    </w:p>
    <w:p w14:paraId="59E98B0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③参加救援时，抢险救援人员要佩戴好个人手套、口罩等防护用具，严格执行抢险方案和安全技术措施，做到自主保安和业务保安。</w:t>
      </w:r>
    </w:p>
    <w:p w14:paraId="4731790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④强降温降风雪天气造成的电气事故抢修处理时必须严格执行各工种安全技术操作规程及有关规定，严禁违章作业和冒险蛮干。</w:t>
      </w:r>
    </w:p>
    <w:p w14:paraId="583053A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⑤火灾事故时，应首先保证自身安全，远离着火点及下风侧，人员撤离时要用湿毛巾捂住口鼻，认清方向。火灾用水或灭火器材进行灭火。</w:t>
      </w:r>
    </w:p>
    <w:p w14:paraId="2F43BE7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.4.3 装备使用</w:t>
      </w:r>
    </w:p>
    <w:p w14:paraId="6F427CA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28C9651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04DE100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4F38514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6288D55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0AAA43A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1</w:t>
      </w:r>
      <w:r>
        <w:rPr>
          <w:rFonts w:hint="eastAsia" w:ascii="仿宋_GB2312" w:hAnsi="仿宋_GB2312" w:eastAsia="仿宋_GB2312" w:cs="仿宋_GB2312"/>
          <w:b/>
          <w:bCs/>
          <w:snapToGrid w:val="0"/>
          <w:color w:val="auto"/>
          <w:kern w:val="0"/>
          <w:sz w:val="30"/>
          <w:szCs w:val="30"/>
          <w:highlight w:val="none"/>
        </w:rPr>
        <w:t>.4.4 现场安全</w:t>
      </w:r>
    </w:p>
    <w:p w14:paraId="6DF087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17A211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2B482D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5EDBBB6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306994E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5CDBD03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31B50DA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（7）抢救和运送长期被困井下的人员时，要注意外部环境的突然改变，防止造成二次伤害。</w:t>
      </w:r>
    </w:p>
    <w:p w14:paraId="34F1721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1BD44C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7971014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（10）进入避难硐室前，应在硐室外留有明显标志，以便救护队发现。</w:t>
      </w:r>
    </w:p>
    <w:p w14:paraId="4D0AA5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（11）待救时应保持冷静、不得急躁，以减少氧气消耗，保持体力。</w:t>
      </w:r>
    </w:p>
    <w:p w14:paraId="2099519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（12）硐室内保留一盏灯照明，其余矿灯全部关闭。</w:t>
      </w:r>
    </w:p>
    <w:p w14:paraId="4C1DCE9C">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21" w:name="_Toc21799"/>
      <w:bookmarkStart w:id="522" w:name="_Toc37"/>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1</w:t>
      </w:r>
      <w:r>
        <w:rPr>
          <w:rFonts w:hint="eastAsia" w:ascii="楷体_GB2312" w:hAnsi="楷体_GB2312" w:eastAsia="楷体_GB2312" w:cs="楷体_GB2312"/>
          <w:color w:val="auto"/>
          <w:sz w:val="30"/>
          <w:szCs w:val="30"/>
          <w:highlight w:val="none"/>
        </w:rPr>
        <w:t>.5 其他需要特别警示的事项</w:t>
      </w:r>
      <w:bookmarkEnd w:id="521"/>
      <w:bookmarkEnd w:id="522"/>
    </w:p>
    <w:p w14:paraId="7D1A87D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7876581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1C60E85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72C088C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rPr>
        <w:t>（4）事故现场人员撤离路线变化等重要地点标识</w:t>
      </w:r>
      <w:r>
        <w:rPr>
          <w:rFonts w:hint="eastAsia" w:ascii="仿宋_GB2312" w:hAnsi="仿宋_GB2312" w:eastAsia="仿宋_GB2312" w:cs="仿宋_GB2312"/>
          <w:color w:val="auto"/>
          <w:kern w:val="0"/>
          <w:sz w:val="28"/>
          <w:szCs w:val="28"/>
          <w:highlight w:val="none"/>
          <w:lang w:eastAsia="zh-CN"/>
        </w:rPr>
        <w:t>。</w:t>
      </w:r>
    </w:p>
    <w:p w14:paraId="576A0A6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p>
    <w:p w14:paraId="5954B44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p>
    <w:p w14:paraId="69CF5D6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p>
    <w:p w14:paraId="00F19FB6">
      <w:pPr>
        <w:spacing w:line="440" w:lineRule="exact"/>
        <w:ind w:firstLine="600" w:firstLineChars="200"/>
        <w:outlineLvl w:val="0"/>
        <w:rPr>
          <w:rFonts w:ascii="黑体" w:hAnsi="黑体" w:eastAsia="黑体" w:cs="黑体"/>
          <w:color w:val="auto"/>
          <w:sz w:val="30"/>
          <w:szCs w:val="30"/>
          <w:highlight w:val="none"/>
        </w:rPr>
      </w:pPr>
      <w:bookmarkStart w:id="523" w:name="_Toc8823"/>
      <w:r>
        <w:rPr>
          <w:rFonts w:hint="eastAsia" w:ascii="黑体" w:hAnsi="黑体" w:eastAsia="黑体" w:cs="黑体"/>
          <w:color w:val="auto"/>
          <w:sz w:val="30"/>
          <w:szCs w:val="30"/>
          <w:highlight w:val="none"/>
        </w:rPr>
        <w:t>1</w:t>
      </w:r>
      <w:r>
        <w:rPr>
          <w:rFonts w:hint="eastAsia" w:ascii="黑体" w:hAnsi="黑体" w:eastAsia="黑体" w:cs="黑体"/>
          <w:color w:val="auto"/>
          <w:sz w:val="30"/>
          <w:szCs w:val="30"/>
          <w:highlight w:val="none"/>
          <w:lang w:val="en-US" w:eastAsia="zh-CN"/>
        </w:rPr>
        <w:t>2</w:t>
      </w:r>
      <w:r>
        <w:rPr>
          <w:rFonts w:hint="eastAsia" w:ascii="黑体" w:hAnsi="黑体" w:eastAsia="黑体" w:cs="黑体"/>
          <w:color w:val="auto"/>
          <w:sz w:val="30"/>
          <w:szCs w:val="30"/>
          <w:highlight w:val="none"/>
        </w:rPr>
        <w:t xml:space="preserve">  </w:t>
      </w:r>
      <w:r>
        <w:rPr>
          <w:rFonts w:hint="eastAsia" w:ascii="黑体" w:hAnsi="黑体" w:eastAsia="黑体" w:cs="黑体"/>
          <w:color w:val="auto"/>
          <w:sz w:val="30"/>
          <w:szCs w:val="30"/>
          <w:highlight w:val="none"/>
          <w:lang w:val="en-US" w:eastAsia="zh-CN"/>
        </w:rPr>
        <w:t>矿井煤仓</w:t>
      </w:r>
      <w:r>
        <w:rPr>
          <w:rFonts w:hint="eastAsia" w:ascii="黑体" w:hAnsi="黑体" w:eastAsia="黑体" w:cs="黑体"/>
          <w:color w:val="auto"/>
          <w:sz w:val="30"/>
          <w:szCs w:val="30"/>
          <w:highlight w:val="none"/>
        </w:rPr>
        <w:t>事故现场处置方案</w:t>
      </w:r>
      <w:bookmarkEnd w:id="523"/>
    </w:p>
    <w:p w14:paraId="6618E147">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24" w:name="_Toc860"/>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2</w:t>
      </w:r>
      <w:r>
        <w:rPr>
          <w:rFonts w:hint="eastAsia" w:ascii="楷体_GB2312" w:hAnsi="楷体_GB2312" w:eastAsia="楷体_GB2312" w:cs="楷体_GB2312"/>
          <w:color w:val="auto"/>
          <w:sz w:val="30"/>
          <w:szCs w:val="30"/>
          <w:highlight w:val="none"/>
        </w:rPr>
        <w:t>.1 事故风险描述</w:t>
      </w:r>
      <w:bookmarkEnd w:id="524"/>
    </w:p>
    <w:p w14:paraId="770D1DE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.1.1 风险描述</w:t>
      </w:r>
    </w:p>
    <w:p w14:paraId="6128593C">
      <w:pPr>
        <w:pStyle w:val="35"/>
        <w:ind w:firstLine="560"/>
        <w:rPr>
          <w:rFonts w:ascii="仿宋_GB2312" w:hAnsi="仿宋_GB2312" w:cs="仿宋_GB2312"/>
          <w:color w:val="auto"/>
          <w:sz w:val="30"/>
          <w:szCs w:val="30"/>
          <w:highlight w:val="none"/>
        </w:rPr>
      </w:pP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生产安全事故风险评估报告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，矿井生产过程中煤仓事故</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危害后果：发生煤仓事故将直接影响煤流运输甚至影响全矿井的生产经营，严重时造成人员伤亡。人员坠入煤仓将直接造成人员伤亡；溃仓将危及煤仓下口附近人员安全；在处理堵仓事故的过程中，对煤仓下口的处理人员可能造成人身伤害的危险；处理堵仓时，可能造成煤仓坍塌，对巷道内的作业人员造成人身伤害，给矿井造成人员伤亡及重大经济损失</w:t>
      </w:r>
      <w:r>
        <w:rPr>
          <w:rFonts w:hint="eastAsia" w:ascii="仿宋_GB2312" w:hAnsi="仿宋_GB2312" w:cs="仿宋_GB2312"/>
          <w:color w:val="auto"/>
          <w:kern w:val="0"/>
          <w:szCs w:val="28"/>
          <w:highlight w:val="none"/>
        </w:rPr>
        <w:t>。</w:t>
      </w:r>
    </w:p>
    <w:p w14:paraId="12D99C1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1.2 风险评估结果</w:t>
      </w:r>
    </w:p>
    <w:p w14:paraId="6286E3A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lang w:val="en-US" w:eastAsia="zh-CN"/>
        </w:rPr>
        <w:t>矿井煤仓事故</w:t>
      </w:r>
      <w:r>
        <w:rPr>
          <w:rFonts w:ascii="仿宋_GB2312" w:hAnsi="仿宋_GB2312" w:eastAsia="仿宋_GB2312" w:cs="仿宋_GB2312"/>
          <w:color w:val="auto"/>
          <w:kern w:val="0"/>
          <w:sz w:val="28"/>
          <w:szCs w:val="28"/>
          <w:highlight w:val="none"/>
        </w:rPr>
        <w:t>为较大风险。</w:t>
      </w:r>
    </w:p>
    <w:p w14:paraId="28C14591">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25" w:name="_Toc24971"/>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2</w:t>
      </w:r>
      <w:r>
        <w:rPr>
          <w:rFonts w:hint="eastAsia" w:ascii="楷体_GB2312" w:hAnsi="楷体_GB2312" w:eastAsia="楷体_GB2312" w:cs="楷体_GB2312"/>
          <w:color w:val="auto"/>
          <w:sz w:val="30"/>
          <w:szCs w:val="30"/>
          <w:highlight w:val="none"/>
        </w:rPr>
        <w:t>.</w:t>
      </w:r>
      <w:r>
        <w:rPr>
          <w:rFonts w:ascii="楷体_GB2312" w:hAnsi="楷体_GB2312" w:eastAsia="楷体_GB2312" w:cs="楷体_GB2312"/>
          <w:color w:val="auto"/>
          <w:sz w:val="30"/>
          <w:szCs w:val="30"/>
          <w:highlight w:val="none"/>
        </w:rPr>
        <w:t>2 应急工作职责</w:t>
      </w:r>
      <w:bookmarkEnd w:id="525"/>
    </w:p>
    <w:p w14:paraId="667EE765">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2.1 应急自救小组</w:t>
      </w:r>
    </w:p>
    <w:p w14:paraId="3C22A70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03D56689">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3133771C">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78EE9FF3">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2.2 具体职责</w:t>
      </w:r>
    </w:p>
    <w:p w14:paraId="477FC28D">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663C03E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（2）值班人员：接到事故报告，按照指令，召集小组成员及工区有关人员，协调现场自救和应急处置工作，同时做好相关记录。</w:t>
      </w:r>
    </w:p>
    <w:p w14:paraId="3360C81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（3）技术人员：负责制定救援措施和提供技术资料。</w:t>
      </w:r>
    </w:p>
    <w:p w14:paraId="7DBEEF20">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（4）管理人员：根据事故性质和严重程度，组织现场人员进行应急处置和自救，若事态扩大，立即请求增援</w:t>
      </w:r>
      <w:r>
        <w:rPr>
          <w:rFonts w:hint="eastAsia" w:ascii="仿宋_GB2312" w:hAnsi="仿宋_GB2312" w:eastAsia="仿宋_GB2312" w:cs="仿宋_GB2312"/>
          <w:color w:val="auto"/>
          <w:kern w:val="0"/>
          <w:sz w:val="28"/>
          <w:szCs w:val="28"/>
          <w:highlight w:val="none"/>
        </w:rPr>
        <w:t>。</w:t>
      </w:r>
    </w:p>
    <w:p w14:paraId="7A70BC8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5</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：负责事故现场人员撤离以及应急处置工作监督。</w:t>
      </w:r>
    </w:p>
    <w:p w14:paraId="28B07A2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6</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班组长：协助跟班队长组织现场应急处置，救治伤员。</w:t>
      </w:r>
    </w:p>
    <w:p w14:paraId="6E79FA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现场作业人员：积极开展应急处置和自救互救。</w:t>
      </w:r>
    </w:p>
    <w:p w14:paraId="54793F62">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26" w:name="_Toc31508"/>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2</w:t>
      </w:r>
      <w:r>
        <w:rPr>
          <w:rFonts w:hint="eastAsia" w:ascii="楷体_GB2312" w:hAnsi="楷体_GB2312" w:eastAsia="楷体_GB2312" w:cs="楷体_GB2312"/>
          <w:color w:val="auto"/>
          <w:sz w:val="30"/>
          <w:szCs w:val="30"/>
          <w:highlight w:val="none"/>
        </w:rPr>
        <w:t>.</w:t>
      </w:r>
      <w:r>
        <w:rPr>
          <w:rFonts w:ascii="楷体_GB2312" w:hAnsi="楷体_GB2312" w:eastAsia="楷体_GB2312" w:cs="楷体_GB2312"/>
          <w:color w:val="auto"/>
          <w:sz w:val="30"/>
          <w:szCs w:val="30"/>
          <w:highlight w:val="none"/>
        </w:rPr>
        <w:t>3 应急处置</w:t>
      </w:r>
      <w:bookmarkEnd w:id="526"/>
    </w:p>
    <w:p w14:paraId="5276094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3.1 事故应急处置程序</w:t>
      </w:r>
    </w:p>
    <w:p w14:paraId="20FAF89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（1）事故报警：事故发生后，灾害现场负责人，立即启动现场处置方案并电话汇报调度室，详细汇报事故发生的性质、时间、地点，危害程度及现状；积极组织自救互救。</w:t>
      </w:r>
    </w:p>
    <w:p w14:paraId="73A57BF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调度室接到各种自然灾害警报等其他严重威胁矿井安全生产的情况预报时，矿井立即发布预警信息。现场负责人立即启动事故现场处置方案，组织人员撤离危险区域。调度室立即向当日值班领导、总经理、分管领导汇报，通知带班、包保等专业科室及区队管理人员达到现场处置；</w:t>
      </w:r>
    </w:p>
    <w:p w14:paraId="3A05D94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30F6F9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（4）事故扩大同应急预案的衔接程序：启动现场处置方案的同时，上一级应急预案进入预备状态。</w:t>
      </w:r>
    </w:p>
    <w:p w14:paraId="47F9471B">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55BE860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.3.2.1人员救护</w:t>
      </w:r>
    </w:p>
    <w:p w14:paraId="4B4B4DB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（一）发生煤仓事故后，事故现场负责人应迅速了解判明煤仓事故的严重程度和人员伤害情况，按照煤仓事故现场处置方案确定遇险人员救援的方法。如无法保证自身安全，应立即撤至安全地点。</w:t>
      </w:r>
    </w:p>
    <w:p w14:paraId="4166FC6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（二）现场负责人和现场人员要及时帮助受伤人员撤离到顶板完好、通风良好的安全地点，条件许可时应迅速运送伤员升井救治。</w:t>
      </w:r>
    </w:p>
    <w:p w14:paraId="0FE1C87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（三）医疗救护组要安排医务人员携带必要的抢险医药器具及时到达井口待命，必要时到达井下事故现场，对抢救出的受伤人员进行紧急医疗救治或护送上井救治。</w:t>
      </w:r>
    </w:p>
    <w:p w14:paraId="6241703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（四）伤员急救应采取以下措施：</w:t>
      </w:r>
    </w:p>
    <w:p w14:paraId="345F716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休克与昏迷抢救措施‌：若伤者‌休克与昏迷时，要让其‌平卧、保暖、下肢抬高20度‌；昏迷者‌面部转向一侧‌，防止呕吐物堵塞气道。对于煤仓坠仓、溃仓掩埋的人员还应及时清理鼻孔、口腔的堵塞物。</w:t>
      </w:r>
    </w:p>
    <w:p w14:paraId="13AB594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（2）‌骨折与出血抢救措施‌：若伤者‌骨折与出血，出血处用干净纱布按压止血；骨折部位‌先固定再搬运‌，脊柱骨折必须用硬板平抬，严禁背运或扭曲身体。</w:t>
      </w:r>
    </w:p>
    <w:p w14:paraId="76D565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（3）‌心跳呼吸停止抢救措施‌：若伤者没呼吸心跳，立即进行‌人工呼吸和胸外心脏按压。</w:t>
      </w:r>
    </w:p>
    <w:p w14:paraId="6A0E672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.3.2.2工艺操作</w:t>
      </w:r>
    </w:p>
    <w:p w14:paraId="718702E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（一）煤仓溃仓（坍塌）事故现场应急处置措施</w:t>
      </w:r>
    </w:p>
    <w:p w14:paraId="2C63351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（1）发生溃仓（坍塌）事故时，现场人员立即停止给煤机和上仓口胶带机运行，发出警报，并立即向调度室和事故单位（区队）值班人员汇报。</w:t>
      </w:r>
    </w:p>
    <w:p w14:paraId="72F981D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（2）应急处置和救援过程中，应随时检查是否有继续溃仓的危险，确认没有发生二次溃仓风险后，方可组织人员清理下仓口。如有埋压人员，尽快寻找遇险人员并进行抢救。</w:t>
      </w:r>
    </w:p>
    <w:p w14:paraId="0957EB4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处置溃仓（坍塌）时，必须明确给煤机闸板操作流程及现场安全监护人员职责，加强煤仓内水、煤仓位及给煤机闸板观测。给煤机司机必须在安全位置操作，给煤机闸板要操作规范，严防发生二次溃仓事故。</w:t>
      </w:r>
    </w:p>
    <w:p w14:paraId="0B8AF18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（4）施工区域设置警戒线，防止其他人员误入。施工人员应确保站位安全。</w:t>
      </w:r>
    </w:p>
    <w:p w14:paraId="29ED092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（5）现场处置和救援人员在抢救过程中，事故不能达到及时控制有扩大趋势时，或有埋压人员抢救有困难时，应及时启动专项应急救援预案，强化救援力量。</w:t>
      </w:r>
    </w:p>
    <w:p w14:paraId="651F51E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（二）煤仓坠仓（高处坠落）事故现场应急处置措施</w:t>
      </w:r>
    </w:p>
    <w:p w14:paraId="36AF8E3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（1）发生人员坠入煤仓（溜煤眼）事故时，现场人员立即停止带式输送机运行，在积极实施救援的同时，立即向调度室和事故单位（区队）值班人员汇报。</w:t>
      </w:r>
    </w:p>
    <w:p w14:paraId="59AEB34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（2）现场人员要保持与坠仓人员进行对话，若坠仓人员有能力施行自救时，现场人员要利用保安绳等进行抢救，否则应等待救援队进行施救。</w:t>
      </w:r>
    </w:p>
    <w:p w14:paraId="774E5A5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救援队进行救援时，需人员进入煤仓救援的，技术专家组研究制定详细的安全技术措施，选择经验丰富的救援人员进行处置。救援人员必须全程佩戴安全带，且安全带有可靠固定点。严禁从煤仓下方进入煤仓救援。</w:t>
      </w:r>
    </w:p>
    <w:p w14:paraId="2FA66E4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（4）救援人员进入煤仓前，应先行检测煤仓内有毒有害气体和氧气浓度，探查积水以及煤仓周边安全状况，煤仓上口有专人观察，在保证安全的情况下进行救援。</w:t>
      </w:r>
    </w:p>
    <w:p w14:paraId="36034BD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（5）煤仓事故现场处置作业时，必须有矿领导在现场监督指导，配备安全监护人员，并严格控制现场作业人数。</w:t>
      </w:r>
    </w:p>
    <w:p w14:paraId="0E45393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（三）煤仓堵仓（其他）事故现场应急处置措施</w:t>
      </w:r>
    </w:p>
    <w:p w14:paraId="3C1D70A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（1）发现煤仓堵仓，现场人员应立即停止带式输送机运行及给煤机运行，并立即向调度室和煤仓管理单位（区队）值班人员报告。</w:t>
      </w:r>
    </w:p>
    <w:p w14:paraId="26BC558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（2）处置煤仓堵仓事故时，分管矿长应当组织现场勘查，研究制定安全技术措施，严禁擅自盲目处理。</w:t>
      </w:r>
    </w:p>
    <w:p w14:paraId="0140EBE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（3）现场处置作业时矿领导必须现场监督指导，配备安全监护人员，并严格控制现场作业人数。处置煤仓堵仓事故时，严禁人员从煤仓下方进入煤仓。</w:t>
      </w:r>
    </w:p>
    <w:p w14:paraId="126578B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（4）需要人员入仓检查或处置时，必须全程佩戴安全带，且安全带有可靠固定点，严防煤仓疏通时形成负压将人员卷入。</w:t>
      </w:r>
    </w:p>
    <w:p w14:paraId="72A33E6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（5）必须爆破处理时，必须遵守下列规定：</w:t>
      </w:r>
    </w:p>
    <w:p w14:paraId="39C9B40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爆破前检查煤仓内堵塞部位的上部和下部空间的瓦斯浓度；使用用于溜煤(矸)眼的煤矿许用刚性被筒炸药，或者不低于该安全等级的煤矿许用炸药；每次爆破只准使用1个煤矿许用电雷管，最大装药量不得超过450g；爆破前必须对煤仓干燥煤体进行洒水，防止引发煤尘爆炸。</w:t>
      </w:r>
    </w:p>
    <w:p w14:paraId="0AB22CC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（6）安装空气炮、超声波、固定机械装置等的煤仓，优先采用空气炮、超声波、固定机械装置等进行疏通。</w:t>
      </w:r>
    </w:p>
    <w:p w14:paraId="0FEAED6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（7）处理煤仓堵仓事故前，应和给煤机司机说明情况并明确联系信号。处理时一人操作、专人监护，严禁单人作业，施工人员确保站位安全。处置人员事先确定撤退路线，保持退路畅通。</w:t>
      </w:r>
    </w:p>
    <w:p w14:paraId="5B3595D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（8）煤仓内水较多时，必须采取先排水后处理的原则。关小给煤机闸门，防止出现溃仓事故。发现有溃仓危险时，立即将现场人员撤离到受威胁区域之外。施工威胁区域之外设置警戒线，防止其他人员误入。</w:t>
      </w:r>
    </w:p>
    <w:p w14:paraId="0BFFAD7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（9）处理煤仓堵仓事故前，要对安全设施、处理工具、保险带等进行认真检查，确保安全、可靠。处理前还要对煤仓附近环境（包括顶、底板等）进行安全确认，无隐患时方可进行施工。</w:t>
      </w:r>
    </w:p>
    <w:p w14:paraId="62EC23A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（四）煤仓棚仓、卡仓（其他）事故现场应急处置措施</w:t>
      </w:r>
    </w:p>
    <w:p w14:paraId="0910E92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（1）发生棚仓、卡仓（其他）事故时，现场人员立即停止给煤机和上仓口皮带机运行，发出警报，并立即向调度室和煤仓管理单位（区队）值班人员汇报。</w:t>
      </w:r>
    </w:p>
    <w:p w14:paraId="7437487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（2）煤仓发生棚仓（其他）事故，处理人员要用专用工具进行处理，严禁进入围栏内处理。如棚仓严重，在围栏外处理不掉，确需进入围栏内进行处理时，处理人员必须系好安全带，并且必须在有人监护的情</w:t>
      </w:r>
      <w:r>
        <w:rPr>
          <w:rFonts w:hint="eastAsia" w:ascii="仿宋_GB2312" w:hAnsi="仿宋_GB2312" w:eastAsia="仿宋_GB2312" w:cs="仿宋_GB2312"/>
          <w:color w:val="auto"/>
          <w:kern w:val="0"/>
          <w:sz w:val="28"/>
          <w:szCs w:val="28"/>
          <w:highlight w:val="none"/>
          <w:lang w:eastAsia="zh-CN"/>
        </w:rPr>
        <w:t>况下</w:t>
      </w:r>
      <w:r>
        <w:rPr>
          <w:rFonts w:hint="eastAsia" w:ascii="仿宋_GB2312" w:hAnsi="仿宋_GB2312" w:eastAsia="仿宋_GB2312" w:cs="仿宋_GB2312"/>
          <w:color w:val="auto"/>
          <w:kern w:val="0"/>
          <w:sz w:val="28"/>
          <w:szCs w:val="28"/>
          <w:highlight w:val="none"/>
        </w:rPr>
        <w:t>进行施工作业。</w:t>
      </w:r>
    </w:p>
    <w:p w14:paraId="1580080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（3）处理前要对安全设施、处理工具、保险带等进行认真检查，确保安全、可靠。</w:t>
      </w:r>
    </w:p>
    <w:p w14:paraId="04B0BD8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（4）当棚仓在正常情况下不能处理时，要编制施工安全技术措施，跟班人员必须到现场监督施工，确保安全。</w:t>
      </w:r>
    </w:p>
    <w:p w14:paraId="4631379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（5）处理前对煤仓附近环境（包括顶、底板等）进行安全确认，无隐患时方可进行施工。</w:t>
      </w:r>
    </w:p>
    <w:p w14:paraId="76A4DE5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（6）处理时，操作人员必须两人以上，一人操作、一人监护，严禁单人作业，并事先选好撤退路线，保持退路畅通。</w:t>
      </w:r>
    </w:p>
    <w:p w14:paraId="0D45B18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（7）处置煤仓卡仓（其他）事故时，处理人员严禁进入到仓内或给煤机站箱板内进行处理，严禁将头、身体任何部位伸入煤仓口内。煤仓卡仓可以参照堵仓应急处置措施执行。</w:t>
      </w:r>
    </w:p>
    <w:p w14:paraId="52B3E3B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.3.2.3事故控制</w:t>
      </w:r>
    </w:p>
    <w:p w14:paraId="2052680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（一）加强安全警示和设施配置。煤仓附近应当设置明显的安全警示标识，注明存在的风险及管控措施。煤仓上口必须设置防止人员、物料坠落等安全设施。</w:t>
      </w:r>
    </w:p>
    <w:p w14:paraId="0860C75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（二）加强监测监控。煤仓周围应当安装视频、人员接近预警、红外热成像、CO传感器、CH4传感器、煤位计等监测仪器设备，并与矿井调度系统联网，对积煤异常等情况及时报警。</w:t>
      </w:r>
    </w:p>
    <w:p w14:paraId="74A761C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加强煤流源头及过程管控。煤矿应当加强运输系统大块煤矸、异物识别与处理；工作面转载机等处应当安装破碎机；煤流运输系统应当安设除铁器；煤仓入口应当安装篦子，严防大块煤矸和铁器、木料等杂物进入煤仓。原煤含水量较大的应当在主煤流运输系统安装煤水分离装置。</w:t>
      </w:r>
    </w:p>
    <w:p w14:paraId="3A60862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（四）合理确定存煤仓位。煤仓装载量、空仓量应当控制在规定范围内。矿井停产检修24小时及以上，必须将仓位控制在最低位置，严禁无施工任务放空。煤仓长期不用时必须放空并采取防止风流短路的措施。</w:t>
      </w:r>
    </w:p>
    <w:p w14:paraId="7FBB16CC">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五）做好煤仓防水工作。严禁煤仓兼作流水道，煤仓上口应当高于巷道底板。原煤含水量较大的应当采取煤仓下口钻孔截排引流等措施。煤仓有淋水时必须采取封堵疏干、引流等措施，没有得到妥善处理不得使用。</w:t>
      </w:r>
    </w:p>
    <w:p w14:paraId="7D3493C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六）加强煤仓设施和设备维护管理。定期检查设备、设施完好性，规范测试试验，加强维护并及时检修。煤仓检修、清理、修复加固必须制定专项安全技术措施，自上而下递进作业。避免人员进入煤仓。确需入仓处理的，应当制定并严格执行专项安全技术措施，现场必须配备安全监护人员，严防坠落、煤矸垮塌、窒息、中毒、陷入煤泥等事故。检修煤仓下口给煤机时，应当在煤仓上口设置警戒，防止煤流、杂物进入煤仓，并采取防止风流短路的应急措施。</w:t>
      </w:r>
    </w:p>
    <w:p w14:paraId="2FDB6AD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（七）发生事故后，应急处置人员应根据灾情和现有条件进行施工，行动中必须保证统一的指挥和严密的组织，避免二次事故的发生。</w:t>
      </w:r>
    </w:p>
    <w:p w14:paraId="381BBD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.3.2.4消防</w:t>
      </w:r>
    </w:p>
    <w:p w14:paraId="406966F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现场发现明火时，必须合理选用灭火器材，利用附近设置的消防器材或供水管路，采用惰性气体、消防沙、喷水等直接灭火的方法进行灭火。</w:t>
      </w:r>
    </w:p>
    <w:p w14:paraId="4A4DCC8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.3.2.5现场恢复</w:t>
      </w:r>
    </w:p>
    <w:p w14:paraId="4A9B4E4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当事故得到有效控制，确认无被困和失踪人员或伤亡人员全部救出或转移，设备、设施处于受控状态，环境有害因素得到有效监测和处置达标，由总指挥宣布响应终止，后续工作转入现场恢复、障碍消除等。</w:t>
      </w:r>
    </w:p>
    <w:p w14:paraId="14B85E9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调度室负责传达响应终止指令到各单位，按分工落实现场恢复各项任务。</w:t>
      </w:r>
    </w:p>
    <w:p w14:paraId="252D14C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.3.3 报警电话及相关救援单位联络</w:t>
      </w:r>
    </w:p>
    <w:p w14:paraId="58D688B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3B3AE5C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6615068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6DA43919">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005570D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4852B4E7">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27" w:name="_Toc11816"/>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2</w:t>
      </w:r>
      <w:r>
        <w:rPr>
          <w:rFonts w:hint="eastAsia" w:ascii="楷体_GB2312" w:hAnsi="楷体_GB2312" w:eastAsia="楷体_GB2312" w:cs="楷体_GB2312"/>
          <w:color w:val="auto"/>
          <w:sz w:val="30"/>
          <w:szCs w:val="30"/>
          <w:highlight w:val="none"/>
        </w:rPr>
        <w:t>.4 注意事项</w:t>
      </w:r>
      <w:bookmarkEnd w:id="527"/>
    </w:p>
    <w:p w14:paraId="4B3C9F3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.4.1 人员防护</w:t>
      </w:r>
    </w:p>
    <w:p w14:paraId="7F5AFAE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（一）选择防护用品应针对防护要求，正确选择符合要求的防护用品。防护用品应有专人管理，防进行经常性检查，确保性能完好。</w:t>
      </w:r>
    </w:p>
    <w:p w14:paraId="58B6BD7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井下人员必须使用煤矿配发的性能可靠的个体防护用品，并熟练使用。事故应急救援人员应正确佩戴自救器、安全帽、防尘口罩、工作服、手套、安全带等合格的个人防护器具。专（兼）职救援人员应正确佩戴呼吸器等专业救援装备。</w:t>
      </w:r>
    </w:p>
    <w:p w14:paraId="4D4A65E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（三）佩戴防护用品的人员在使用前，应认真阅读产品使用说明书，确认其使用范围、有效期限等内容，熟悉其使用、维护和保养方法。</w:t>
      </w:r>
    </w:p>
    <w:p w14:paraId="45ACCE5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根据事故现场灾害情况，制定救援人员安全防护措施。在有毒有害气体的环境中工作时，应尽量采取通风措施，排除有毒有害气体，避免佩戴呼吸器工作。应急救援时保持通风和有毒有害气体监测，防止二次伤害。</w:t>
      </w:r>
    </w:p>
    <w:p w14:paraId="5995B337">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 xml:space="preserve">.4.2 自救互救 </w:t>
      </w:r>
    </w:p>
    <w:p w14:paraId="3CAF60C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（1）煤矿作业人员必须熟悉应急救援预案和避灾路线，具有自救互救和安全避险知识，训练掌握自救器和紧急避险设施的使用方法。 </w:t>
      </w:r>
    </w:p>
    <w:p w14:paraId="7C04B40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（2）班组长应当具备兼职救护队员的知识和能力，能够在发生险情后第一时间组织作业人员自救互救和安全避险。 </w:t>
      </w:r>
    </w:p>
    <w:p w14:paraId="6D8524A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（3）救援人员必须认真按救援方案和救护安全措施执行，确保自身安全。 </w:t>
      </w:r>
    </w:p>
    <w:p w14:paraId="5AADC54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（4）自救与互救原则：安全撤离，妥善避险；沉着冷静，控制情绪；互相鼓励，互相帮助；团结协作，服从指挥。 </w:t>
      </w:r>
    </w:p>
    <w:p w14:paraId="4C660A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（5）事故应急避险和现场自救互救措施。</w:t>
      </w:r>
    </w:p>
    <w:p w14:paraId="4CBE389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①</w:t>
      </w:r>
      <w:r>
        <w:rPr>
          <w:rFonts w:hint="eastAsia" w:ascii="仿宋_GB2312" w:hAnsi="仿宋_GB2312" w:eastAsia="仿宋_GB2312" w:cs="仿宋_GB2312"/>
          <w:color w:val="auto"/>
          <w:kern w:val="0"/>
          <w:sz w:val="28"/>
          <w:szCs w:val="28"/>
          <w:highlight w:val="none"/>
        </w:rPr>
        <w:t>煤仓事故发生后，事故现场作业人员应在现场负责人指挥下，立即组织开展自救互救。坠仓、溃仓被掩埋的人员要积极自救，抓牢临近固定物品，防止冲走或下陷，尽力露出鼻孔、口腔保持呼吸，稳定情绪等待救援。</w:t>
      </w:r>
    </w:p>
    <w:p w14:paraId="6946ADC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②</w:t>
      </w:r>
      <w:r>
        <w:rPr>
          <w:rFonts w:hint="eastAsia" w:ascii="仿宋_GB2312" w:hAnsi="仿宋_GB2312" w:eastAsia="仿宋_GB2312" w:cs="仿宋_GB2312"/>
          <w:color w:val="auto"/>
          <w:kern w:val="0"/>
          <w:sz w:val="28"/>
          <w:szCs w:val="28"/>
          <w:highlight w:val="none"/>
        </w:rPr>
        <w:t>抢救伤员时，救助人员应执行“三先三后”的原则。对窒息或心跳、呼吸刚停止不久的伤员，必须先复苏，后搬运；对于出血的伤员，必须先止血，后搬运；对于骨折的伤员，必须先固定，后搬运。</w:t>
      </w:r>
    </w:p>
    <w:p w14:paraId="07BF6D0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③</w:t>
      </w:r>
      <w:r>
        <w:rPr>
          <w:rFonts w:hint="eastAsia" w:ascii="仿宋_GB2312" w:hAnsi="仿宋_GB2312" w:eastAsia="仿宋_GB2312" w:cs="仿宋_GB2312"/>
          <w:color w:val="auto"/>
          <w:kern w:val="0"/>
          <w:sz w:val="28"/>
          <w:szCs w:val="28"/>
          <w:highlight w:val="none"/>
        </w:rPr>
        <w:t>在自救和互救的过程中，要采取措施确保救助人员自身和伤者的安全。抢救和运送长期被困的人员时，要注意外部环境的突然改变的影响，防止造成二次伤害。</w:t>
      </w:r>
    </w:p>
    <w:p w14:paraId="6853594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（6）其他应急避险和现场自救互救措施</w:t>
      </w:r>
    </w:p>
    <w:p w14:paraId="46F6BC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①事故现场有人员伤亡时，现场人员要及时按有关规定采取急救措施，如人工呼吸、临时止血包扎等。做好相互保安，相互提醒等自救互救措施。</w:t>
      </w:r>
    </w:p>
    <w:p w14:paraId="7CAC808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②参加救援时，抢险救援人员要佩戴好个人手套、口罩等防护用具，严格执行抢险方案和安全技术措施，做到自主保安和业务保安。</w:t>
      </w:r>
    </w:p>
    <w:p w14:paraId="7807EF1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③火灾事故时，应首先保证自身安全，远离着火点及下风侧，人员撤离时要用湿毛巾捂住口鼻，认清方向。火灾用水或灭火器材进行灭火。</w:t>
      </w:r>
    </w:p>
    <w:p w14:paraId="721B4A3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.4.3 装备使用</w:t>
      </w:r>
    </w:p>
    <w:p w14:paraId="0597926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4DF746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71152D3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3B244C6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14DA367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2ECE919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2</w:t>
      </w:r>
      <w:r>
        <w:rPr>
          <w:rFonts w:hint="eastAsia" w:ascii="仿宋_GB2312" w:hAnsi="仿宋_GB2312" w:eastAsia="仿宋_GB2312" w:cs="仿宋_GB2312"/>
          <w:b/>
          <w:bCs/>
          <w:snapToGrid w:val="0"/>
          <w:color w:val="auto"/>
          <w:kern w:val="0"/>
          <w:sz w:val="30"/>
          <w:szCs w:val="30"/>
          <w:highlight w:val="none"/>
        </w:rPr>
        <w:t>.4.4 现场安全</w:t>
      </w:r>
    </w:p>
    <w:p w14:paraId="4C2B404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2D297CD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0CD008E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6BB47FD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18CBA65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7770D3F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51ADFE2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（7）抢救和运送长期被困的人员时，要注意外部环境的突然改变，防止造成二次伤害。</w:t>
      </w:r>
    </w:p>
    <w:p w14:paraId="6A8423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17C762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20DBAA50">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28" w:name="_Toc533"/>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2</w:t>
      </w:r>
      <w:r>
        <w:rPr>
          <w:rFonts w:hint="eastAsia" w:ascii="楷体_GB2312" w:hAnsi="楷体_GB2312" w:eastAsia="楷体_GB2312" w:cs="楷体_GB2312"/>
          <w:color w:val="auto"/>
          <w:sz w:val="30"/>
          <w:szCs w:val="30"/>
          <w:highlight w:val="none"/>
        </w:rPr>
        <w:t>.5 其他需要特别警示的事项</w:t>
      </w:r>
      <w:bookmarkEnd w:id="528"/>
    </w:p>
    <w:p w14:paraId="5B567675">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2940FAE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1D6C768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47AA926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p>
    <w:p w14:paraId="7B900441">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0938FA71">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374DCB5C">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7323A7B3">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1B5E79B8">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00FFED0E">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2DF0CB70">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23C782D4">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2DCA6634">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5AD4CBA3">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5E81FBBF">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7CBBC5A8">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1D351569">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61E95C33">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20FFD2A9">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2D212E72">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168E23D7">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5A55A11A">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188950CF">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76C29BA4">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3D818B36">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1EC1620D">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555CF1B1">
      <w:pPr>
        <w:spacing w:line="440" w:lineRule="exact"/>
        <w:ind w:firstLine="560" w:firstLineChars="200"/>
        <w:rPr>
          <w:rFonts w:hint="eastAsia" w:ascii="仿宋_GB2312" w:hAnsi="仿宋_GB2312" w:eastAsia="仿宋_GB2312" w:cs="仿宋_GB2312"/>
          <w:color w:val="auto"/>
          <w:kern w:val="0"/>
          <w:sz w:val="28"/>
          <w:szCs w:val="28"/>
          <w:highlight w:val="none"/>
        </w:rPr>
      </w:pPr>
    </w:p>
    <w:p w14:paraId="3C438EEA">
      <w:pPr>
        <w:spacing w:line="440" w:lineRule="exact"/>
        <w:ind w:firstLine="600" w:firstLineChars="200"/>
        <w:outlineLvl w:val="0"/>
        <w:rPr>
          <w:rFonts w:ascii="黑体" w:hAnsi="黑体" w:eastAsia="黑体" w:cs="黑体"/>
          <w:color w:val="auto"/>
          <w:sz w:val="30"/>
          <w:szCs w:val="30"/>
          <w:highlight w:val="none"/>
        </w:rPr>
      </w:pPr>
      <w:bookmarkStart w:id="529" w:name="_Toc14917"/>
      <w:r>
        <w:rPr>
          <w:rFonts w:hint="eastAsia" w:ascii="黑体" w:hAnsi="黑体" w:eastAsia="黑体" w:cs="黑体"/>
          <w:color w:val="auto"/>
          <w:sz w:val="30"/>
          <w:szCs w:val="30"/>
          <w:highlight w:val="none"/>
        </w:rPr>
        <w:t>1</w:t>
      </w:r>
      <w:r>
        <w:rPr>
          <w:rFonts w:hint="eastAsia" w:ascii="黑体" w:hAnsi="黑体" w:eastAsia="黑体" w:cs="黑体"/>
          <w:color w:val="auto"/>
          <w:sz w:val="30"/>
          <w:szCs w:val="30"/>
          <w:highlight w:val="none"/>
          <w:lang w:val="en-US" w:eastAsia="zh-CN"/>
        </w:rPr>
        <w:t>3</w:t>
      </w:r>
      <w:r>
        <w:rPr>
          <w:rFonts w:hint="eastAsia" w:ascii="黑体" w:hAnsi="黑体" w:eastAsia="黑体" w:cs="黑体"/>
          <w:color w:val="auto"/>
          <w:sz w:val="30"/>
          <w:szCs w:val="30"/>
          <w:highlight w:val="none"/>
        </w:rPr>
        <w:t xml:space="preserve">  </w:t>
      </w:r>
      <w:r>
        <w:rPr>
          <w:rFonts w:hint="eastAsia" w:ascii="黑体" w:hAnsi="黑体" w:eastAsia="黑体" w:cs="黑体"/>
          <w:color w:val="auto"/>
          <w:sz w:val="30"/>
          <w:szCs w:val="30"/>
          <w:highlight w:val="none"/>
          <w:lang w:val="en-US" w:eastAsia="zh-CN"/>
        </w:rPr>
        <w:t>容器爆炸</w:t>
      </w:r>
      <w:r>
        <w:rPr>
          <w:rFonts w:hint="eastAsia" w:ascii="黑体" w:hAnsi="黑体" w:eastAsia="黑体" w:cs="黑体"/>
          <w:color w:val="auto"/>
          <w:sz w:val="30"/>
          <w:szCs w:val="30"/>
          <w:highlight w:val="none"/>
        </w:rPr>
        <w:t>事故现场处置方案</w:t>
      </w:r>
      <w:bookmarkEnd w:id="529"/>
    </w:p>
    <w:p w14:paraId="71CD72BF">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30" w:name="_Toc17279"/>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3</w:t>
      </w:r>
      <w:r>
        <w:rPr>
          <w:rFonts w:hint="eastAsia" w:ascii="楷体_GB2312" w:hAnsi="楷体_GB2312" w:eastAsia="楷体_GB2312" w:cs="楷体_GB2312"/>
          <w:color w:val="auto"/>
          <w:sz w:val="30"/>
          <w:szCs w:val="30"/>
          <w:highlight w:val="none"/>
        </w:rPr>
        <w:t>.1 事故风险描述</w:t>
      </w:r>
      <w:bookmarkEnd w:id="530"/>
    </w:p>
    <w:p w14:paraId="50385385">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.1.1 风险描述</w:t>
      </w:r>
    </w:p>
    <w:p w14:paraId="429BBCC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西区地面压风机房安装1台M-2OO型风冷螺杆式空气压缩机，单台排气量45m³/min，额定排气压力0.8MPa；1台LGFD-41.5/0.8型风冷螺杆式空气压缩机，单台排气量41.5m³/min、额定排气压力0.8MPa；3台MGF-30.4/8-185G型风冷螺杆式空气压缩机，单台排气量30.4m³/min、额定排气压力0.8MPa，二用三备。压风管路采用一趟</w:t>
      </w:r>
      <w:r>
        <w:rPr>
          <w:rFonts w:hint="eastAsia" w:ascii="仿宋_GB2312" w:hAnsi="仿宋_GB2312" w:eastAsia="仿宋_GB2312" w:cs="仿宋_GB2312"/>
          <w:color w:val="auto"/>
          <w:kern w:val="0"/>
          <w:sz w:val="28"/>
          <w:szCs w:val="28"/>
          <w:highlight w:val="none"/>
          <w:lang w:val="zh-CN" w:eastAsia="zh-CN"/>
        </w:rPr>
        <w:t>φ</w:t>
      </w:r>
      <w:r>
        <w:rPr>
          <w:rFonts w:hint="eastAsia" w:ascii="仿宋_GB2312" w:hAnsi="仿宋_GB2312" w:eastAsia="仿宋_GB2312" w:cs="仿宋_GB2312"/>
          <w:color w:val="auto"/>
          <w:kern w:val="0"/>
          <w:sz w:val="28"/>
          <w:szCs w:val="28"/>
          <w:highlight w:val="none"/>
          <w:lang w:val="en-US" w:eastAsia="zh-CN"/>
        </w:rPr>
        <w:t>108PVC管沿回风斜井敷设至+920m大巷</w:t>
      </w:r>
      <w:r>
        <w:rPr>
          <w:rFonts w:hint="eastAsia" w:ascii="仿宋_GB2312" w:hAnsi="仿宋_GB2312" w:eastAsia="仿宋_GB2312" w:cs="仿宋_GB2312"/>
          <w:color w:val="auto"/>
          <w:kern w:val="0"/>
          <w:sz w:val="28"/>
          <w:szCs w:val="28"/>
          <w:highlight w:val="none"/>
          <w:lang w:val="zh-CN" w:eastAsia="zh-CN"/>
        </w:rPr>
        <w:t>敷设。</w:t>
      </w:r>
      <w:r>
        <w:rPr>
          <w:rFonts w:hint="eastAsia" w:ascii="仿宋_GB2312" w:hAnsi="仿宋_GB2312" w:eastAsia="仿宋_GB2312" w:cs="仿宋_GB2312"/>
          <w:color w:val="auto"/>
          <w:kern w:val="0"/>
          <w:sz w:val="28"/>
          <w:szCs w:val="28"/>
          <w:highlight w:val="none"/>
          <w:lang w:val="en-US" w:eastAsia="zh-CN"/>
        </w:rPr>
        <w:t>东区地面压风机房安装2台BLT-375A/8型风冷螺杆式空气压缩机，单台排气量50m³/min，额定排气压力0.85MPa；1台SA355A-3G-C型风冷螺杆式空气压缩机，单台排气量63m³/min、额定排气压力0.85MPa，一用三备。压风管路采用一趟</w:t>
      </w:r>
      <w:r>
        <w:rPr>
          <w:rFonts w:hint="eastAsia" w:ascii="仿宋_GB2312" w:hAnsi="仿宋_GB2312" w:eastAsia="仿宋_GB2312" w:cs="仿宋_GB2312"/>
          <w:color w:val="auto"/>
          <w:kern w:val="0"/>
          <w:sz w:val="28"/>
          <w:szCs w:val="28"/>
          <w:highlight w:val="none"/>
          <w:lang w:val="zh-CN" w:eastAsia="zh-CN"/>
        </w:rPr>
        <w:t>φ</w:t>
      </w:r>
      <w:r>
        <w:rPr>
          <w:rFonts w:hint="eastAsia" w:ascii="仿宋_GB2312" w:hAnsi="仿宋_GB2312" w:eastAsia="仿宋_GB2312" w:cs="仿宋_GB2312"/>
          <w:color w:val="auto"/>
          <w:kern w:val="0"/>
          <w:sz w:val="28"/>
          <w:szCs w:val="28"/>
          <w:highlight w:val="none"/>
          <w:lang w:val="en-US" w:eastAsia="zh-CN"/>
        </w:rPr>
        <w:t>159钢管沿副立井敷设至+750m大巷。西区安装型号SZL15-1.25-AIl锅炉2台，额定发热量15t/h，额定蒸气温度194℃，额定工作压力1.25MPa，在运行过程中，因系统老化、使用不当等有可能发生爆炸、泄漏、火灾，压力容器管道爆裂造成烫伤、碰伤、设备损坏等事故。空气压缩机油气桶及储气罐、压风管道、氧气、乙炔气体瓶等。受压容器或管道发生爆炸事故，不但使整个设备遭到破坏，而且会破坏周围的设备和建筑物，并造成人员伤亡事故。安全阀故障、失效或没有使用，造成锅炉在高压下运行，极有可能发生锅炉爆炸事故。</w:t>
      </w:r>
    </w:p>
    <w:p w14:paraId="128B6260">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1.2 风险评估结果</w:t>
      </w:r>
    </w:p>
    <w:p w14:paraId="7271E56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根据《生产安全事故风险评估报告》评估结果，</w:t>
      </w:r>
      <w:r>
        <w:rPr>
          <w:rFonts w:hint="eastAsia" w:ascii="仿宋_GB2312" w:hAnsi="仿宋_GB2312" w:eastAsia="仿宋_GB2312" w:cs="仿宋_GB2312"/>
          <w:color w:val="auto"/>
          <w:kern w:val="0"/>
          <w:sz w:val="28"/>
          <w:szCs w:val="28"/>
          <w:highlight w:val="none"/>
          <w:lang w:val="en-US" w:eastAsia="zh-CN"/>
        </w:rPr>
        <w:t>矿井煤仓事故</w:t>
      </w:r>
      <w:r>
        <w:rPr>
          <w:rFonts w:ascii="仿宋_GB2312" w:hAnsi="仿宋_GB2312" w:eastAsia="仿宋_GB2312" w:cs="仿宋_GB2312"/>
          <w:color w:val="auto"/>
          <w:kern w:val="0"/>
          <w:sz w:val="28"/>
          <w:szCs w:val="28"/>
          <w:highlight w:val="none"/>
        </w:rPr>
        <w:t>为较大风险。</w:t>
      </w:r>
    </w:p>
    <w:p w14:paraId="3E9FE064">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31" w:name="_Toc26981"/>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3</w:t>
      </w:r>
      <w:r>
        <w:rPr>
          <w:rFonts w:hint="eastAsia" w:ascii="楷体_GB2312" w:hAnsi="楷体_GB2312" w:eastAsia="楷体_GB2312" w:cs="楷体_GB2312"/>
          <w:color w:val="auto"/>
          <w:sz w:val="30"/>
          <w:szCs w:val="30"/>
          <w:highlight w:val="none"/>
        </w:rPr>
        <w:t>.</w:t>
      </w:r>
      <w:r>
        <w:rPr>
          <w:rFonts w:ascii="楷体_GB2312" w:hAnsi="楷体_GB2312" w:eastAsia="楷体_GB2312" w:cs="楷体_GB2312"/>
          <w:color w:val="auto"/>
          <w:sz w:val="30"/>
          <w:szCs w:val="30"/>
          <w:highlight w:val="none"/>
        </w:rPr>
        <w:t>2 应急工作职责</w:t>
      </w:r>
      <w:bookmarkEnd w:id="531"/>
    </w:p>
    <w:p w14:paraId="12D046E4">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2.1 应急自救小组</w:t>
      </w:r>
    </w:p>
    <w:p w14:paraId="1946AF06">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事故发生区队立即成立应急自救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小组，负责组织实施事故应急处置和现场自救</w:t>
      </w:r>
      <w:r>
        <w:rPr>
          <w:rFonts w:hint="eastAsia" w:ascii="仿宋_GB2312" w:hAnsi="仿宋_GB2312" w:eastAsia="仿宋_GB2312" w:cs="仿宋_GB2312"/>
          <w:color w:val="auto"/>
          <w:kern w:val="0"/>
          <w:sz w:val="28"/>
          <w:szCs w:val="28"/>
          <w:highlight w:val="none"/>
        </w:rPr>
        <w:t>互救</w:t>
      </w:r>
      <w:r>
        <w:rPr>
          <w:rFonts w:ascii="仿宋_GB2312" w:hAnsi="仿宋_GB2312" w:eastAsia="仿宋_GB2312" w:cs="仿宋_GB2312"/>
          <w:color w:val="auto"/>
          <w:kern w:val="0"/>
          <w:sz w:val="28"/>
          <w:szCs w:val="28"/>
          <w:highlight w:val="none"/>
        </w:rPr>
        <w:t>工作。</w:t>
      </w:r>
    </w:p>
    <w:p w14:paraId="0C716D3F">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组  长：灾害现场负责人</w:t>
      </w:r>
    </w:p>
    <w:p w14:paraId="671D4178">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成  员：管理人员、班组长、安监员、现场作业人员</w:t>
      </w:r>
    </w:p>
    <w:p w14:paraId="1CDFDE1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2.2 具体职责</w:t>
      </w:r>
    </w:p>
    <w:p w14:paraId="05A77CA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（1）灾害现场负责人：事故发生后，分析判断事故，启动现场处置方案，组织指挥应急救援处理，协调各工种的工作。</w:t>
      </w:r>
    </w:p>
    <w:p w14:paraId="68DC257E">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（2）值班人员：接到事故报告，按照指令，召集小组成员及工区有关人员，协调现场自救和应急处置工作，同时做好相关记录。</w:t>
      </w:r>
    </w:p>
    <w:p w14:paraId="391C21D7">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（3）技术人员：负责制定救援措施和提供技术资料。</w:t>
      </w:r>
    </w:p>
    <w:p w14:paraId="3A1CC873">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（4）管理人员：根据事故性质和严重程度，组织现场人员进行应急处置和自救，若事态扩大，立即请求增援</w:t>
      </w:r>
      <w:r>
        <w:rPr>
          <w:rFonts w:hint="eastAsia" w:ascii="仿宋_GB2312" w:hAnsi="仿宋_GB2312" w:eastAsia="仿宋_GB2312" w:cs="仿宋_GB2312"/>
          <w:color w:val="auto"/>
          <w:kern w:val="0"/>
          <w:sz w:val="28"/>
          <w:szCs w:val="28"/>
          <w:highlight w:val="none"/>
        </w:rPr>
        <w:t>。</w:t>
      </w:r>
    </w:p>
    <w:p w14:paraId="031CB505">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5</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安监员</w:t>
      </w:r>
      <w:r>
        <w:rPr>
          <w:rFonts w:hint="eastAsia" w:ascii="仿宋_GB2312" w:hAnsi="仿宋_GB2312" w:eastAsia="仿宋_GB2312" w:cs="仿宋_GB2312"/>
          <w:color w:val="auto"/>
          <w:kern w:val="0"/>
          <w:sz w:val="28"/>
          <w:szCs w:val="28"/>
          <w:highlight w:val="none"/>
        </w:rPr>
        <w:t>：负责事故现场人员撤离以及应急处置工作监督。</w:t>
      </w:r>
    </w:p>
    <w:p w14:paraId="14DF6F11">
      <w:pPr>
        <w:spacing w:line="440" w:lineRule="exact"/>
        <w:ind w:firstLine="560" w:firstLineChars="200"/>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6</w:t>
      </w:r>
      <w:r>
        <w:rPr>
          <w:rFonts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rPr>
        <w:t>班组长：协助跟班队长组织现场应急处置，救治伤员。</w:t>
      </w:r>
    </w:p>
    <w:p w14:paraId="54C731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w:t>
      </w:r>
      <w:r>
        <w:rPr>
          <w:rFonts w:ascii="仿宋_GB2312" w:hAnsi="仿宋_GB2312" w:eastAsia="仿宋_GB2312" w:cs="仿宋_GB2312"/>
          <w:color w:val="auto"/>
          <w:kern w:val="0"/>
          <w:sz w:val="28"/>
          <w:szCs w:val="28"/>
          <w:highlight w:val="none"/>
        </w:rPr>
        <w:t>现场作业人员：积极开展应急处置和自救互救。</w:t>
      </w:r>
    </w:p>
    <w:p w14:paraId="76F49895">
      <w:pPr>
        <w:tabs>
          <w:tab w:val="left" w:pos="0"/>
        </w:tabs>
        <w:adjustRightInd w:val="0"/>
        <w:snapToGrid w:val="0"/>
        <w:spacing w:line="460" w:lineRule="exact"/>
        <w:ind w:firstLine="600" w:firstLineChars="200"/>
        <w:outlineLvl w:val="1"/>
        <w:rPr>
          <w:rFonts w:ascii="楷体_GB2312" w:hAnsi="楷体_GB2312" w:eastAsia="楷体_GB2312" w:cs="楷体_GB2312"/>
          <w:color w:val="auto"/>
          <w:sz w:val="30"/>
          <w:szCs w:val="30"/>
          <w:highlight w:val="none"/>
        </w:rPr>
      </w:pPr>
      <w:bookmarkStart w:id="532" w:name="_Toc28196"/>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3</w:t>
      </w:r>
      <w:r>
        <w:rPr>
          <w:rFonts w:hint="eastAsia" w:ascii="楷体_GB2312" w:hAnsi="楷体_GB2312" w:eastAsia="楷体_GB2312" w:cs="楷体_GB2312"/>
          <w:color w:val="auto"/>
          <w:sz w:val="30"/>
          <w:szCs w:val="30"/>
          <w:highlight w:val="none"/>
        </w:rPr>
        <w:t>.</w:t>
      </w:r>
      <w:r>
        <w:rPr>
          <w:rFonts w:ascii="楷体_GB2312" w:hAnsi="楷体_GB2312" w:eastAsia="楷体_GB2312" w:cs="楷体_GB2312"/>
          <w:color w:val="auto"/>
          <w:sz w:val="30"/>
          <w:szCs w:val="30"/>
          <w:highlight w:val="none"/>
        </w:rPr>
        <w:t>3 应急处置</w:t>
      </w:r>
      <w:bookmarkEnd w:id="532"/>
    </w:p>
    <w:p w14:paraId="5E5BD44F">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3.1 事故应急处置程序</w:t>
      </w:r>
    </w:p>
    <w:p w14:paraId="4B4736C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（1）事故报警：事故发生后，灾害现场负责人，立即启动现场处置方案并电话汇报调度室，详细汇报事故发生的性质、时间、地点，危害程度及现状；积极组织自救互救。</w:t>
      </w:r>
    </w:p>
    <w:p w14:paraId="18E8AA7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应急措施启动：调度室接到各种自然灾害警报等其他严重威胁矿井安全生产的情况预报时，矿井立即发布预警信息。现场负责人立即启动事故现场处置方案，组织人员撤离危险区域。调度室立即向当日值班领导、总经理、分管领导汇报，通知带班、包保等专业科室及区队管理人员达到现场处置；</w:t>
      </w:r>
    </w:p>
    <w:p w14:paraId="2E3D39C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（3）应急救护人员的引导：需要专（兼）职救护人员救护时，根据事故类别选择正确避灾路线，引导灾区人员迅速撤离到安全区域。</w:t>
      </w:r>
    </w:p>
    <w:p w14:paraId="0BEA190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（4）事故扩大同应急预案的衔接程序：启动现场处置方案的同时，上一级应急预案进入预备状态。</w:t>
      </w:r>
    </w:p>
    <w:p w14:paraId="73AAE3F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w:t>
      </w:r>
      <w:r>
        <w:rPr>
          <w:rFonts w:ascii="仿宋_GB2312" w:hAnsi="仿宋_GB2312" w:eastAsia="仿宋_GB2312" w:cs="仿宋_GB2312"/>
          <w:b/>
          <w:bCs/>
          <w:snapToGrid w:val="0"/>
          <w:color w:val="auto"/>
          <w:kern w:val="0"/>
          <w:sz w:val="30"/>
          <w:szCs w:val="30"/>
          <w:highlight w:val="none"/>
        </w:rPr>
        <w:t>3.</w:t>
      </w:r>
      <w:r>
        <w:rPr>
          <w:rFonts w:hint="eastAsia" w:ascii="仿宋_GB2312" w:hAnsi="仿宋_GB2312" w:eastAsia="仿宋_GB2312" w:cs="仿宋_GB2312"/>
          <w:b/>
          <w:bCs/>
          <w:snapToGrid w:val="0"/>
          <w:color w:val="auto"/>
          <w:kern w:val="0"/>
          <w:sz w:val="30"/>
          <w:szCs w:val="30"/>
          <w:highlight w:val="none"/>
        </w:rPr>
        <w:t>2</w:t>
      </w:r>
      <w:r>
        <w:rPr>
          <w:rFonts w:ascii="仿宋_GB2312" w:hAnsi="仿宋_GB2312" w:eastAsia="仿宋_GB2312" w:cs="仿宋_GB2312"/>
          <w:b/>
          <w:bCs/>
          <w:snapToGrid w:val="0"/>
          <w:color w:val="auto"/>
          <w:kern w:val="0"/>
          <w:sz w:val="30"/>
          <w:szCs w:val="30"/>
          <w:highlight w:val="none"/>
        </w:rPr>
        <w:t xml:space="preserve"> 现场应急处置措施</w:t>
      </w:r>
    </w:p>
    <w:p w14:paraId="544A19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.3.2.1人员救护</w:t>
      </w:r>
    </w:p>
    <w:p w14:paraId="6C8B94D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（1）现场发生事故后，现场人员要迅速了解或判明事故的地点、范围和危害程度，是否伤害人员，所处地点的安全情况、通风情况，并根据矿井灾害预防和撤离计划及现场的实际情况，应立即撤离至安全地点。</w:t>
      </w:r>
    </w:p>
    <w:p w14:paraId="5336D85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如有人员受伤，要及时组织救助，帮助撤离。撤退到通风良好地点，并及时向调度室汇报。报告内容简明、扼要，报告内容包括事故性质、时间、地点、范围、主要原因、伤亡情况和人员撤离情况等，并保持与调度室的联系。</w:t>
      </w:r>
    </w:p>
    <w:p w14:paraId="5154161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（3）抢救事故前，现场抢险救灾指挥部应根据现场情况制定抢救方案及安全技术措施。</w:t>
      </w:r>
    </w:p>
    <w:p w14:paraId="101B69E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（4）营救人员应根据灾情和现有条件进行施工，行动中必须保证统一的指挥和严密的组织，避免次生事故的发生。</w:t>
      </w:r>
    </w:p>
    <w:p w14:paraId="213E7DC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（5）医疗救护组要安排医务人员携带必要的抢险医药器具及时到达事故地点，对抢救出的受伤人员进行紧急医疗救治或护送上井救治。</w:t>
      </w:r>
    </w:p>
    <w:p w14:paraId="665B812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抢救出伤员后，必须判断伤情的轻重，人员较多时先抢救重伤人员，后抢救轻伤人员，要认真执行“三先三后”的原则：即对窒息或心跳呼吸停止不久的伤员必须先复苏后搬运，对出血伤员必须先止血后搬运，对骨伤的伤员必须先固定后搬运。</w:t>
      </w:r>
    </w:p>
    <w:p w14:paraId="224D9781">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bookmarkStart w:id="533" w:name="_Toc16619"/>
      <w:r>
        <w:rPr>
          <w:rFonts w:hint="eastAsia" w:ascii="仿宋_GB2312" w:hAnsi="仿宋_GB2312" w:eastAsia="仿宋_GB2312" w:cs="仿宋_GB2312"/>
          <w:color w:val="auto"/>
          <w:kern w:val="0"/>
          <w:sz w:val="28"/>
          <w:szCs w:val="28"/>
          <w:highlight w:val="none"/>
          <w:lang w:val="en-US" w:eastAsia="zh-CN"/>
        </w:rPr>
        <w:t>13.3.2.2工艺操作</w:t>
      </w:r>
      <w:bookmarkEnd w:id="533"/>
    </w:p>
    <w:p w14:paraId="3AD4FDB4">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（1）发生事故后，现场人员应立即紧急停机、停止工作，发出警报并紧急撤离，同时立即向调度室和本单位值班人员汇报。</w:t>
      </w:r>
    </w:p>
    <w:p w14:paraId="77C35A2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（2）调度室接到事故汇报后，立即通知所有可能受威胁区域的人员，撤离危险区。</w:t>
      </w:r>
    </w:p>
    <w:p w14:paraId="59114F0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（3）封锁事故现场。严禁一切无关的人员、车辆和物品进入事故危险区域，开辟应急救援人员、车辆及物资进出的安全通道，维持事故现场的社会治安和交通秩序。</w:t>
      </w:r>
    </w:p>
    <w:p w14:paraId="69A1B34C">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（4）设立现场工作区域。应当根据事故的危害、地形特征、天气条件（特别是风向）等因素，设立现场抢险救援的安全工作区域。</w:t>
      </w:r>
    </w:p>
    <w:p w14:paraId="517A7FB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（5）抢救受伤人员。及时、科学、有序地开展受伤人员的现场抢救或者安全转移，尽最大的可能降低人员的伤亡、减少事故所造成的财产损失。</w:t>
      </w:r>
    </w:p>
    <w:p w14:paraId="0A505E5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（6）设立人员疏散区。根据事故的类别、规模和危害程度，在必要时，应当果断迅速地划定危险波及范围和区域，组织相关人员和物资安全撤离危险波及范围和区域。</w:t>
      </w:r>
    </w:p>
    <w:p w14:paraId="6B46823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（7）事故现场应当在专业技术人员的指导下进行必要的技术处理。事故现场应当开辟应急抢险人员和车辆出入的专用通道和安全通道。</w:t>
      </w:r>
    </w:p>
    <w:p w14:paraId="17042F6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（8）压风机、压力容器、压力管道泄漏、锅炉、爆炸事故应急措施：</w:t>
      </w:r>
    </w:p>
    <w:p w14:paraId="04A0535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①爆炸现场</w:t>
      </w:r>
    </w:p>
    <w:p w14:paraId="7BC218B9">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如压力容器发生爆炸事故后，为防止事故扩大，压力容器所有阀门应迅速关闭或采取堵漏；对可燃气体和油类应用砂石或二氧化碳、干粉等灭火器进行灭火，同时设置隔离带以防火灾事故蔓延；对受伤人员立即实行现场救护，伤势严重的立即送往附近医院。</w:t>
      </w:r>
    </w:p>
    <w:p w14:paraId="14AF5DA1">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如锅炉爆炸事故后，为防止事故扩大，降温控险远距离使用消防水对锅炉残骸、受压附属管道持续喷淋降温，降低残余压力，杜绝碎片二次崩裂，隐患排查用可燃气体检测仪检测锅炉房燃气浓度，排查管道、储气罐是否泄漏，严防二次燃爆， 被困搜救使用生命探测仪、热成像设备搜救，救援小组双人编组、外部专人监护，限时轮换作业，周边隔离转移锅炉房周边油桶、易燃煤料、压力容器，阻断连锁事故风险。</w:t>
      </w:r>
    </w:p>
    <w:p w14:paraId="7D99CDA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②泄漏现场</w:t>
      </w:r>
    </w:p>
    <w:p w14:paraId="3A54F08D">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a.当压力容器及其设备发生爆裂、鼓包、变形造成大量泄漏或突然停电、停水，使压力容器及其设备不能正常运转，或压力容器及其设备周围发生火灾时，必须紧急停止运行。</w:t>
      </w:r>
    </w:p>
    <w:p w14:paraId="2F04558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b.进入泄漏现场进行处理时严禁单独行动，必须有监护人，必要时用水枪、水炮掩护，根据防护等级划分标准选择相应等级的个人安全防护措施。</w:t>
      </w:r>
    </w:p>
    <w:p w14:paraId="73ED311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c.根据事故情况和事故发展，应急指挥部确定事故可能波及区人员的撤离，疏散人员至安全地带，根据泄漏物影响区域，划定警戒区域。</w:t>
      </w:r>
    </w:p>
    <w:p w14:paraId="44F9C73A">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d.泄漏源控制</w:t>
      </w:r>
    </w:p>
    <w:p w14:paraId="6F60965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关闭前置阀门、停止作业或改变工艺流程、物料走副线、局部停车、打循环、减负荷运行或排空等。堵漏。采用合适的材料和技术手段堵住泄漏处。</w:t>
      </w:r>
    </w:p>
    <w:p w14:paraId="6C015C9B">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e.泄漏物处理</w:t>
      </w:r>
    </w:p>
    <w:p w14:paraId="793DB4E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防止泄漏物进入水体、下水道、地下室或密闭性空间，喷雾状水抑制蒸气或改变蒸气云流向，或适当使用防爆型移动风机送风，驱散泄漏物。避免水流接触泄漏物。禁止用水直接冲击泄漏物或泄漏源。隔离泄漏区直至气体散尽。应急处置用水排入污水系统处理。</w:t>
      </w:r>
    </w:p>
    <w:p w14:paraId="5D16BEFE">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bookmarkStart w:id="534" w:name="_Toc15154"/>
      <w:r>
        <w:rPr>
          <w:rFonts w:hint="eastAsia" w:ascii="仿宋_GB2312" w:hAnsi="仿宋_GB2312" w:eastAsia="仿宋_GB2312" w:cs="仿宋_GB2312"/>
          <w:color w:val="auto"/>
          <w:kern w:val="0"/>
          <w:sz w:val="28"/>
          <w:szCs w:val="28"/>
          <w:highlight w:val="none"/>
          <w:lang w:val="en-US" w:eastAsia="zh-CN"/>
        </w:rPr>
        <w:t>13.3.2.3事故控制</w:t>
      </w:r>
      <w:bookmarkEnd w:id="534"/>
    </w:p>
    <w:p w14:paraId="143795F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（1）发生事故后，现场人员应立即紧急停机、停止工作，发出警报并紧急撤离，同时立即向调度室和本单位值班人员汇报。</w:t>
      </w:r>
    </w:p>
    <w:p w14:paraId="58C3EE53">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（2）调度室接到事故汇报后，立即通知所有可能受威胁区域的人员，撤离危险区。</w:t>
      </w:r>
    </w:p>
    <w:p w14:paraId="68C59F85">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（3）封锁事故现场。严禁一切无关的人员、车辆和物品进入事故危险区域，开辟应急救援人员、车辆及物资进出的安全通道，维持事故现场的社会治安和交通秩序。</w:t>
      </w:r>
    </w:p>
    <w:p w14:paraId="65FF3AB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（4）设立现场工作区域。应当根据事故的危害、地形特征、天气条件（特别是风向）等因素，设立现场抢险救援的安全工作区域。</w:t>
      </w:r>
    </w:p>
    <w:p w14:paraId="2C41D39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（5）抢救受伤人员。及时、科学、有序地开展受伤人员的现场抢救或者安全转移，尽最大的可能降低人员的伤亡、减少事故所造成的财产损失。</w:t>
      </w:r>
    </w:p>
    <w:p w14:paraId="40020FC2">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（6）设立人员疏散区。根据事故的类别、规模和危害程度，在必要时，应当果断迅速地划定危险波及范围和区域，组织相关人员和物资安全撤离危险波及范围和区域。</w:t>
      </w:r>
    </w:p>
    <w:p w14:paraId="443FEA48">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bookmarkStart w:id="535" w:name="_Toc8477"/>
      <w:r>
        <w:rPr>
          <w:rFonts w:hint="eastAsia" w:ascii="仿宋_GB2312" w:hAnsi="仿宋_GB2312" w:eastAsia="仿宋_GB2312" w:cs="仿宋_GB2312"/>
          <w:color w:val="auto"/>
          <w:kern w:val="0"/>
          <w:sz w:val="28"/>
          <w:szCs w:val="28"/>
          <w:highlight w:val="none"/>
          <w:lang w:val="en-US" w:eastAsia="zh-CN"/>
        </w:rPr>
        <w:t>13.3.2.4消防</w:t>
      </w:r>
      <w:bookmarkEnd w:id="535"/>
    </w:p>
    <w:p w14:paraId="19A65B87">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现场发现明火时，利用附近设置的消防器材和供水管路，采用惰性气体、喷水等直接灭火的方法进行灭火。</w:t>
      </w:r>
    </w:p>
    <w:p w14:paraId="37D3D556">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bookmarkStart w:id="536" w:name="_Toc9549"/>
      <w:r>
        <w:rPr>
          <w:rFonts w:hint="eastAsia" w:ascii="仿宋_GB2312" w:hAnsi="仿宋_GB2312" w:eastAsia="仿宋_GB2312" w:cs="仿宋_GB2312"/>
          <w:color w:val="auto"/>
          <w:kern w:val="0"/>
          <w:sz w:val="28"/>
          <w:szCs w:val="28"/>
          <w:highlight w:val="none"/>
          <w:lang w:val="en-US" w:eastAsia="zh-CN"/>
        </w:rPr>
        <w:t>13.3.2.5现场恢复</w:t>
      </w:r>
      <w:bookmarkEnd w:id="536"/>
    </w:p>
    <w:p w14:paraId="45E21F8F">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（1）确认无被困和失踪人员，现场事故已得到有效控制，可宣布应急救援行动结束。后续工作转为灾后恢复、经验教训的总结等。</w:t>
      </w:r>
    </w:p>
    <w:p w14:paraId="6D76B140">
      <w:pPr>
        <w:spacing w:line="44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（2）当事故得到有效控制，伤亡人员全部救出或转移，设备、设施处于受控状态，环境有害因素得到有效监测和处置达标，由应急总指挥宣布事故应急救援工作结束，并转入现场恢复、障碍消除等工作。</w:t>
      </w:r>
    </w:p>
    <w:p w14:paraId="5555C5D5">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由应急总指挥宣布事故应急救援终止命令，调度室负责传达到各单位，各单位传达到个人。</w:t>
      </w:r>
    </w:p>
    <w:p w14:paraId="7D0D994E">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.3.3 报警电话及相关救援单位联络</w:t>
      </w:r>
    </w:p>
    <w:p w14:paraId="0249ABE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事故现场报警负责人：灾害现场负责人。</w:t>
      </w:r>
    </w:p>
    <w:p w14:paraId="3895EAA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事故报警联系方式：</w:t>
      </w:r>
    </w:p>
    <w:p w14:paraId="7E477F0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调度室：999351  999251   生产电话提机8秒直通调度室</w:t>
      </w:r>
    </w:p>
    <w:p w14:paraId="7B9F2813">
      <w:pPr>
        <w:spacing w:line="440" w:lineRule="exact"/>
        <w:ind w:firstLine="560" w:firstLineChars="200"/>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安全监察部：999313    6809</w:t>
      </w:r>
    </w:p>
    <w:p w14:paraId="25ED61B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事故报告的基本要求和内容：</w:t>
      </w:r>
      <w:r>
        <w:rPr>
          <w:rFonts w:ascii="仿宋_GB2312" w:hAnsi="仿宋_GB2312" w:eastAsia="仿宋_GB2312" w:cs="仿宋_GB2312"/>
          <w:color w:val="auto"/>
          <w:kern w:val="0"/>
          <w:sz w:val="28"/>
          <w:szCs w:val="28"/>
          <w:highlight w:val="none"/>
        </w:rPr>
        <w:t>汇报人员不得慌张，汇报时吐字清晰，汇报内容简明扼要。汇报清楚发生事故的单位、时间、地点、简要经过、遇险人数、事故抢救处理的情况和采取的措施</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需要矿有关部门单位协助事故抢救和处理的有关事宜等</w:t>
      </w:r>
      <w:r>
        <w:rPr>
          <w:rFonts w:hint="eastAsia" w:ascii="仿宋_GB2312" w:hAnsi="仿宋_GB2312" w:eastAsia="仿宋_GB2312" w:cs="仿宋_GB2312"/>
          <w:color w:val="auto"/>
          <w:kern w:val="0"/>
          <w:sz w:val="28"/>
          <w:szCs w:val="28"/>
          <w:highlight w:val="none"/>
        </w:rPr>
        <w:t>，</w:t>
      </w:r>
      <w:r>
        <w:rPr>
          <w:rFonts w:ascii="仿宋_GB2312" w:hAnsi="仿宋_GB2312" w:eastAsia="仿宋_GB2312" w:cs="仿宋_GB2312"/>
          <w:color w:val="auto"/>
          <w:kern w:val="0"/>
          <w:sz w:val="28"/>
          <w:szCs w:val="28"/>
          <w:highlight w:val="none"/>
        </w:rPr>
        <w:t>严格按照事故报告时限和要求上报。</w:t>
      </w:r>
    </w:p>
    <w:p w14:paraId="548D115C">
      <w:pPr>
        <w:tabs>
          <w:tab w:val="left" w:pos="0"/>
        </w:tabs>
        <w:adjustRightInd w:val="0"/>
        <w:snapToGrid w:val="0"/>
        <w:spacing w:line="460" w:lineRule="exact"/>
        <w:ind w:firstLine="600" w:firstLineChars="200"/>
        <w:outlineLvl w:val="1"/>
        <w:rPr>
          <w:rFonts w:hint="eastAsia" w:ascii="楷体_GB2312" w:hAnsi="楷体_GB2312" w:eastAsia="楷体_GB2312" w:cs="楷体_GB2312"/>
          <w:color w:val="auto"/>
          <w:sz w:val="30"/>
          <w:szCs w:val="30"/>
          <w:highlight w:val="none"/>
        </w:rPr>
      </w:pPr>
      <w:bookmarkStart w:id="537" w:name="_Toc2819"/>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3</w:t>
      </w:r>
      <w:r>
        <w:rPr>
          <w:rFonts w:hint="eastAsia" w:ascii="楷体_GB2312" w:hAnsi="楷体_GB2312" w:eastAsia="楷体_GB2312" w:cs="楷体_GB2312"/>
          <w:color w:val="auto"/>
          <w:sz w:val="30"/>
          <w:szCs w:val="30"/>
          <w:highlight w:val="none"/>
        </w:rPr>
        <w:t>.4 注意事项</w:t>
      </w:r>
      <w:bookmarkEnd w:id="537"/>
    </w:p>
    <w:p w14:paraId="258B85A2">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.4.1 人员防护</w:t>
      </w:r>
    </w:p>
    <w:p w14:paraId="4201EE6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（一）选择防护用品应针对防护要求，正确选择符合要求的防护用品。防护用品应有专人管理，防进行经常性检查，确保性能完好。</w:t>
      </w:r>
    </w:p>
    <w:p w14:paraId="4097DB1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井下人员必须使用煤矿配发的性能可靠的个体防护用品，并熟练使用。事故应急救援人员应正确佩戴自救器、安全帽、防尘口罩、工作服、手套、安全带等合格的个人防护器具。专（兼）职救援人员应正确佩戴呼吸器等专业救援装备。</w:t>
      </w:r>
    </w:p>
    <w:p w14:paraId="32813E2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（三）佩戴防护用品的人员在使用前，应认真阅读产品使用说明书，确认其使用范围、有效期限等内容，熟悉其使用、维护和保养方法。</w:t>
      </w:r>
    </w:p>
    <w:p w14:paraId="60F60E5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四）根据事故现场灾害情况，制定救援人员安全防护措施。在有毒有害气体的环境中工作时，应尽量采取通风措施，排除有毒有害气体，避免佩戴呼吸器工作。应急救援时保持通风和有毒有害气体监测，防止二次伤害。</w:t>
      </w:r>
    </w:p>
    <w:p w14:paraId="401F736A">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 xml:space="preserve">.4.2 自救互救 </w:t>
      </w:r>
    </w:p>
    <w:p w14:paraId="51C04EB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（1）煤矿作业人员必须熟悉应急救援预案和避灾路线，具有自救互救和安全避险知识，训练掌握自救器和紧急避险设施的使用方法。 </w:t>
      </w:r>
    </w:p>
    <w:p w14:paraId="2CBBA8C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（2）班组长应当具备兼职救护队员的知识和能力，能够在发生险情后第一时间组织作业人员自救互救和安全避险。 </w:t>
      </w:r>
    </w:p>
    <w:p w14:paraId="7AE27A7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（3）救援人员必须认真按救援方案和救护安全措施执行，确保自身安全。 </w:t>
      </w:r>
    </w:p>
    <w:p w14:paraId="42D5570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（4）自救与互救原则：安全撤离，妥善避险；沉着冷静，控制情绪；互相鼓励，互相帮助；团结协作，服从指挥。 </w:t>
      </w:r>
    </w:p>
    <w:p w14:paraId="7E4E321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（5）事故应急避险和现场自救互救措施。</w:t>
      </w:r>
    </w:p>
    <w:p w14:paraId="43D8B93E">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①</w:t>
      </w:r>
      <w:r>
        <w:rPr>
          <w:rFonts w:hint="eastAsia" w:ascii="仿宋_GB2312" w:hAnsi="仿宋_GB2312" w:eastAsia="仿宋_GB2312" w:cs="仿宋_GB2312"/>
          <w:color w:val="auto"/>
          <w:kern w:val="0"/>
          <w:sz w:val="28"/>
          <w:szCs w:val="28"/>
          <w:highlight w:val="none"/>
        </w:rPr>
        <w:t>煤仓事故发生后，事故现场作业人员应在现场负责人指挥下，立即组织开展自救互救。坠仓、溃仓被掩埋的人员要积极自救，抓牢临近固定物品，防止冲走或下陷，尽力露出鼻孔、口腔保持呼吸，稳定情绪等待救援。</w:t>
      </w:r>
    </w:p>
    <w:p w14:paraId="7A9D0EE3">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②</w:t>
      </w:r>
      <w:r>
        <w:rPr>
          <w:rFonts w:hint="eastAsia" w:ascii="仿宋_GB2312" w:hAnsi="仿宋_GB2312" w:eastAsia="仿宋_GB2312" w:cs="仿宋_GB2312"/>
          <w:color w:val="auto"/>
          <w:kern w:val="0"/>
          <w:sz w:val="28"/>
          <w:szCs w:val="28"/>
          <w:highlight w:val="none"/>
        </w:rPr>
        <w:t>抢救伤员时，救助人员应执行“三先三后”的原则。对窒息或心跳、呼吸刚停止不久的伤员，必须先复苏，后搬运；对于出血的伤员，必须先止血，后搬运；对于骨折的伤员，必须先固定，后搬运。</w:t>
      </w:r>
    </w:p>
    <w:p w14:paraId="5B35DC3A">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③</w:t>
      </w:r>
      <w:r>
        <w:rPr>
          <w:rFonts w:hint="eastAsia" w:ascii="仿宋_GB2312" w:hAnsi="仿宋_GB2312" w:eastAsia="仿宋_GB2312" w:cs="仿宋_GB2312"/>
          <w:color w:val="auto"/>
          <w:kern w:val="0"/>
          <w:sz w:val="28"/>
          <w:szCs w:val="28"/>
          <w:highlight w:val="none"/>
        </w:rPr>
        <w:t>在自救和互救的过程中，要采取措施确保救助人员自身和伤者的安全。抢救和运送长期被困的人员时，要注意外部环境的突然改变的影响，防止造成二次伤害。</w:t>
      </w:r>
    </w:p>
    <w:p w14:paraId="659E68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（6）其他应急避险和现场自救互救措施</w:t>
      </w:r>
    </w:p>
    <w:p w14:paraId="754AD5C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①事故现场有人员伤亡时，现场人员要及时按有关规定采取急救措施，如人工呼吸、临时止血包扎等。做好相互保安，相互提醒等自救互救措施。</w:t>
      </w:r>
    </w:p>
    <w:p w14:paraId="3559278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②参加救援时，抢险救援人员要佩戴好个人手套、口罩等防护用具，严格执行抢险方案和安全技术措施，做到自主保安和业务保安。</w:t>
      </w:r>
    </w:p>
    <w:p w14:paraId="6A19EEE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③火灾事故时，应首先保证自身安全，远离着火点及下风侧，人员撤离时要用湿毛巾捂住口鼻，认清方向。火灾用水或灭火器材进行灭火。</w:t>
      </w:r>
    </w:p>
    <w:p w14:paraId="318A265D">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.4.3 装备使用</w:t>
      </w:r>
    </w:p>
    <w:p w14:paraId="686D862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（1）用于抢险救援的器材应配备齐全，并确保器材始终处于完好状况。</w:t>
      </w:r>
    </w:p>
    <w:p w14:paraId="6C76FEF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（2）佩戴自救器撤离灾区时，口具和鼻夹一定要咬紧夹好，中途不得取下口具和鼻夹。</w:t>
      </w:r>
    </w:p>
    <w:p w14:paraId="522FFB4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（3）佩戴自救器操作准确迅速，并经常性熟悉使用方法。</w:t>
      </w:r>
    </w:p>
    <w:p w14:paraId="01B475B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（4）用于抢险救援的器材应配备齐全，并确保器材始终处于完好状况。</w:t>
      </w:r>
    </w:p>
    <w:p w14:paraId="4FA9683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（5）使用的抢救器材必须符合有关规定且必须防爆。</w:t>
      </w:r>
    </w:p>
    <w:p w14:paraId="47B8D5AC">
      <w:pPr>
        <w:spacing w:line="520" w:lineRule="exact"/>
        <w:ind w:firstLine="602" w:firstLineChars="200"/>
        <w:rPr>
          <w:rFonts w:ascii="仿宋_GB2312" w:hAnsi="仿宋_GB2312" w:eastAsia="仿宋_GB2312" w:cs="仿宋_GB2312"/>
          <w:b/>
          <w:bCs/>
          <w:snapToGrid w:val="0"/>
          <w:color w:val="auto"/>
          <w:kern w:val="0"/>
          <w:sz w:val="30"/>
          <w:szCs w:val="30"/>
          <w:highlight w:val="none"/>
        </w:rPr>
      </w:pPr>
      <w:r>
        <w:rPr>
          <w:rFonts w:hint="eastAsia" w:ascii="仿宋_GB2312" w:hAnsi="仿宋_GB2312" w:eastAsia="仿宋_GB2312" w:cs="仿宋_GB2312"/>
          <w:b/>
          <w:bCs/>
          <w:snapToGrid w:val="0"/>
          <w:color w:val="auto"/>
          <w:kern w:val="0"/>
          <w:sz w:val="30"/>
          <w:szCs w:val="30"/>
          <w:highlight w:val="none"/>
        </w:rPr>
        <w:t>1</w:t>
      </w:r>
      <w:r>
        <w:rPr>
          <w:rFonts w:hint="eastAsia" w:ascii="仿宋_GB2312" w:hAnsi="仿宋_GB2312" w:eastAsia="仿宋_GB2312" w:cs="仿宋_GB2312"/>
          <w:b/>
          <w:bCs/>
          <w:snapToGrid w:val="0"/>
          <w:color w:val="auto"/>
          <w:kern w:val="0"/>
          <w:sz w:val="30"/>
          <w:szCs w:val="30"/>
          <w:highlight w:val="none"/>
          <w:lang w:val="en-US" w:eastAsia="zh-CN"/>
        </w:rPr>
        <w:t>3</w:t>
      </w:r>
      <w:r>
        <w:rPr>
          <w:rFonts w:hint="eastAsia" w:ascii="仿宋_GB2312" w:hAnsi="仿宋_GB2312" w:eastAsia="仿宋_GB2312" w:cs="仿宋_GB2312"/>
          <w:b/>
          <w:bCs/>
          <w:snapToGrid w:val="0"/>
          <w:color w:val="auto"/>
          <w:kern w:val="0"/>
          <w:sz w:val="30"/>
          <w:szCs w:val="30"/>
          <w:highlight w:val="none"/>
        </w:rPr>
        <w:t>.4.4 现场安全</w:t>
      </w:r>
    </w:p>
    <w:p w14:paraId="553E526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救援时，应保持头脑清醒，不得盲目行动，针对事故性质、类型、特征等进行分析进行自救互救。（自救与互救原则安全撤离，妥善避险；沉着冷静，控制情绪；互相鼓励，互相帮助；团结协作，服从指挥。</w:t>
      </w:r>
    </w:p>
    <w:p w14:paraId="7BEC991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（2）在抢险救灾过程中，专职救援人员，应根据事故的类别、性质，采取相应的安全防护措施。</w:t>
      </w:r>
    </w:p>
    <w:p w14:paraId="1EFE5AD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（3）严格控制进入灾区人员的数量，抢救井下事故以专业矿山救援人员为主； </w:t>
      </w:r>
    </w:p>
    <w:p w14:paraId="4882F7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（4）救援人员必须认真按救援方案和救护安全措施执行，确保自身安全。</w:t>
      </w:r>
    </w:p>
    <w:p w14:paraId="7678D1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（5）在事故救援中，现场指挥部安排专人，负责记录事故抢险方案的执行情况和事故救援等情况。</w:t>
      </w:r>
    </w:p>
    <w:p w14:paraId="11B72338">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（6）根据事故现场情况，强化事故现场安全措施落实，防止二次事故和次生灾害事故发生。</w:t>
      </w:r>
    </w:p>
    <w:p w14:paraId="51C437A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（7）抢救和运送长期被困的人员时，要注意外部环境的突然改变，防止造成二次伤害。</w:t>
      </w:r>
    </w:p>
    <w:p w14:paraId="1CD8513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（8）根据事故类型、事故大小确定需要的救援力量和装备器材。</w:t>
      </w:r>
    </w:p>
    <w:p w14:paraId="2707C53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（9）根据灾区现场情况，制定救援人员安全防护措施。</w:t>
      </w:r>
    </w:p>
    <w:p w14:paraId="1091044D">
      <w:pPr>
        <w:tabs>
          <w:tab w:val="left" w:pos="0"/>
        </w:tabs>
        <w:adjustRightInd w:val="0"/>
        <w:snapToGrid w:val="0"/>
        <w:spacing w:line="460" w:lineRule="exact"/>
        <w:ind w:firstLine="600" w:firstLineChars="200"/>
        <w:outlineLvl w:val="1"/>
        <w:rPr>
          <w:rFonts w:hint="eastAsia" w:ascii="楷体_GB2312" w:hAnsi="楷体_GB2312" w:eastAsia="楷体_GB2312" w:cs="楷体_GB2312"/>
          <w:color w:val="auto"/>
          <w:sz w:val="30"/>
          <w:szCs w:val="30"/>
          <w:highlight w:val="none"/>
        </w:rPr>
      </w:pPr>
      <w:bookmarkStart w:id="538" w:name="_Toc18366"/>
      <w:r>
        <w:rPr>
          <w:rFonts w:hint="eastAsia" w:ascii="楷体_GB2312" w:hAnsi="楷体_GB2312" w:eastAsia="楷体_GB2312" w:cs="楷体_GB2312"/>
          <w:color w:val="auto"/>
          <w:sz w:val="30"/>
          <w:szCs w:val="30"/>
          <w:highlight w:val="none"/>
        </w:rPr>
        <w:t>1</w:t>
      </w:r>
      <w:r>
        <w:rPr>
          <w:rFonts w:hint="eastAsia" w:ascii="楷体_GB2312" w:hAnsi="楷体_GB2312" w:eastAsia="楷体_GB2312" w:cs="楷体_GB2312"/>
          <w:color w:val="auto"/>
          <w:sz w:val="30"/>
          <w:szCs w:val="30"/>
          <w:highlight w:val="none"/>
          <w:lang w:val="en-US" w:eastAsia="zh-CN"/>
        </w:rPr>
        <w:t>3</w:t>
      </w:r>
      <w:r>
        <w:rPr>
          <w:rFonts w:hint="eastAsia" w:ascii="楷体_GB2312" w:hAnsi="楷体_GB2312" w:eastAsia="楷体_GB2312" w:cs="楷体_GB2312"/>
          <w:color w:val="auto"/>
          <w:sz w:val="30"/>
          <w:szCs w:val="30"/>
          <w:highlight w:val="none"/>
        </w:rPr>
        <w:t>.5 其他需要特别警示的事项</w:t>
      </w:r>
      <w:bookmarkEnd w:id="538"/>
    </w:p>
    <w:p w14:paraId="00B3C95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（1）井上下事故波及范围区域划定，警戒线设置。</w:t>
      </w:r>
    </w:p>
    <w:p w14:paraId="23FE233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（2）事故单位井口、地面治安警戒线设置。</w:t>
      </w:r>
    </w:p>
    <w:p w14:paraId="62A2386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（3）井下救护基地位置确定与警示。</w:t>
      </w:r>
    </w:p>
    <w:p w14:paraId="6DC6FD5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（4）事故现场人员撤离路线变化等重要地点标识。</w:t>
      </w:r>
      <w:r>
        <w:rPr>
          <w:rFonts w:ascii="仿宋_GB2312" w:hAnsi="仿宋_GB2312" w:eastAsia="仿宋_GB2312" w:cs="仿宋_GB2312"/>
          <w:color w:val="auto"/>
          <w:kern w:val="0"/>
          <w:sz w:val="28"/>
          <w:szCs w:val="28"/>
          <w:highlight w:val="none"/>
        </w:rPr>
        <w:br w:type="page"/>
      </w:r>
    </w:p>
    <w:p w14:paraId="1DB5555E">
      <w:pPr>
        <w:spacing w:line="560" w:lineRule="exact"/>
        <w:jc w:val="center"/>
        <w:outlineLvl w:val="0"/>
        <w:rPr>
          <w:rFonts w:ascii="方正小标宋简体" w:hAnsi="方正小标宋简体" w:eastAsia="方正小标宋简体" w:cs="方正小标宋简体"/>
          <w:bCs/>
          <w:color w:val="auto"/>
          <w:kern w:val="44"/>
          <w:sz w:val="52"/>
          <w:szCs w:val="52"/>
          <w:highlight w:val="none"/>
        </w:rPr>
      </w:pPr>
      <w:bookmarkStart w:id="539" w:name="_Toc22903"/>
      <w:r>
        <w:rPr>
          <w:rFonts w:hint="eastAsia" w:ascii="方正小标宋简体" w:hAnsi="方正小标宋简体" w:eastAsia="方正小标宋简体" w:cs="方正小标宋简体"/>
          <w:bCs/>
          <w:color w:val="auto"/>
          <w:kern w:val="44"/>
          <w:sz w:val="52"/>
          <w:szCs w:val="52"/>
          <w:highlight w:val="none"/>
        </w:rPr>
        <w:t>第四部分 附件</w:t>
      </w:r>
      <w:bookmarkEnd w:id="539"/>
    </w:p>
    <w:p w14:paraId="5963CA3A">
      <w:pPr>
        <w:autoSpaceDE w:val="0"/>
        <w:autoSpaceDN w:val="0"/>
        <w:adjustRightInd w:val="0"/>
        <w:snapToGrid w:val="0"/>
        <w:spacing w:line="560" w:lineRule="exact"/>
        <w:jc w:val="left"/>
        <w:outlineLvl w:val="0"/>
        <w:rPr>
          <w:rFonts w:ascii="黑体" w:hAnsi="黑体" w:eastAsia="黑体" w:cs="黑体"/>
          <w:color w:val="auto"/>
          <w:sz w:val="30"/>
          <w:szCs w:val="30"/>
          <w:highlight w:val="none"/>
          <w:lang w:bidi="zh-CN"/>
        </w:rPr>
      </w:pPr>
      <w:bookmarkStart w:id="540" w:name="_Toc25826"/>
      <w:bookmarkStart w:id="541" w:name="_Toc26076"/>
      <w:bookmarkStart w:id="542" w:name="_Toc2959"/>
      <w:bookmarkStart w:id="543" w:name="_Toc1728"/>
      <w:bookmarkStart w:id="544" w:name="_Toc4870"/>
      <w:bookmarkStart w:id="545" w:name="_Toc5362"/>
      <w:bookmarkStart w:id="546" w:name="_Toc32330"/>
      <w:bookmarkStart w:id="547" w:name="_Toc29513"/>
      <w:r>
        <w:rPr>
          <w:rFonts w:hint="eastAsia" w:ascii="黑体" w:hAnsi="黑体" w:eastAsia="黑体" w:cs="黑体"/>
          <w:color w:val="auto"/>
          <w:sz w:val="30"/>
          <w:szCs w:val="30"/>
          <w:highlight w:val="none"/>
          <w:lang w:bidi="zh-CN"/>
        </w:rPr>
        <w:t>1 生产经营单位概况</w:t>
      </w:r>
      <w:bookmarkEnd w:id="540"/>
      <w:bookmarkEnd w:id="541"/>
      <w:bookmarkEnd w:id="542"/>
      <w:bookmarkEnd w:id="543"/>
      <w:bookmarkEnd w:id="544"/>
      <w:bookmarkEnd w:id="545"/>
      <w:bookmarkEnd w:id="546"/>
      <w:bookmarkEnd w:id="547"/>
    </w:p>
    <w:p w14:paraId="7F015182">
      <w:pPr>
        <w:tabs>
          <w:tab w:val="left" w:pos="0"/>
        </w:tabs>
        <w:adjustRightInd w:val="0"/>
        <w:snapToGrid w:val="0"/>
        <w:spacing w:line="460" w:lineRule="exact"/>
        <w:ind w:firstLine="600" w:firstLineChars="200"/>
        <w:outlineLvl w:val="9"/>
        <w:rPr>
          <w:rFonts w:ascii="楷体_GB2312" w:hAnsi="楷体_GB2312" w:eastAsia="楷体_GB2312" w:cs="楷体_GB2312"/>
          <w:color w:val="auto"/>
          <w:sz w:val="30"/>
          <w:szCs w:val="30"/>
          <w:highlight w:val="none"/>
        </w:rPr>
      </w:pPr>
      <w:r>
        <w:rPr>
          <w:rFonts w:hint="eastAsia" w:ascii="楷体_GB2312" w:hAnsi="楷体_GB2312" w:eastAsia="楷体_GB2312" w:cs="楷体_GB2312"/>
          <w:color w:val="auto"/>
          <w:sz w:val="30"/>
          <w:szCs w:val="30"/>
          <w:highlight w:val="none"/>
        </w:rPr>
        <w:t>1.1</w:t>
      </w:r>
      <w:r>
        <w:rPr>
          <w:rFonts w:hint="eastAsia" w:ascii="仿宋_GB2312" w:hAnsi="仿宋_GB2312" w:eastAsia="仿宋_GB2312" w:cs="仿宋_GB2312"/>
          <w:color w:val="auto"/>
          <w:kern w:val="0"/>
          <w:sz w:val="32"/>
          <w:szCs w:val="28"/>
          <w:highlight w:val="none"/>
        </w:rPr>
        <w:t>企业概况</w:t>
      </w:r>
    </w:p>
    <w:p w14:paraId="4AE20D77">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长城一矿位于内蒙古自治区鄂尔多斯市鄂托克前旗上海庙镇境内，行政隶属鄂托 克前旗上海庙镇管辖，距鄂托克前旗旗驻地敖勒召其镇（方位100°）约 90km，距银川市（方位315°） 约40km。井田地理极值坐标：东经106°32′57.000″～106°26′29.000″；北纬 38° 14′29.999″～38°17′01.000″。</w:t>
      </w:r>
    </w:p>
    <w:p w14:paraId="47E973A5">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lang w:val="en-US" w:eastAsia="zh-CN"/>
        </w:rPr>
        <w:t>井田内有县级公路（银川－鄂托克前旗）通过，沿该线向东南行驶90km为鄂托克前 旗旗驻地敖勒召其镇，向西北行驶 40km为银川市；从长城煤矿沿上长线向北约20km 为上海庙镇。长城煤矿距G20 青银高速公路银川东出口约35km；距银川市河东国际机 场 25km；东侧三新铁路在上海庙镇设有站点。长城煤矿井田内有砂石路相连，交通较为方便</w:t>
      </w:r>
      <w:r>
        <w:rPr>
          <w:rFonts w:hint="eastAsia" w:ascii="仿宋_GB2312" w:hAnsi="仿宋_GB2312" w:eastAsia="仿宋_GB2312" w:cs="仿宋_GB2312"/>
          <w:color w:val="auto"/>
          <w:kern w:val="0"/>
          <w:sz w:val="28"/>
          <w:szCs w:val="28"/>
          <w:highlight w:val="none"/>
          <w:lang w:val="zh-CN"/>
        </w:rPr>
        <w:t>。</w:t>
      </w:r>
      <w:r>
        <w:rPr>
          <w:rFonts w:hint="eastAsia" w:ascii="仿宋_GB2312" w:hAnsi="仿宋_GB2312" w:eastAsia="仿宋_GB2312" w:cs="仿宋_GB2312"/>
          <w:color w:val="auto"/>
          <w:kern w:val="0"/>
          <w:sz w:val="28"/>
          <w:szCs w:val="28"/>
          <w:highlight w:val="none"/>
          <w:lang w:val="zh-CN" w:eastAsia="zh-CN"/>
        </w:rPr>
        <w:t>长城一矿</w:t>
      </w:r>
      <w:r>
        <w:rPr>
          <w:rFonts w:hint="eastAsia" w:ascii="仿宋_GB2312" w:hAnsi="仿宋_GB2312" w:eastAsia="仿宋_GB2312" w:cs="仿宋_GB2312"/>
          <w:color w:val="auto"/>
          <w:kern w:val="0"/>
          <w:sz w:val="28"/>
          <w:szCs w:val="28"/>
          <w:highlight w:val="none"/>
          <w:lang w:val="zh-CN"/>
        </w:rPr>
        <w:t>从业人数为</w:t>
      </w:r>
      <w:r>
        <w:rPr>
          <w:rFonts w:hint="eastAsia" w:ascii="仿宋_GB2312" w:hAnsi="仿宋_GB2312" w:eastAsia="仿宋_GB2312" w:cs="仿宋_GB2312"/>
          <w:color w:val="auto"/>
          <w:kern w:val="0"/>
          <w:sz w:val="28"/>
          <w:szCs w:val="28"/>
          <w:highlight w:val="none"/>
          <w:lang w:val="en-US" w:eastAsia="zh-CN"/>
        </w:rPr>
        <w:t>910</w:t>
      </w:r>
      <w:r>
        <w:rPr>
          <w:rFonts w:hint="eastAsia" w:ascii="仿宋_GB2312" w:hAnsi="仿宋_GB2312" w:eastAsia="仿宋_GB2312" w:cs="仿宋_GB2312"/>
          <w:color w:val="auto"/>
          <w:kern w:val="0"/>
          <w:sz w:val="28"/>
          <w:szCs w:val="28"/>
          <w:highlight w:val="none"/>
          <w:lang w:val="zh-CN"/>
        </w:rPr>
        <w:t>人，隶属于山东能源集团新矿内蒙古能源有限责任公司。</w:t>
      </w:r>
    </w:p>
    <w:p w14:paraId="780F09F0">
      <w:pPr>
        <w:spacing w:line="440" w:lineRule="exact"/>
        <w:ind w:firstLine="560" w:firstLineChars="200"/>
        <w:outlineLvl w:val="9"/>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长城一矿井田属上海庙矿区石炭二叠系成煤区，主要含煤地层为山西组和太原组。主要可采煤层8层，分别为山西组的1、3上、3、5煤层，太原组的8、9、9上、10煤层。其中1、3上、3、5、9煤为全区主要可采煤层，属薄～中厚煤层；8、9上、10煤为局部可采煤层，属薄煤层。井田内各煤层结构简单～复杂。煤种气煤为主，发热量为中高热值煤，低硫～中高硫煤均有。原煤经浮选可用炼焦配煤、气化原料或燃料等用煤。</w:t>
      </w:r>
    </w:p>
    <w:p w14:paraId="6B473D28">
      <w:pPr>
        <w:spacing w:line="440" w:lineRule="exact"/>
        <w:ind w:firstLine="560" w:firstLineChars="200"/>
        <w:outlineLvl w:val="9"/>
        <w:rPr>
          <w:rFonts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长城一矿为低瓦斯矿井。水文地质类型为中等，矿井正常涌水量6</w:t>
      </w:r>
      <w:r>
        <w:rPr>
          <w:rFonts w:hint="eastAsia" w:ascii="仿宋_GB2312" w:hAnsi="仿宋_GB2312" w:eastAsia="仿宋_GB2312" w:cs="仿宋_GB2312"/>
          <w:color w:val="auto"/>
          <w:kern w:val="0"/>
          <w:sz w:val="28"/>
          <w:szCs w:val="28"/>
          <w:highlight w:val="none"/>
          <w:lang w:val="en-US" w:eastAsia="zh-CN"/>
        </w:rPr>
        <w:t>7</w:t>
      </w:r>
      <w:r>
        <w:rPr>
          <w:rFonts w:hint="eastAsia" w:ascii="仿宋_GB2312" w:hAnsi="仿宋_GB2312" w:eastAsia="仿宋_GB2312" w:cs="仿宋_GB2312"/>
          <w:color w:val="auto"/>
          <w:kern w:val="0"/>
          <w:sz w:val="28"/>
          <w:szCs w:val="28"/>
          <w:highlight w:val="none"/>
          <w:lang w:val="zh-CN"/>
        </w:rPr>
        <w:t>m</w:t>
      </w:r>
      <w:r>
        <w:rPr>
          <w:rFonts w:hint="eastAsia" w:ascii="仿宋_GB2312" w:hAnsi="仿宋_GB2312" w:eastAsia="仿宋_GB2312" w:cs="仿宋_GB2312"/>
          <w:color w:val="auto"/>
          <w:kern w:val="0"/>
          <w:sz w:val="28"/>
          <w:szCs w:val="28"/>
          <w:highlight w:val="none"/>
          <w:vertAlign w:val="superscript"/>
          <w:lang w:val="zh-CN"/>
        </w:rPr>
        <w:t>3</w:t>
      </w:r>
      <w:r>
        <w:rPr>
          <w:rFonts w:hint="eastAsia" w:ascii="仿宋_GB2312" w:hAnsi="仿宋_GB2312" w:eastAsia="仿宋_GB2312" w:cs="仿宋_GB2312"/>
          <w:color w:val="auto"/>
          <w:kern w:val="0"/>
          <w:sz w:val="28"/>
          <w:szCs w:val="28"/>
          <w:highlight w:val="none"/>
          <w:lang w:val="zh-CN"/>
        </w:rPr>
        <w:t>/h，最大涌水量10</w:t>
      </w:r>
      <w:r>
        <w:rPr>
          <w:rFonts w:hint="eastAsia" w:ascii="仿宋_GB2312" w:hAnsi="仿宋_GB2312" w:eastAsia="仿宋_GB2312" w:cs="仿宋_GB2312"/>
          <w:color w:val="auto"/>
          <w:kern w:val="0"/>
          <w:sz w:val="28"/>
          <w:szCs w:val="28"/>
          <w:highlight w:val="none"/>
          <w:lang w:val="en-US" w:eastAsia="zh-CN"/>
        </w:rPr>
        <w:t>5</w:t>
      </w:r>
      <w:r>
        <w:rPr>
          <w:rFonts w:hint="eastAsia" w:ascii="仿宋_GB2312" w:hAnsi="仿宋_GB2312" w:eastAsia="仿宋_GB2312" w:cs="仿宋_GB2312"/>
          <w:color w:val="auto"/>
          <w:kern w:val="0"/>
          <w:sz w:val="28"/>
          <w:szCs w:val="28"/>
          <w:highlight w:val="none"/>
          <w:lang w:val="zh-CN"/>
        </w:rPr>
        <w:t>m</w:t>
      </w:r>
      <w:r>
        <w:rPr>
          <w:rFonts w:hint="eastAsia" w:ascii="仿宋_GB2312" w:hAnsi="仿宋_GB2312" w:eastAsia="仿宋_GB2312" w:cs="仿宋_GB2312"/>
          <w:color w:val="auto"/>
          <w:kern w:val="0"/>
          <w:sz w:val="28"/>
          <w:szCs w:val="28"/>
          <w:highlight w:val="none"/>
          <w:vertAlign w:val="superscript"/>
          <w:lang w:val="zh-CN"/>
        </w:rPr>
        <w:t>3</w:t>
      </w:r>
      <w:r>
        <w:rPr>
          <w:rFonts w:hint="eastAsia" w:ascii="仿宋_GB2312" w:hAnsi="仿宋_GB2312" w:eastAsia="仿宋_GB2312" w:cs="仿宋_GB2312"/>
          <w:color w:val="auto"/>
          <w:kern w:val="0"/>
          <w:sz w:val="28"/>
          <w:szCs w:val="28"/>
          <w:highlight w:val="none"/>
          <w:lang w:val="zh-CN"/>
        </w:rPr>
        <w:t>/h。3煤、5煤、9煤具有自燃倾向性，属于Ⅱ类自燃煤层，弱冲击地压矿井。</w:t>
      </w:r>
    </w:p>
    <w:p w14:paraId="3FA61CF8">
      <w:pPr>
        <w:spacing w:line="440" w:lineRule="exact"/>
        <w:ind w:firstLine="560" w:firstLineChars="200"/>
        <w:outlineLvl w:val="9"/>
        <w:rPr>
          <w:rFonts w:hint="eastAsia" w:ascii="楷体_GB2312" w:hAnsi="楷体_GB2312" w:eastAsia="楷体_GB2312" w:cs="楷体_GB2312"/>
          <w:color w:val="auto"/>
          <w:sz w:val="30"/>
          <w:szCs w:val="30"/>
          <w:highlight w:val="none"/>
          <w:lang w:eastAsia="zh-CN"/>
        </w:rPr>
      </w:pPr>
      <w:bookmarkStart w:id="548" w:name="_Toc30114"/>
      <w:bookmarkStart w:id="549" w:name="_Toc29449"/>
      <w:bookmarkStart w:id="550" w:name="_Toc32530"/>
      <w:bookmarkStart w:id="551" w:name="_Toc4736"/>
      <w:bookmarkStart w:id="552" w:name="_Toc2217"/>
      <w:bookmarkStart w:id="553" w:name="_Toc10244"/>
      <w:bookmarkStart w:id="554" w:name="_Toc11617"/>
      <w:r>
        <w:rPr>
          <w:rFonts w:hint="eastAsia" w:ascii="仿宋_GB2312" w:hAnsi="仿宋_GB2312" w:eastAsia="仿宋_GB2312" w:cs="仿宋_GB2312"/>
          <w:color w:val="auto"/>
          <w:kern w:val="0"/>
          <w:sz w:val="28"/>
          <w:szCs w:val="28"/>
          <w:highlight w:val="none"/>
          <w:lang w:val="zh-CN"/>
        </w:rPr>
        <w:t>长城井田北部与长城二号井田相邻，西北部与长城六号井田相邻，南部与马莲台井田相邻，各相邻矿井留设边界隔离煤柱，且各相邻边界200m范围无采掘活动</w:t>
      </w:r>
      <w:r>
        <w:rPr>
          <w:rFonts w:hint="eastAsia" w:ascii="仿宋_GB2312" w:hAnsi="仿宋_GB2312" w:eastAsia="仿宋_GB2312" w:cs="仿宋_GB2312"/>
          <w:color w:val="auto"/>
          <w:kern w:val="0"/>
          <w:sz w:val="28"/>
          <w:szCs w:val="28"/>
          <w:highlight w:val="none"/>
          <w:lang w:val="zh-CN" w:eastAsia="zh-CN"/>
        </w:rPr>
        <w:t>。</w:t>
      </w:r>
    </w:p>
    <w:p w14:paraId="0CCA928C">
      <w:pPr>
        <w:tabs>
          <w:tab w:val="left" w:pos="0"/>
        </w:tabs>
        <w:adjustRightInd w:val="0"/>
        <w:snapToGrid w:val="0"/>
        <w:spacing w:line="460" w:lineRule="exact"/>
        <w:ind w:firstLine="600" w:firstLineChars="200"/>
        <w:outlineLvl w:val="9"/>
        <w:rPr>
          <w:rFonts w:ascii="楷体_GB2312" w:hAnsi="楷体_GB2312" w:eastAsia="楷体_GB2312" w:cs="楷体_GB2312"/>
          <w:color w:val="auto"/>
          <w:sz w:val="30"/>
          <w:szCs w:val="30"/>
          <w:highlight w:val="none"/>
        </w:rPr>
      </w:pPr>
      <w:r>
        <w:rPr>
          <w:rFonts w:hint="eastAsia" w:ascii="楷体_GB2312" w:hAnsi="楷体_GB2312" w:eastAsia="楷体_GB2312" w:cs="楷体_GB2312"/>
          <w:color w:val="auto"/>
          <w:sz w:val="30"/>
          <w:szCs w:val="30"/>
          <w:highlight w:val="none"/>
        </w:rPr>
        <w:t>1.2</w:t>
      </w:r>
      <w:r>
        <w:rPr>
          <w:rFonts w:hint="eastAsia" w:ascii="仿宋_GB2312" w:hAnsi="仿宋_GB2312" w:eastAsia="仿宋_GB2312" w:cs="仿宋_GB2312"/>
          <w:color w:val="auto"/>
          <w:kern w:val="0"/>
          <w:sz w:val="32"/>
          <w:szCs w:val="28"/>
          <w:highlight w:val="none"/>
        </w:rPr>
        <w:t>重点工作岗位</w:t>
      </w:r>
    </w:p>
    <w:p w14:paraId="33FD130D">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重点岗位主要有采煤机司机、掘进机司机、带式输送机司机、绞车司机、瓦斯检查工、提升机司机、信号把</w:t>
      </w:r>
      <w:r>
        <w:rPr>
          <w:rFonts w:hint="eastAsia" w:ascii="仿宋_GB2312" w:hAnsi="仿宋_GB2312" w:eastAsia="仿宋_GB2312" w:cs="仿宋_GB2312"/>
          <w:color w:val="auto"/>
          <w:kern w:val="0"/>
          <w:sz w:val="28"/>
          <w:szCs w:val="28"/>
          <w:highlight w:val="none"/>
          <w:lang w:eastAsia="zh-CN"/>
        </w:rPr>
        <w:t>钩</w:t>
      </w:r>
      <w:r>
        <w:rPr>
          <w:rFonts w:hint="eastAsia" w:ascii="仿宋_GB2312" w:hAnsi="仿宋_GB2312" w:eastAsia="仿宋_GB2312" w:cs="仿宋_GB2312"/>
          <w:color w:val="auto"/>
          <w:kern w:val="0"/>
          <w:sz w:val="28"/>
          <w:szCs w:val="28"/>
          <w:highlight w:val="none"/>
        </w:rPr>
        <w:t>工等。重点区域有采掘工作面、中央泵房、中央变电所、采区变电所、主、副井、压风机房、主副井提升机房、应急物资库等。周边无重大危险源、重要设施、目标、场所等。</w:t>
      </w:r>
    </w:p>
    <w:p w14:paraId="0822548F">
      <w:pPr>
        <w:tabs>
          <w:tab w:val="left" w:pos="0"/>
        </w:tabs>
        <w:adjustRightInd w:val="0"/>
        <w:snapToGrid w:val="0"/>
        <w:spacing w:line="460" w:lineRule="exact"/>
        <w:ind w:firstLine="600" w:firstLineChars="200"/>
        <w:outlineLvl w:val="9"/>
        <w:rPr>
          <w:rFonts w:ascii="楷体_GB2312" w:hAnsi="楷体_GB2312" w:eastAsia="楷体_GB2312" w:cs="楷体_GB2312"/>
          <w:color w:val="auto"/>
          <w:sz w:val="30"/>
          <w:szCs w:val="30"/>
          <w:highlight w:val="none"/>
        </w:rPr>
      </w:pPr>
      <w:r>
        <w:rPr>
          <w:rFonts w:hint="eastAsia" w:ascii="楷体_GB2312" w:hAnsi="楷体_GB2312" w:eastAsia="楷体_GB2312" w:cs="楷体_GB2312"/>
          <w:color w:val="auto"/>
          <w:sz w:val="30"/>
          <w:szCs w:val="30"/>
          <w:highlight w:val="none"/>
        </w:rPr>
        <w:t>1.3</w:t>
      </w:r>
      <w:r>
        <w:rPr>
          <w:rFonts w:hint="eastAsia" w:ascii="仿宋_GB2312" w:hAnsi="仿宋_GB2312" w:eastAsia="仿宋_GB2312" w:cs="仿宋_GB2312"/>
          <w:color w:val="auto"/>
          <w:kern w:val="0"/>
          <w:sz w:val="32"/>
          <w:szCs w:val="28"/>
          <w:highlight w:val="none"/>
        </w:rPr>
        <w:t>生产系统概况</w:t>
      </w:r>
    </w:p>
    <w:p w14:paraId="223300C9">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（一）开拓布置</w:t>
      </w:r>
    </w:p>
    <w:p w14:paraId="4FC50A5F">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采用斜井-立井-多水平综合开拓方式，矿井以F5断层为界将井田分为西区和东区，全矿井共布置有5个井筒，其中西区工业场地内布置主斜井、副斜井、回风斜井3个斜井井筒；东区工业场地新建东区副立井、东区回风立井2个立井井筒。</w:t>
      </w:r>
    </w:p>
    <w:p w14:paraId="009E1A06">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东区副立井绞车采用摩擦式提升方式，双回路供电，系统运行正常。主井皮带型号DTL120/90/4×560，断面积25.4平方米。</w:t>
      </w:r>
      <w:r>
        <w:rPr>
          <w:rFonts w:hint="default" w:ascii="仿宋_GB2312" w:hAnsi="仿宋_GB2312" w:eastAsia="仿宋_GB2312" w:cs="仿宋_GB2312"/>
          <w:color w:val="auto"/>
          <w:kern w:val="0"/>
          <w:sz w:val="28"/>
          <w:szCs w:val="28"/>
          <w:highlight w:val="none"/>
          <w:lang w:val="en-US" w:eastAsia="zh-CN"/>
        </w:rPr>
        <w:t>东区副井井筒净直径7.0m，深度493.5m，井口标高+1243.500m，井底车场标高+750.000m，担负东区人员、矸石、综采支架等大件设备和材料等提升任务，为进风巷。选用JKMD-4×4ZIII落地式多绳摩擦轮提升机，采用左、右同捻镀锌Φ42mm钢丝绳各2根,提升钢丝绳单重为6.8kg/m,最大静张力为770KN,最大静张力差为270KN，破断拉力总和为4720KN。尾绳为2根8×4×14扁钢丝绳，单重为14.6kg/m。提升容器为一套单层双车罐笼,一宽一窄,窄罐配重与宽罐相同,24t。</w:t>
      </w:r>
      <w:r>
        <w:rPr>
          <w:rFonts w:hint="eastAsia" w:ascii="仿宋_GB2312" w:hAnsi="仿宋_GB2312" w:eastAsia="仿宋_GB2312" w:cs="仿宋_GB2312"/>
          <w:color w:val="auto"/>
          <w:kern w:val="0"/>
          <w:sz w:val="28"/>
          <w:szCs w:val="28"/>
          <w:highlight w:val="none"/>
          <w:lang w:val="en-US" w:eastAsia="zh-CN"/>
        </w:rPr>
        <w:t>配备</w:t>
      </w:r>
      <w:r>
        <w:rPr>
          <w:rFonts w:hint="default" w:ascii="仿宋_GB2312" w:hAnsi="仿宋_GB2312" w:eastAsia="仿宋_GB2312" w:cs="仿宋_GB2312"/>
          <w:color w:val="auto"/>
          <w:kern w:val="0"/>
          <w:sz w:val="28"/>
          <w:szCs w:val="28"/>
          <w:highlight w:val="none"/>
          <w:lang w:val="en-US" w:eastAsia="zh-CN"/>
        </w:rPr>
        <w:t>1800kW直流电动机，直流电控系统，电压等级900V。</w:t>
      </w:r>
    </w:p>
    <w:p w14:paraId="4F5CB8A3">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上下井口操车设备相同，包括：摇台、单式阻车器、安全门、销齿推车机、压轮分车阻车器等，各设备均为液动，采用集中液压站控制。为保证安全生产，单式阻车器及安全门均装有开闭信号装置与销齿推车机实现闭锁控制。</w:t>
      </w:r>
    </w:p>
    <w:p w14:paraId="687960E3">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bookmarkStart w:id="555" w:name="_Toc171745307"/>
      <w:bookmarkStart w:id="556" w:name="_Toc1596435099"/>
      <w:bookmarkStart w:id="557" w:name="_Toc2129975110"/>
      <w:bookmarkStart w:id="558" w:name="_Toc20241"/>
      <w:r>
        <w:rPr>
          <w:rFonts w:hint="eastAsia" w:ascii="仿宋_GB2312" w:hAnsi="仿宋_GB2312" w:eastAsia="仿宋_GB2312" w:cs="仿宋_GB2312"/>
          <w:color w:val="auto"/>
          <w:kern w:val="0"/>
          <w:sz w:val="28"/>
          <w:szCs w:val="28"/>
          <w:highlight w:val="none"/>
          <w:lang w:val="en-US" w:eastAsia="zh-CN"/>
        </w:rPr>
        <w:t>西区副斜井提升系统采用地面安装一部JK-3×2.2/30型缠绕式提升机，电机功率400KW，最大提升速度为3.87m/s，钢丝绳采用6×37S-1770型钢丝绳，直径为36mm，负责+920水平物料提升任务，提升斜长800m，坡度25°，</w:t>
      </w:r>
      <w:r>
        <w:rPr>
          <w:rFonts w:hint="default" w:ascii="仿宋_GB2312" w:hAnsi="仿宋_GB2312" w:eastAsia="仿宋_GB2312" w:cs="仿宋_GB2312"/>
          <w:color w:val="auto"/>
          <w:kern w:val="0"/>
          <w:sz w:val="28"/>
          <w:szCs w:val="28"/>
          <w:highlight w:val="none"/>
          <w:lang w:val="en-US" w:eastAsia="zh-CN"/>
        </w:rPr>
        <w:t>担负</w:t>
      </w:r>
      <w:r>
        <w:rPr>
          <w:rFonts w:hint="eastAsia" w:ascii="仿宋_GB2312" w:hAnsi="仿宋_GB2312" w:eastAsia="仿宋_GB2312" w:cs="仿宋_GB2312"/>
          <w:color w:val="auto"/>
          <w:kern w:val="0"/>
          <w:sz w:val="28"/>
          <w:szCs w:val="28"/>
          <w:highlight w:val="none"/>
          <w:lang w:val="en-US" w:eastAsia="zh-CN"/>
        </w:rPr>
        <w:t>西</w:t>
      </w:r>
      <w:r>
        <w:rPr>
          <w:rFonts w:hint="default" w:ascii="仿宋_GB2312" w:hAnsi="仿宋_GB2312" w:eastAsia="仿宋_GB2312" w:cs="仿宋_GB2312"/>
          <w:color w:val="auto"/>
          <w:kern w:val="0"/>
          <w:sz w:val="28"/>
          <w:szCs w:val="28"/>
          <w:highlight w:val="none"/>
          <w:lang w:val="en-US" w:eastAsia="zh-CN"/>
        </w:rPr>
        <w:t>区人员、设备和材料等提升</w:t>
      </w:r>
      <w:r>
        <w:rPr>
          <w:rFonts w:hint="eastAsia" w:ascii="仿宋_GB2312" w:hAnsi="仿宋_GB2312" w:eastAsia="仿宋_GB2312" w:cs="仿宋_GB2312"/>
          <w:color w:val="auto"/>
          <w:kern w:val="0"/>
          <w:sz w:val="28"/>
          <w:szCs w:val="28"/>
          <w:highlight w:val="none"/>
          <w:lang w:val="en-US" w:eastAsia="zh-CN"/>
        </w:rPr>
        <w:t>运输</w:t>
      </w:r>
      <w:r>
        <w:rPr>
          <w:rFonts w:hint="default" w:ascii="仿宋_GB2312" w:hAnsi="仿宋_GB2312" w:eastAsia="仿宋_GB2312" w:cs="仿宋_GB2312"/>
          <w:color w:val="auto"/>
          <w:kern w:val="0"/>
          <w:sz w:val="28"/>
          <w:szCs w:val="28"/>
          <w:highlight w:val="none"/>
          <w:lang w:val="en-US" w:eastAsia="zh-CN"/>
        </w:rPr>
        <w:t>任务，为进风巷。</w:t>
      </w:r>
      <w:r>
        <w:rPr>
          <w:rFonts w:hint="eastAsia" w:ascii="仿宋_GB2312" w:hAnsi="仿宋_GB2312" w:eastAsia="仿宋_GB2312" w:cs="仿宋_GB2312"/>
          <w:color w:val="auto"/>
          <w:kern w:val="0"/>
          <w:sz w:val="28"/>
          <w:szCs w:val="28"/>
          <w:highlight w:val="none"/>
          <w:lang w:val="en-US" w:eastAsia="zh-CN"/>
        </w:rPr>
        <w:t>+650主暗斜井提升系统采用+920水平安装一部JKB-3.0/2.2单绳缠绕式提升机，电机功率400KW，钢丝绳采用6×37S-1770型钢丝绳，直径为36mm，负责+650水平物料提升任务，提升斜长760m，坡度24.5°。</w:t>
      </w:r>
    </w:p>
    <w:p w14:paraId="57767FBB">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4.运输系统</w:t>
      </w:r>
      <w:bookmarkEnd w:id="555"/>
      <w:bookmarkEnd w:id="556"/>
      <w:bookmarkEnd w:id="557"/>
      <w:bookmarkEnd w:id="558"/>
      <w:r>
        <w:rPr>
          <w:rFonts w:hint="eastAsia" w:ascii="仿宋_GB2312" w:hAnsi="仿宋_GB2312" w:eastAsia="仿宋_GB2312" w:cs="仿宋_GB2312"/>
          <w:color w:val="auto"/>
          <w:kern w:val="0"/>
          <w:sz w:val="28"/>
          <w:szCs w:val="28"/>
          <w:highlight w:val="none"/>
          <w:lang w:val="en-US" w:eastAsia="zh-CN"/>
        </w:rPr>
        <w:t xml:space="preserve">   </w:t>
      </w:r>
    </w:p>
    <w:p w14:paraId="0B64C17F">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主井采用斜井强力皮带运输，主井皮带型号DTL120/90/4×560，运量每小时900吨，带宽1.2米，带强ST4000N/mm，带速每秒</w:t>
      </w:r>
      <w:r>
        <w:rPr>
          <w:rFonts w:hint="eastAsia" w:ascii="仿宋_GB2312" w:hAnsi="仿宋_GB2312" w:eastAsia="仿宋_GB2312" w:cs="仿宋_GB2312"/>
          <w:color w:val="auto"/>
          <w:kern w:val="0"/>
          <w:sz w:val="28"/>
          <w:szCs w:val="28"/>
          <w:highlight w:val="none"/>
          <w:lang w:val="en-US" w:eastAsia="zh"/>
        </w:rPr>
        <w:t>3.15</w:t>
      </w:r>
      <w:r>
        <w:rPr>
          <w:rFonts w:hint="eastAsia" w:ascii="仿宋_GB2312" w:hAnsi="仿宋_GB2312" w:eastAsia="仿宋_GB2312" w:cs="仿宋_GB2312"/>
          <w:color w:val="auto"/>
          <w:kern w:val="0"/>
          <w:sz w:val="28"/>
          <w:szCs w:val="28"/>
          <w:highlight w:val="none"/>
          <w:lang w:val="en-US" w:eastAsia="zh-CN"/>
        </w:rPr>
        <w:t>米，电机功率4台560千瓦电机。井筒类型斜井，钢丝绳芯强力皮带机，提升方式斜井，断面积15.2平方米，井口标高+1226米、井底标高+840米，坡度21.5°，用</w:t>
      </w:r>
      <w:r>
        <w:rPr>
          <w:rFonts w:hint="eastAsia" w:ascii="仿宋_GB2312" w:hAnsi="仿宋_GB2312" w:eastAsia="仿宋_GB2312" w:cs="仿宋_GB2312"/>
          <w:color w:val="auto"/>
          <w:kern w:val="0"/>
          <w:sz w:val="28"/>
          <w:szCs w:val="28"/>
          <w:highlight w:val="none"/>
          <w:lang w:val="en-US" w:eastAsia="zh"/>
        </w:rPr>
        <w:t>于</w:t>
      </w:r>
      <w:r>
        <w:rPr>
          <w:rFonts w:hint="eastAsia" w:ascii="仿宋_GB2312" w:hAnsi="仿宋_GB2312" w:eastAsia="仿宋_GB2312" w:cs="仿宋_GB2312"/>
          <w:color w:val="auto"/>
          <w:kern w:val="0"/>
          <w:sz w:val="28"/>
          <w:szCs w:val="28"/>
          <w:highlight w:val="none"/>
          <w:lang w:val="en-US" w:eastAsia="zh-CN"/>
        </w:rPr>
        <w:t>运输煤炭。</w:t>
      </w:r>
    </w:p>
    <w:p w14:paraId="08E838F1">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+920胶带运输石门输送机型号DTL120/90/2×400</w:t>
      </w:r>
      <w:r>
        <w:rPr>
          <w:rFonts w:hint="eastAsia" w:ascii="仿宋_GB2312" w:hAnsi="仿宋_GB2312" w:eastAsia="仿宋_GB2312" w:cs="仿宋_GB2312"/>
          <w:color w:val="auto"/>
          <w:kern w:val="0"/>
          <w:sz w:val="28"/>
          <w:szCs w:val="28"/>
          <w:highlight w:val="none"/>
          <w:lang w:val="en-US" w:eastAsia="zh"/>
        </w:rPr>
        <w:t>，</w:t>
      </w:r>
      <w:r>
        <w:rPr>
          <w:rFonts w:hint="eastAsia" w:ascii="仿宋_GB2312" w:hAnsi="仿宋_GB2312" w:eastAsia="仿宋_GB2312" w:cs="仿宋_GB2312"/>
          <w:color w:val="auto"/>
          <w:kern w:val="0"/>
          <w:sz w:val="28"/>
          <w:szCs w:val="28"/>
          <w:highlight w:val="none"/>
          <w:lang w:val="en-US" w:eastAsia="zh-CN"/>
        </w:rPr>
        <w:t>皮带机长度17</w:t>
      </w:r>
      <w:r>
        <w:rPr>
          <w:rFonts w:hint="eastAsia" w:ascii="仿宋_GB2312" w:hAnsi="仿宋_GB2312" w:eastAsia="仿宋_GB2312" w:cs="仿宋_GB2312"/>
          <w:color w:val="auto"/>
          <w:kern w:val="0"/>
          <w:sz w:val="28"/>
          <w:szCs w:val="28"/>
          <w:highlight w:val="none"/>
          <w:lang w:val="en-US" w:eastAsia="zh"/>
        </w:rPr>
        <w:t>50</w:t>
      </w:r>
      <w:r>
        <w:rPr>
          <w:rFonts w:hint="eastAsia" w:ascii="仿宋_GB2312" w:hAnsi="仿宋_GB2312" w:eastAsia="仿宋_GB2312" w:cs="仿宋_GB2312"/>
          <w:color w:val="auto"/>
          <w:kern w:val="0"/>
          <w:sz w:val="28"/>
          <w:szCs w:val="28"/>
          <w:highlight w:val="none"/>
          <w:lang w:val="en-US" w:eastAsia="zh-CN"/>
        </w:rPr>
        <w:t>m，运量每小时900吨，带宽1.2米，带强ST1600N/mm，带速每秒3.55米，变频电机功率2台400千瓦电机。</w:t>
      </w:r>
    </w:p>
    <w:p w14:paraId="2F3502E0">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东区主运上山皮带输送机型号DTL120/90/4×400</w:t>
      </w:r>
      <w:r>
        <w:rPr>
          <w:rFonts w:hint="eastAsia" w:ascii="仿宋_GB2312" w:hAnsi="仿宋_GB2312" w:eastAsia="仿宋_GB2312" w:cs="仿宋_GB2312"/>
          <w:color w:val="auto"/>
          <w:kern w:val="0"/>
          <w:sz w:val="28"/>
          <w:szCs w:val="28"/>
          <w:highlight w:val="none"/>
          <w:lang w:val="en-US" w:eastAsia="zh"/>
        </w:rPr>
        <w:t>，</w:t>
      </w:r>
      <w:r>
        <w:rPr>
          <w:rFonts w:hint="eastAsia" w:ascii="仿宋_GB2312" w:hAnsi="仿宋_GB2312" w:eastAsia="仿宋_GB2312" w:cs="仿宋_GB2312"/>
          <w:color w:val="auto"/>
          <w:kern w:val="0"/>
          <w:sz w:val="28"/>
          <w:szCs w:val="28"/>
          <w:highlight w:val="none"/>
          <w:lang w:val="en-US" w:eastAsia="zh-CN"/>
        </w:rPr>
        <w:t>皮带机长度9</w:t>
      </w:r>
      <w:r>
        <w:rPr>
          <w:rFonts w:hint="eastAsia" w:ascii="仿宋_GB2312" w:hAnsi="仿宋_GB2312" w:eastAsia="仿宋_GB2312" w:cs="仿宋_GB2312"/>
          <w:color w:val="auto"/>
          <w:kern w:val="0"/>
          <w:sz w:val="28"/>
          <w:szCs w:val="28"/>
          <w:highlight w:val="none"/>
          <w:lang w:val="en-US" w:eastAsia="zh"/>
        </w:rPr>
        <w:t>50</w:t>
      </w:r>
      <w:r>
        <w:rPr>
          <w:rFonts w:hint="eastAsia" w:ascii="仿宋_GB2312" w:hAnsi="仿宋_GB2312" w:eastAsia="仿宋_GB2312" w:cs="仿宋_GB2312"/>
          <w:color w:val="auto"/>
          <w:kern w:val="0"/>
          <w:sz w:val="28"/>
          <w:szCs w:val="28"/>
          <w:highlight w:val="none"/>
          <w:lang w:val="en-US" w:eastAsia="zh-CN"/>
        </w:rPr>
        <w:t>m，运量每小时900吨，带宽1.2米，带强ST2500N/mm，带速每秒3.55米，变频电机功率4台400千瓦电机。</w:t>
      </w:r>
    </w:p>
    <w:p w14:paraId="4CEC25F6">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+750入仓巷安装DSJ140/250/1×355型皮带机一部，V=4m/s，设计运量2500t/h，单机电机功率355KW；带宽B=1400mm</w:t>
      </w:r>
      <w:r>
        <w:rPr>
          <w:rFonts w:hint="eastAsia" w:ascii="仿宋_GB2312" w:hAnsi="仿宋_GB2312" w:eastAsia="仿宋_GB2312" w:cs="仿宋_GB2312"/>
          <w:color w:val="auto"/>
          <w:kern w:val="0"/>
          <w:sz w:val="28"/>
          <w:szCs w:val="28"/>
          <w:highlight w:val="none"/>
          <w:lang w:val="en-US" w:eastAsia="zh"/>
        </w:rPr>
        <w:t>，</w:t>
      </w:r>
      <w:r>
        <w:rPr>
          <w:rFonts w:hint="eastAsia" w:ascii="仿宋_GB2312" w:hAnsi="仿宋_GB2312" w:eastAsia="仿宋_GB2312" w:cs="仿宋_GB2312"/>
          <w:color w:val="auto"/>
          <w:kern w:val="0"/>
          <w:sz w:val="28"/>
          <w:szCs w:val="28"/>
          <w:highlight w:val="none"/>
          <w:lang w:val="en-US" w:eastAsia="zh-CN"/>
        </w:rPr>
        <w:t>皮带运距130m。</w:t>
      </w:r>
    </w:p>
    <w:p w14:paraId="6F6A7E3D">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+750</w:t>
      </w:r>
      <w:r>
        <w:rPr>
          <w:rFonts w:hint="eastAsia" w:ascii="仿宋_GB2312" w:hAnsi="仿宋_GB2312" w:eastAsia="仿宋_GB2312" w:cs="仿宋_GB2312"/>
          <w:color w:val="auto"/>
          <w:kern w:val="0"/>
          <w:sz w:val="28"/>
          <w:szCs w:val="28"/>
          <w:highlight w:val="none"/>
          <w:lang w:val="en-US" w:eastAsia="zh"/>
        </w:rPr>
        <w:t>北翼集中运输巷</w:t>
      </w:r>
      <w:r>
        <w:rPr>
          <w:rFonts w:hint="eastAsia" w:ascii="仿宋_GB2312" w:hAnsi="仿宋_GB2312" w:eastAsia="仿宋_GB2312" w:cs="仿宋_GB2312"/>
          <w:color w:val="auto"/>
          <w:kern w:val="0"/>
          <w:sz w:val="28"/>
          <w:szCs w:val="28"/>
          <w:highlight w:val="none"/>
          <w:lang w:val="en-US" w:eastAsia="zh-CN"/>
        </w:rPr>
        <w:t>安装</w:t>
      </w:r>
      <w:r>
        <w:rPr>
          <w:rFonts w:hint="default" w:ascii="仿宋_GB2312" w:hAnsi="仿宋_GB2312" w:eastAsia="仿宋_GB2312" w:cs="仿宋_GB2312"/>
          <w:color w:val="auto"/>
          <w:kern w:val="0"/>
          <w:sz w:val="28"/>
          <w:szCs w:val="28"/>
          <w:highlight w:val="none"/>
          <w:lang w:val="en-US" w:eastAsia="zh-CN"/>
        </w:rPr>
        <w:t>DTL140/100/</w:t>
      </w:r>
      <w:r>
        <w:rPr>
          <w:rFonts w:hint="eastAsia" w:ascii="仿宋_GB2312" w:hAnsi="仿宋_GB2312" w:eastAsia="仿宋_GB2312" w:cs="仿宋_GB2312"/>
          <w:color w:val="auto"/>
          <w:kern w:val="0"/>
          <w:sz w:val="28"/>
          <w:szCs w:val="28"/>
          <w:highlight w:val="none"/>
          <w:lang w:val="en-US" w:eastAsia="zh"/>
        </w:rPr>
        <w:t>2</w:t>
      </w:r>
      <w:r>
        <w:rPr>
          <w:rFonts w:hint="default" w:ascii="仿宋_GB2312" w:hAnsi="仿宋_GB2312" w:eastAsia="仿宋_GB2312" w:cs="仿宋_GB2312"/>
          <w:color w:val="auto"/>
          <w:kern w:val="0"/>
          <w:sz w:val="28"/>
          <w:szCs w:val="28"/>
          <w:highlight w:val="none"/>
          <w:lang w:val="en-US" w:eastAsia="zh-CN"/>
        </w:rPr>
        <w:t>*355</w:t>
      </w:r>
      <w:r>
        <w:rPr>
          <w:rFonts w:hint="eastAsia" w:ascii="仿宋_GB2312" w:hAnsi="仿宋_GB2312" w:eastAsia="仿宋_GB2312" w:cs="仿宋_GB2312"/>
          <w:color w:val="auto"/>
          <w:kern w:val="0"/>
          <w:sz w:val="28"/>
          <w:szCs w:val="28"/>
          <w:highlight w:val="none"/>
          <w:lang w:val="en-US" w:eastAsia="zh-CN"/>
        </w:rPr>
        <w:t>型皮带机一部，V=4m/s，设计运量</w:t>
      </w:r>
      <w:r>
        <w:rPr>
          <w:rFonts w:hint="eastAsia" w:ascii="仿宋_GB2312" w:hAnsi="仿宋_GB2312" w:eastAsia="仿宋_GB2312" w:cs="仿宋_GB2312"/>
          <w:color w:val="auto"/>
          <w:kern w:val="0"/>
          <w:sz w:val="28"/>
          <w:szCs w:val="28"/>
          <w:highlight w:val="none"/>
          <w:lang w:val="en-US" w:eastAsia="zh"/>
        </w:rPr>
        <w:t>10</w:t>
      </w:r>
      <w:r>
        <w:rPr>
          <w:rFonts w:hint="eastAsia" w:ascii="仿宋_GB2312" w:hAnsi="仿宋_GB2312" w:eastAsia="仿宋_GB2312" w:cs="仿宋_GB2312"/>
          <w:color w:val="auto"/>
          <w:kern w:val="0"/>
          <w:sz w:val="28"/>
          <w:szCs w:val="28"/>
          <w:highlight w:val="none"/>
          <w:lang w:val="en-US" w:eastAsia="zh-CN"/>
        </w:rPr>
        <w:t>00t/h，电机功率</w:t>
      </w:r>
      <w:r>
        <w:rPr>
          <w:rFonts w:hint="eastAsia" w:ascii="仿宋_GB2312" w:hAnsi="仿宋_GB2312" w:eastAsia="仿宋_GB2312" w:cs="仿宋_GB2312"/>
          <w:color w:val="auto"/>
          <w:kern w:val="0"/>
          <w:sz w:val="28"/>
          <w:szCs w:val="28"/>
          <w:highlight w:val="none"/>
          <w:lang w:val="en-US" w:eastAsia="zh"/>
        </w:rPr>
        <w:t>2*</w:t>
      </w:r>
      <w:r>
        <w:rPr>
          <w:rFonts w:hint="eastAsia" w:ascii="仿宋_GB2312" w:hAnsi="仿宋_GB2312" w:eastAsia="仿宋_GB2312" w:cs="仿宋_GB2312"/>
          <w:color w:val="auto"/>
          <w:kern w:val="0"/>
          <w:sz w:val="28"/>
          <w:szCs w:val="28"/>
          <w:highlight w:val="none"/>
          <w:lang w:val="en-US" w:eastAsia="zh-CN"/>
        </w:rPr>
        <w:t>355KW；带宽B=1400mm</w:t>
      </w:r>
      <w:r>
        <w:rPr>
          <w:rFonts w:hint="eastAsia" w:ascii="仿宋_GB2312" w:hAnsi="仿宋_GB2312" w:eastAsia="仿宋_GB2312" w:cs="仿宋_GB2312"/>
          <w:color w:val="auto"/>
          <w:kern w:val="0"/>
          <w:sz w:val="28"/>
          <w:szCs w:val="28"/>
          <w:highlight w:val="none"/>
          <w:lang w:val="en-US" w:eastAsia="zh"/>
        </w:rPr>
        <w:t>，</w:t>
      </w:r>
      <w:r>
        <w:rPr>
          <w:rFonts w:hint="eastAsia" w:ascii="仿宋_GB2312" w:hAnsi="仿宋_GB2312" w:eastAsia="仿宋_GB2312" w:cs="仿宋_GB2312"/>
          <w:color w:val="auto"/>
          <w:kern w:val="0"/>
          <w:sz w:val="28"/>
          <w:szCs w:val="28"/>
          <w:highlight w:val="none"/>
          <w:lang w:val="en-US" w:eastAsia="zh-CN"/>
        </w:rPr>
        <w:t>皮带运距</w:t>
      </w:r>
      <w:r>
        <w:rPr>
          <w:rFonts w:hint="eastAsia" w:ascii="仿宋_GB2312" w:hAnsi="仿宋_GB2312" w:eastAsia="仿宋_GB2312" w:cs="仿宋_GB2312"/>
          <w:color w:val="auto"/>
          <w:kern w:val="0"/>
          <w:sz w:val="28"/>
          <w:szCs w:val="28"/>
          <w:highlight w:val="none"/>
          <w:lang w:val="en-US" w:eastAsia="zh"/>
        </w:rPr>
        <w:t>30</w:t>
      </w:r>
      <w:r>
        <w:rPr>
          <w:rFonts w:hint="eastAsia" w:ascii="仿宋_GB2312" w:hAnsi="仿宋_GB2312" w:eastAsia="仿宋_GB2312" w:cs="仿宋_GB2312"/>
          <w:color w:val="auto"/>
          <w:kern w:val="0"/>
          <w:sz w:val="28"/>
          <w:szCs w:val="28"/>
          <w:highlight w:val="none"/>
          <w:lang w:val="en-US" w:eastAsia="zh-CN"/>
        </w:rPr>
        <w:t>0m。</w:t>
      </w:r>
    </w:p>
    <w:p w14:paraId="66AB4C10">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
        </w:rPr>
        <w:t>五采区主运下山</w:t>
      </w:r>
      <w:r>
        <w:rPr>
          <w:rFonts w:hint="eastAsia" w:ascii="仿宋_GB2312" w:hAnsi="仿宋_GB2312" w:eastAsia="仿宋_GB2312" w:cs="仿宋_GB2312"/>
          <w:color w:val="auto"/>
          <w:kern w:val="0"/>
          <w:sz w:val="28"/>
          <w:szCs w:val="28"/>
          <w:highlight w:val="none"/>
          <w:lang w:val="en-US" w:eastAsia="zh-CN"/>
        </w:rPr>
        <w:t>安装</w:t>
      </w:r>
      <w:r>
        <w:rPr>
          <w:rFonts w:hint="default" w:ascii="仿宋_GB2312" w:hAnsi="仿宋_GB2312" w:eastAsia="仿宋_GB2312" w:cs="仿宋_GB2312"/>
          <w:color w:val="auto"/>
          <w:kern w:val="0"/>
          <w:sz w:val="28"/>
          <w:szCs w:val="28"/>
          <w:highlight w:val="none"/>
          <w:lang w:val="en-US" w:eastAsia="zh-CN"/>
        </w:rPr>
        <w:t>DTL140/100/4*560</w:t>
      </w:r>
      <w:r>
        <w:rPr>
          <w:rFonts w:hint="eastAsia" w:ascii="仿宋_GB2312" w:hAnsi="仿宋_GB2312" w:eastAsia="仿宋_GB2312" w:cs="仿宋_GB2312"/>
          <w:color w:val="auto"/>
          <w:kern w:val="0"/>
          <w:sz w:val="28"/>
          <w:szCs w:val="28"/>
          <w:highlight w:val="none"/>
          <w:lang w:val="en-US" w:eastAsia="zh-CN"/>
        </w:rPr>
        <w:t>型皮带机一部，V=4m/s，设计运量</w:t>
      </w:r>
      <w:r>
        <w:rPr>
          <w:rFonts w:hint="eastAsia" w:ascii="仿宋_GB2312" w:hAnsi="仿宋_GB2312" w:eastAsia="仿宋_GB2312" w:cs="仿宋_GB2312"/>
          <w:color w:val="auto"/>
          <w:kern w:val="0"/>
          <w:sz w:val="28"/>
          <w:szCs w:val="28"/>
          <w:highlight w:val="none"/>
          <w:lang w:val="en-US" w:eastAsia="zh"/>
        </w:rPr>
        <w:t>10</w:t>
      </w:r>
      <w:r>
        <w:rPr>
          <w:rFonts w:hint="eastAsia" w:ascii="仿宋_GB2312" w:hAnsi="仿宋_GB2312" w:eastAsia="仿宋_GB2312" w:cs="仿宋_GB2312"/>
          <w:color w:val="auto"/>
          <w:kern w:val="0"/>
          <w:sz w:val="28"/>
          <w:szCs w:val="28"/>
          <w:highlight w:val="none"/>
          <w:lang w:val="en-US" w:eastAsia="zh-CN"/>
        </w:rPr>
        <w:t>00t/h，电机功率</w:t>
      </w:r>
      <w:r>
        <w:rPr>
          <w:rFonts w:hint="eastAsia" w:ascii="仿宋_GB2312" w:hAnsi="仿宋_GB2312" w:eastAsia="仿宋_GB2312" w:cs="仿宋_GB2312"/>
          <w:color w:val="auto"/>
          <w:kern w:val="0"/>
          <w:sz w:val="28"/>
          <w:szCs w:val="28"/>
          <w:highlight w:val="none"/>
          <w:lang w:val="en-US" w:eastAsia="zh"/>
        </w:rPr>
        <w:t>4*560kW</w:t>
      </w:r>
      <w:r>
        <w:rPr>
          <w:rFonts w:hint="eastAsia" w:ascii="仿宋_GB2312" w:hAnsi="仿宋_GB2312" w:eastAsia="仿宋_GB2312" w:cs="仿宋_GB2312"/>
          <w:color w:val="auto"/>
          <w:kern w:val="0"/>
          <w:sz w:val="28"/>
          <w:szCs w:val="28"/>
          <w:highlight w:val="none"/>
          <w:lang w:val="en-US" w:eastAsia="zh-CN"/>
        </w:rPr>
        <w:t>；带宽B=1400mm</w:t>
      </w:r>
      <w:r>
        <w:rPr>
          <w:rFonts w:hint="eastAsia" w:ascii="仿宋_GB2312" w:hAnsi="仿宋_GB2312" w:eastAsia="仿宋_GB2312" w:cs="仿宋_GB2312"/>
          <w:color w:val="auto"/>
          <w:kern w:val="0"/>
          <w:sz w:val="28"/>
          <w:szCs w:val="28"/>
          <w:highlight w:val="none"/>
          <w:lang w:val="en-US" w:eastAsia="zh"/>
        </w:rPr>
        <w:t>，</w:t>
      </w:r>
      <w:r>
        <w:rPr>
          <w:rFonts w:hint="eastAsia" w:ascii="仿宋_GB2312" w:hAnsi="仿宋_GB2312" w:eastAsia="仿宋_GB2312" w:cs="仿宋_GB2312"/>
          <w:color w:val="auto"/>
          <w:kern w:val="0"/>
          <w:sz w:val="28"/>
          <w:szCs w:val="28"/>
          <w:highlight w:val="none"/>
          <w:lang w:val="en-US" w:eastAsia="zh-CN"/>
        </w:rPr>
        <w:t>坡度</w:t>
      </w:r>
      <w:r>
        <w:rPr>
          <w:rFonts w:hint="eastAsia" w:ascii="仿宋_GB2312" w:hAnsi="仿宋_GB2312" w:eastAsia="仿宋_GB2312" w:cs="仿宋_GB2312"/>
          <w:color w:val="auto"/>
          <w:kern w:val="0"/>
          <w:sz w:val="28"/>
          <w:szCs w:val="28"/>
          <w:highlight w:val="none"/>
          <w:lang w:val="en-US" w:eastAsia="zh"/>
        </w:rPr>
        <w:t>18</w:t>
      </w:r>
      <w:r>
        <w:rPr>
          <w:rFonts w:hint="eastAsia" w:ascii="仿宋_GB2312" w:hAnsi="仿宋_GB2312" w:eastAsia="仿宋_GB2312" w:cs="仿宋_GB2312"/>
          <w:color w:val="auto"/>
          <w:kern w:val="0"/>
          <w:sz w:val="28"/>
          <w:szCs w:val="28"/>
          <w:highlight w:val="none"/>
          <w:lang w:val="en-US" w:eastAsia="zh-CN"/>
        </w:rPr>
        <w:t>°</w:t>
      </w:r>
      <w:r>
        <w:rPr>
          <w:rFonts w:hint="eastAsia" w:ascii="仿宋_GB2312" w:hAnsi="仿宋_GB2312" w:eastAsia="仿宋_GB2312" w:cs="仿宋_GB2312"/>
          <w:color w:val="auto"/>
          <w:kern w:val="0"/>
          <w:sz w:val="28"/>
          <w:szCs w:val="28"/>
          <w:highlight w:val="none"/>
          <w:lang w:val="en-US" w:eastAsia="zh"/>
        </w:rPr>
        <w:t>，</w:t>
      </w:r>
      <w:r>
        <w:rPr>
          <w:rFonts w:hint="eastAsia" w:ascii="仿宋_GB2312" w:hAnsi="仿宋_GB2312" w:eastAsia="仿宋_GB2312" w:cs="仿宋_GB2312"/>
          <w:color w:val="auto"/>
          <w:kern w:val="0"/>
          <w:sz w:val="28"/>
          <w:szCs w:val="28"/>
          <w:highlight w:val="none"/>
          <w:lang w:val="en-US" w:eastAsia="zh-CN"/>
        </w:rPr>
        <w:t>皮带运距</w:t>
      </w:r>
      <w:r>
        <w:rPr>
          <w:rFonts w:hint="eastAsia" w:ascii="仿宋_GB2312" w:hAnsi="仿宋_GB2312" w:eastAsia="仿宋_GB2312" w:cs="仿宋_GB2312"/>
          <w:color w:val="auto"/>
          <w:kern w:val="0"/>
          <w:sz w:val="28"/>
          <w:szCs w:val="28"/>
          <w:highlight w:val="none"/>
          <w:lang w:val="en-US" w:eastAsia="zh"/>
        </w:rPr>
        <w:t>65</w:t>
      </w:r>
      <w:r>
        <w:rPr>
          <w:rFonts w:hint="eastAsia" w:ascii="仿宋_GB2312" w:hAnsi="仿宋_GB2312" w:eastAsia="仿宋_GB2312" w:cs="仿宋_GB2312"/>
          <w:color w:val="auto"/>
          <w:kern w:val="0"/>
          <w:sz w:val="28"/>
          <w:szCs w:val="28"/>
          <w:highlight w:val="none"/>
          <w:lang w:val="en-US" w:eastAsia="zh-CN"/>
        </w:rPr>
        <w:t>0m。</w:t>
      </w:r>
    </w:p>
    <w:p w14:paraId="205E820F">
      <w:pPr>
        <w:spacing w:line="440" w:lineRule="exact"/>
        <w:ind w:firstLine="560" w:firstLineChars="200"/>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
        </w:rPr>
        <w:t>5301-1</w:t>
      </w:r>
      <w:r>
        <w:rPr>
          <w:rFonts w:hint="eastAsia" w:ascii="仿宋_GB2312" w:hAnsi="仿宋_GB2312" w:eastAsia="仿宋_GB2312" w:cs="仿宋_GB2312"/>
          <w:color w:val="auto"/>
          <w:kern w:val="0"/>
          <w:sz w:val="28"/>
          <w:szCs w:val="28"/>
          <w:highlight w:val="none"/>
          <w:lang w:val="en-US" w:eastAsia="zh-CN"/>
        </w:rPr>
        <w:t>原煤运输系统：运输巷全长</w:t>
      </w:r>
      <w:r>
        <w:rPr>
          <w:rFonts w:hint="eastAsia" w:ascii="仿宋_GB2312" w:hAnsi="仿宋_GB2312" w:eastAsia="仿宋_GB2312" w:cs="仿宋_GB2312"/>
          <w:color w:val="auto"/>
          <w:kern w:val="0"/>
          <w:sz w:val="28"/>
          <w:szCs w:val="28"/>
          <w:highlight w:val="none"/>
          <w:lang w:val="en-US" w:eastAsia="zh"/>
        </w:rPr>
        <w:t>145</w:t>
      </w:r>
      <w:r>
        <w:rPr>
          <w:rFonts w:hint="eastAsia" w:ascii="仿宋_GB2312" w:hAnsi="仿宋_GB2312" w:eastAsia="仿宋_GB2312" w:cs="仿宋_GB2312"/>
          <w:color w:val="auto"/>
          <w:kern w:val="0"/>
          <w:sz w:val="28"/>
          <w:szCs w:val="28"/>
          <w:highlight w:val="none"/>
          <w:lang w:val="en-US" w:eastAsia="zh-CN"/>
        </w:rPr>
        <w:t>0米，坡度0°，安装</w:t>
      </w:r>
      <w:r>
        <w:rPr>
          <w:rFonts w:hint="default" w:ascii="仿宋_GB2312" w:hAnsi="仿宋_GB2312" w:eastAsia="仿宋_GB2312" w:cs="仿宋_GB2312"/>
          <w:color w:val="auto"/>
          <w:kern w:val="0"/>
          <w:sz w:val="28"/>
          <w:szCs w:val="28"/>
          <w:highlight w:val="none"/>
          <w:lang w:val="en-US" w:eastAsia="zh-CN"/>
        </w:rPr>
        <w:t>DTL140/100/3*355</w:t>
      </w:r>
      <w:r>
        <w:rPr>
          <w:rFonts w:hint="eastAsia" w:ascii="仿宋_GB2312" w:hAnsi="仿宋_GB2312" w:eastAsia="仿宋_GB2312" w:cs="仿宋_GB2312"/>
          <w:color w:val="auto"/>
          <w:kern w:val="0"/>
          <w:sz w:val="28"/>
          <w:szCs w:val="28"/>
          <w:highlight w:val="none"/>
          <w:lang w:val="en-US" w:eastAsia="zh-CN"/>
        </w:rPr>
        <w:t>型带式输送机1部，带速为</w:t>
      </w:r>
      <w:r>
        <w:rPr>
          <w:rFonts w:hint="eastAsia" w:ascii="仿宋_GB2312" w:hAnsi="仿宋_GB2312" w:eastAsia="仿宋_GB2312" w:cs="仿宋_GB2312"/>
          <w:color w:val="auto"/>
          <w:kern w:val="0"/>
          <w:sz w:val="28"/>
          <w:szCs w:val="28"/>
          <w:highlight w:val="none"/>
          <w:lang w:val="en-US" w:eastAsia="zh"/>
        </w:rPr>
        <w:t>4</w:t>
      </w:r>
      <w:r>
        <w:rPr>
          <w:rFonts w:hint="eastAsia" w:ascii="仿宋_GB2312" w:hAnsi="仿宋_GB2312" w:eastAsia="仿宋_GB2312" w:cs="仿宋_GB2312"/>
          <w:color w:val="auto"/>
          <w:kern w:val="0"/>
          <w:sz w:val="28"/>
          <w:szCs w:val="28"/>
          <w:highlight w:val="none"/>
          <w:lang w:val="en-US" w:eastAsia="zh-CN"/>
        </w:rPr>
        <w:t>m/s，带宽1</w:t>
      </w:r>
      <w:r>
        <w:rPr>
          <w:rFonts w:hint="eastAsia" w:ascii="仿宋_GB2312" w:hAnsi="仿宋_GB2312" w:eastAsia="仿宋_GB2312" w:cs="仿宋_GB2312"/>
          <w:color w:val="auto"/>
          <w:kern w:val="0"/>
          <w:sz w:val="28"/>
          <w:szCs w:val="28"/>
          <w:highlight w:val="none"/>
          <w:lang w:val="en-US" w:eastAsia="zh"/>
        </w:rPr>
        <w:t>4</w:t>
      </w:r>
      <w:r>
        <w:rPr>
          <w:rFonts w:hint="eastAsia" w:ascii="仿宋_GB2312" w:hAnsi="仿宋_GB2312" w:eastAsia="仿宋_GB2312" w:cs="仿宋_GB2312"/>
          <w:color w:val="auto"/>
          <w:kern w:val="0"/>
          <w:sz w:val="28"/>
          <w:szCs w:val="28"/>
          <w:highlight w:val="none"/>
          <w:lang w:val="en-US" w:eastAsia="zh-CN"/>
        </w:rPr>
        <w:t>00mm，电机功率</w:t>
      </w:r>
      <w:r>
        <w:rPr>
          <w:rFonts w:hint="eastAsia" w:ascii="仿宋_GB2312" w:hAnsi="仿宋_GB2312" w:eastAsia="仿宋_GB2312" w:cs="仿宋_GB2312"/>
          <w:color w:val="auto"/>
          <w:kern w:val="0"/>
          <w:sz w:val="28"/>
          <w:szCs w:val="28"/>
          <w:highlight w:val="none"/>
          <w:lang w:val="en-US" w:eastAsia="zh"/>
        </w:rPr>
        <w:t>355</w:t>
      </w:r>
      <w:r>
        <w:rPr>
          <w:rFonts w:hint="eastAsia" w:ascii="仿宋_GB2312" w:hAnsi="仿宋_GB2312" w:eastAsia="仿宋_GB2312" w:cs="仿宋_GB2312"/>
          <w:color w:val="auto"/>
          <w:kern w:val="0"/>
          <w:sz w:val="28"/>
          <w:szCs w:val="28"/>
          <w:highlight w:val="none"/>
          <w:lang w:val="en-US" w:eastAsia="zh-CN"/>
        </w:rPr>
        <w:t>KW×</w:t>
      </w:r>
      <w:r>
        <w:rPr>
          <w:rFonts w:hint="eastAsia" w:ascii="仿宋_GB2312" w:hAnsi="仿宋_GB2312" w:eastAsia="仿宋_GB2312" w:cs="仿宋_GB2312"/>
          <w:color w:val="auto"/>
          <w:kern w:val="0"/>
          <w:sz w:val="28"/>
          <w:szCs w:val="28"/>
          <w:highlight w:val="none"/>
          <w:lang w:val="en-US" w:eastAsia="zh"/>
        </w:rPr>
        <w:t>3</w:t>
      </w:r>
      <w:r>
        <w:rPr>
          <w:rFonts w:hint="eastAsia" w:ascii="仿宋_GB2312" w:hAnsi="仿宋_GB2312" w:eastAsia="仿宋_GB2312" w:cs="仿宋_GB2312"/>
          <w:color w:val="auto"/>
          <w:kern w:val="0"/>
          <w:sz w:val="28"/>
          <w:szCs w:val="28"/>
          <w:highlight w:val="none"/>
          <w:lang w:val="en-US" w:eastAsia="zh-CN"/>
        </w:rPr>
        <w:t>，运量</w:t>
      </w:r>
      <w:r>
        <w:rPr>
          <w:rFonts w:hint="eastAsia" w:ascii="仿宋_GB2312" w:hAnsi="仿宋_GB2312" w:eastAsia="仿宋_GB2312" w:cs="仿宋_GB2312"/>
          <w:color w:val="auto"/>
          <w:kern w:val="0"/>
          <w:sz w:val="28"/>
          <w:szCs w:val="28"/>
          <w:highlight w:val="none"/>
          <w:lang w:val="en-US" w:eastAsia="zh"/>
        </w:rPr>
        <w:t>10</w:t>
      </w:r>
      <w:r>
        <w:rPr>
          <w:rFonts w:hint="eastAsia" w:ascii="仿宋_GB2312" w:hAnsi="仿宋_GB2312" w:eastAsia="仿宋_GB2312" w:cs="仿宋_GB2312"/>
          <w:color w:val="auto"/>
          <w:kern w:val="0"/>
          <w:sz w:val="28"/>
          <w:szCs w:val="28"/>
          <w:highlight w:val="none"/>
          <w:lang w:val="en-US" w:eastAsia="zh-CN"/>
        </w:rPr>
        <w:t>00t/h。</w:t>
      </w:r>
    </w:p>
    <w:p w14:paraId="2263FF61">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皮带运输机均装设盘形制动器、逆止器，具有打滑、跑偏、堆煤、撕裂、温度、烟雾保护及自动洒水等安全保护。</w:t>
      </w:r>
    </w:p>
    <w:p w14:paraId="49A11282">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（二）通风系统</w:t>
      </w:r>
    </w:p>
    <w:p w14:paraId="55B9708F">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lang w:val="en-US" w:eastAsia="zh-CN"/>
        </w:rPr>
        <w:t>矿井采用斜-立井综合开拓方式，通风方式为混合式通风，进风井为主斜井、副斜井、回风斜井、副立井，回风井为回风立井。矿井安装两台FBCDZ-№30/2×450型对旋轴流式通风机，电机功率2×450kW，风量为8160m3/min，负压1090Pa，等积孔为4.9m2，矿井有效风量为8059m3/min，矿井有效风量率为93.1%。为通风容易矿井。</w:t>
      </w:r>
    </w:p>
    <w:p w14:paraId="3F16DBA8">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lang w:val="en-US" w:eastAsia="zh-CN"/>
        </w:rPr>
        <w:t>各用风地点风量、风速符合《煤矿安全规程》规定，满足矿井安全生产要求。</w:t>
      </w:r>
    </w:p>
    <w:p w14:paraId="48C225A1">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（三）</w:t>
      </w:r>
      <w:r>
        <w:rPr>
          <w:rFonts w:ascii="仿宋_GB2312" w:hAnsi="仿宋_GB2312" w:eastAsia="仿宋_GB2312" w:cs="仿宋_GB2312"/>
          <w:color w:val="auto"/>
          <w:kern w:val="0"/>
          <w:sz w:val="28"/>
          <w:szCs w:val="28"/>
          <w:highlight w:val="none"/>
        </w:rPr>
        <w:t>提升系统</w:t>
      </w:r>
    </w:p>
    <w:p w14:paraId="33DCE262">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bookmarkStart w:id="559" w:name="OLE_LINK25"/>
      <w:r>
        <w:rPr>
          <w:rFonts w:hint="eastAsia" w:ascii="仿宋_GB2312" w:hAnsi="仿宋_GB2312" w:eastAsia="仿宋_GB2312" w:cs="仿宋_GB2312"/>
          <w:color w:val="auto"/>
          <w:kern w:val="0"/>
          <w:sz w:val="28"/>
          <w:szCs w:val="28"/>
          <w:highlight w:val="none"/>
        </w:rPr>
        <w:t>立井提升</w:t>
      </w:r>
    </w:p>
    <w:p w14:paraId="30A02496">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东区副井采用立井提升，主要用于人员和物料的提升，副井井筒直径7m，提升高度为493 m。装备一个1.5t矿车二层四车非标多绳宽型罐笼，一个1.5t矿车二层四车非标多绳窄型罐笼，采用JKMD-4×4Ⅲ型塔式4绳摩擦轮式提升机，主滚筒及导向轮直径为4m，最大提升速度v=8.8m/s，单钩提升时间150S，目前提人速度4m/s，提物速度8m/s。配套电机为ZKTD-285/63型悬挂式低速直流电动机，功率1800kW，电压900V。钢丝绳采用6×36WS+FC型钢丝绳，直径d=42mm，3根首绳。尾绳采用3根8×4×14型平衡尾绳。</w:t>
      </w:r>
    </w:p>
    <w:p w14:paraId="4DBD60F3">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立井提升存在断绳、坠罐、坠物事故和卡罐、蹲罐事故风险；提升系统运行存在撞伤、挤伤人员事故风险；人员登高施工作业存在坠落事故风险。以上事故可造成破坏立井井筒及相关设施、机电设备等，甚至造成矿井停产。</w:t>
      </w:r>
    </w:p>
    <w:p w14:paraId="07F0EB06">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立井提升可能发生断绳、坠罐、坠箕斗、蹲罐等起重致害事故，发生卡罐、卡箕斗等其他事故；人员坠落、坠物等高处坠落事故。</w:t>
      </w:r>
    </w:p>
    <w:p w14:paraId="3CB3E90A">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（二）斜巷提升</w:t>
      </w:r>
    </w:p>
    <w:p w14:paraId="7BA16D05">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矿井现有副斜井2条</w:t>
      </w:r>
    </w:p>
    <w:p w14:paraId="11D26AE1">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（1）地面副斜井位于长城一矿西区，井口标高+1226m,井底车场标高+920m, 井身平均坡度为24°，巷道长度758m，巷道宽度3.5m，轨道30kg/m，使用JK-3×2.2/30型绞车单钩串车提升，每勾提升MLC-8-6集装箱式矿车3辆，巷道安设防跑车装置3套。</w:t>
      </w:r>
    </w:p>
    <w:p w14:paraId="6A38D7AB">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（2）+650轨道暗斜井位于西区，井口标高+920m,井底车场标高+650m, 井身平均坡度为24.5°，斜巷长度660m。巷道设计宽度3.5m，轨道30kg/m, 使用JKB-3×2.2/30型绞车单钩串车提升，每勾提升MLC-8-6集装箱式矿车3辆，巷道安设防跑车装置3套。</w:t>
      </w:r>
    </w:p>
    <w:p w14:paraId="73B9E99C">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斜巷轨道提升系统可能发生车辆挤人、撞人、钢丝绳伤人、车辆脱轨、车辆相撞、跑车伤人等机械致害事故。一旦发生事故，可造成矿井停产，破坏井巷及相关设施、机电设备等。</w:t>
      </w:r>
    </w:p>
    <w:p w14:paraId="6A2D9130">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（五）辅助运输系统</w:t>
      </w:r>
    </w:p>
    <w:p w14:paraId="77BE8879">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地面副井</w:t>
      </w:r>
    </w:p>
    <w:p w14:paraId="4055BC70">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该系统为单</w:t>
      </w:r>
      <w:r>
        <w:rPr>
          <w:rFonts w:hint="default" w:ascii="仿宋_GB2312" w:hAnsi="仿宋_GB2312" w:eastAsia="仿宋_GB2312" w:cs="仿宋_GB2312"/>
          <w:color w:val="auto"/>
          <w:kern w:val="0"/>
          <w:sz w:val="28"/>
          <w:szCs w:val="28"/>
          <w:highlight w:val="none"/>
          <w:lang w:val="en-US" w:eastAsia="zh-CN"/>
        </w:rPr>
        <w:t>钩</w:t>
      </w:r>
      <w:r>
        <w:rPr>
          <w:rFonts w:hint="default" w:ascii="仿宋_GB2312" w:hAnsi="仿宋_GB2312" w:eastAsia="仿宋_GB2312" w:cs="仿宋_GB2312"/>
          <w:color w:val="auto"/>
          <w:kern w:val="0"/>
          <w:sz w:val="28"/>
          <w:szCs w:val="28"/>
          <w:highlight w:val="none"/>
        </w:rPr>
        <w:t>混合提升，轨道线路总长度为758</w:t>
      </w:r>
      <w:r>
        <w:rPr>
          <w:rFonts w:hint="default" w:ascii="仿宋_GB2312" w:hAnsi="仿宋_GB2312" w:eastAsia="仿宋_GB2312" w:cs="仿宋_GB2312"/>
          <w:color w:val="auto"/>
          <w:kern w:val="0"/>
          <w:sz w:val="28"/>
          <w:szCs w:val="28"/>
          <w:highlight w:val="none"/>
          <w:lang w:eastAsia="zh-CN"/>
        </w:rPr>
        <w:t>m</w:t>
      </w:r>
      <w:r>
        <w:rPr>
          <w:rFonts w:hint="default" w:ascii="仿宋_GB2312" w:hAnsi="仿宋_GB2312" w:eastAsia="仿宋_GB2312" w:cs="仿宋_GB2312"/>
          <w:color w:val="auto"/>
          <w:kern w:val="0"/>
          <w:sz w:val="28"/>
          <w:szCs w:val="28"/>
          <w:highlight w:val="none"/>
        </w:rPr>
        <w:t>，轨型30kg/m，轨距600mm，坡度为24</w:t>
      </w:r>
      <w:r>
        <w:rPr>
          <w:rFonts w:hint="default" w:ascii="仿宋_GB2312" w:hAnsi="仿宋_GB2312" w:eastAsia="仿宋_GB2312" w:cs="仿宋_GB2312"/>
          <w:color w:val="auto"/>
          <w:kern w:val="0"/>
          <w:sz w:val="28"/>
          <w:szCs w:val="28"/>
          <w:highlight w:val="none"/>
          <w:lang w:val="en-US" w:eastAsia="zh-CN"/>
        </w:rPr>
        <w:t>°</w:t>
      </w:r>
      <w:r>
        <w:rPr>
          <w:rFonts w:hint="default" w:ascii="仿宋_GB2312" w:hAnsi="仿宋_GB2312" w:eastAsia="仿宋_GB2312" w:cs="仿宋_GB2312"/>
          <w:color w:val="auto"/>
          <w:kern w:val="0"/>
          <w:sz w:val="28"/>
          <w:szCs w:val="28"/>
          <w:highlight w:val="none"/>
        </w:rPr>
        <w:t>，采用JK-3/20单滚筒提升机串车提升，每钩提升3</w:t>
      </w:r>
      <w:r>
        <w:rPr>
          <w:rFonts w:hint="default" w:ascii="仿宋_GB2312" w:hAnsi="仿宋_GB2312" w:eastAsia="仿宋_GB2312" w:cs="仿宋_GB2312"/>
          <w:color w:val="auto"/>
          <w:kern w:val="0"/>
          <w:sz w:val="28"/>
          <w:szCs w:val="28"/>
          <w:highlight w:val="none"/>
          <w:lang w:val="en-US" w:eastAsia="zh-CN"/>
        </w:rPr>
        <w:t>t</w:t>
      </w:r>
      <w:r>
        <w:rPr>
          <w:rFonts w:hint="default" w:ascii="仿宋_GB2312" w:hAnsi="仿宋_GB2312" w:eastAsia="仿宋_GB2312" w:cs="仿宋_GB2312"/>
          <w:color w:val="auto"/>
          <w:kern w:val="0"/>
          <w:sz w:val="28"/>
          <w:szCs w:val="28"/>
          <w:highlight w:val="none"/>
        </w:rPr>
        <w:t>专用厢式矿车数为3辆</w:t>
      </w:r>
      <w:r>
        <w:rPr>
          <w:rFonts w:hint="default" w:ascii="仿宋_GB2312" w:hAnsi="仿宋_GB2312" w:eastAsia="仿宋_GB2312" w:cs="仿宋_GB2312"/>
          <w:color w:val="auto"/>
          <w:kern w:val="0"/>
          <w:sz w:val="28"/>
          <w:szCs w:val="28"/>
          <w:highlight w:val="none"/>
          <w:lang w:eastAsia="zh-CN"/>
        </w:rPr>
        <w:t>，</w:t>
      </w:r>
      <w:r>
        <w:rPr>
          <w:rFonts w:hint="default" w:ascii="仿宋_GB2312" w:hAnsi="仿宋_GB2312" w:eastAsia="仿宋_GB2312" w:cs="仿宋_GB2312"/>
          <w:color w:val="auto"/>
          <w:kern w:val="0"/>
          <w:sz w:val="28"/>
          <w:szCs w:val="28"/>
          <w:highlight w:val="none"/>
        </w:rPr>
        <w:t>配有正常信号、紧急信号及泄漏通讯三套信号系统。</w:t>
      </w:r>
    </w:p>
    <w:p w14:paraId="78C8E42A">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+650暗斜井</w:t>
      </w:r>
    </w:p>
    <w:p w14:paraId="010E20BF">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该系统为单</w:t>
      </w:r>
      <w:r>
        <w:rPr>
          <w:rFonts w:hint="default" w:ascii="仿宋_GB2312" w:hAnsi="仿宋_GB2312" w:eastAsia="仿宋_GB2312" w:cs="仿宋_GB2312"/>
          <w:color w:val="auto"/>
          <w:kern w:val="0"/>
          <w:sz w:val="28"/>
          <w:szCs w:val="28"/>
          <w:highlight w:val="none"/>
          <w:lang w:val="en-US" w:eastAsia="zh-CN"/>
        </w:rPr>
        <w:t>钩</w:t>
      </w:r>
      <w:r>
        <w:rPr>
          <w:rFonts w:hint="default" w:ascii="仿宋_GB2312" w:hAnsi="仿宋_GB2312" w:eastAsia="仿宋_GB2312" w:cs="仿宋_GB2312"/>
          <w:color w:val="auto"/>
          <w:kern w:val="0"/>
          <w:sz w:val="28"/>
          <w:szCs w:val="28"/>
          <w:highlight w:val="none"/>
        </w:rPr>
        <w:t>混合提升，轨道线路总长度为660</w:t>
      </w:r>
      <w:r>
        <w:rPr>
          <w:rFonts w:hint="default" w:ascii="仿宋_GB2312" w:hAnsi="仿宋_GB2312" w:eastAsia="仿宋_GB2312" w:cs="仿宋_GB2312"/>
          <w:color w:val="auto"/>
          <w:kern w:val="0"/>
          <w:sz w:val="28"/>
          <w:szCs w:val="28"/>
          <w:highlight w:val="none"/>
          <w:lang w:eastAsia="zh-CN"/>
        </w:rPr>
        <w:t>m</w:t>
      </w:r>
      <w:r>
        <w:rPr>
          <w:rFonts w:hint="default" w:ascii="仿宋_GB2312" w:hAnsi="仿宋_GB2312" w:eastAsia="仿宋_GB2312" w:cs="仿宋_GB2312"/>
          <w:color w:val="auto"/>
          <w:kern w:val="0"/>
          <w:sz w:val="28"/>
          <w:szCs w:val="28"/>
          <w:highlight w:val="none"/>
        </w:rPr>
        <w:t>，轨型30kg/m，轨距600mm，坡度为24.5</w:t>
      </w:r>
      <w:r>
        <w:rPr>
          <w:rFonts w:hint="default" w:ascii="仿宋_GB2312" w:hAnsi="仿宋_GB2312" w:eastAsia="仿宋_GB2312" w:cs="仿宋_GB2312"/>
          <w:color w:val="auto"/>
          <w:kern w:val="0"/>
          <w:sz w:val="28"/>
          <w:szCs w:val="28"/>
          <w:highlight w:val="none"/>
          <w:lang w:val="en-US" w:eastAsia="zh-CN"/>
        </w:rPr>
        <w:t>°</w:t>
      </w:r>
      <w:r>
        <w:rPr>
          <w:rFonts w:hint="default" w:ascii="仿宋_GB2312" w:hAnsi="仿宋_GB2312" w:eastAsia="仿宋_GB2312" w:cs="仿宋_GB2312"/>
          <w:color w:val="auto"/>
          <w:kern w:val="0"/>
          <w:sz w:val="28"/>
          <w:szCs w:val="28"/>
          <w:highlight w:val="none"/>
        </w:rPr>
        <w:t>，采用JKB-3/20单滚筒提升机串车提升，每钩提升3</w:t>
      </w:r>
      <w:r>
        <w:rPr>
          <w:rFonts w:hint="default" w:ascii="仿宋_GB2312" w:hAnsi="仿宋_GB2312" w:eastAsia="仿宋_GB2312" w:cs="仿宋_GB2312"/>
          <w:color w:val="auto"/>
          <w:kern w:val="0"/>
          <w:sz w:val="28"/>
          <w:szCs w:val="28"/>
          <w:highlight w:val="none"/>
          <w:lang w:val="en-US" w:eastAsia="zh-CN"/>
        </w:rPr>
        <w:t>t</w:t>
      </w:r>
      <w:r>
        <w:rPr>
          <w:rFonts w:hint="default" w:ascii="仿宋_GB2312" w:hAnsi="仿宋_GB2312" w:eastAsia="仿宋_GB2312" w:cs="仿宋_GB2312"/>
          <w:color w:val="auto"/>
          <w:kern w:val="0"/>
          <w:sz w:val="28"/>
          <w:szCs w:val="28"/>
          <w:highlight w:val="none"/>
        </w:rPr>
        <w:t>专用厢式矿车数为3辆，配有正常信号、紧急信号及泄漏通讯三套信号系统。</w:t>
      </w:r>
    </w:p>
    <w:p w14:paraId="3EE6549A">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地面副井</w:t>
      </w:r>
    </w:p>
    <w:p w14:paraId="5F66A65D">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从地面到+920m水平的副井安设一部架空乘人装置，用于运送人员。型号RJHY90-</w:t>
      </w:r>
      <w:r>
        <w:rPr>
          <w:rFonts w:hint="default" w:ascii="仿宋_GB2312" w:hAnsi="仿宋_GB2312" w:eastAsia="仿宋_GB2312" w:cs="仿宋_GB2312"/>
          <w:color w:val="auto"/>
          <w:kern w:val="0"/>
          <w:sz w:val="28"/>
          <w:szCs w:val="28"/>
          <w:highlight w:val="none"/>
          <w:lang w:val="en-US" w:eastAsia="zh-CN"/>
        </w:rPr>
        <w:t>25</w:t>
      </w:r>
      <w:r>
        <w:rPr>
          <w:rFonts w:hint="default" w:ascii="仿宋_GB2312" w:hAnsi="仿宋_GB2312" w:eastAsia="仿宋_GB2312" w:cs="仿宋_GB2312"/>
          <w:color w:val="auto"/>
          <w:kern w:val="0"/>
          <w:sz w:val="28"/>
          <w:szCs w:val="28"/>
          <w:highlight w:val="none"/>
        </w:rPr>
        <w:t>/2500</w:t>
      </w:r>
      <w:r>
        <w:rPr>
          <w:rFonts w:hint="default" w:ascii="仿宋_GB2312" w:hAnsi="仿宋_GB2312" w:eastAsia="仿宋_GB2312" w:cs="仿宋_GB2312"/>
          <w:color w:val="auto"/>
          <w:kern w:val="0"/>
          <w:sz w:val="28"/>
          <w:szCs w:val="28"/>
          <w:highlight w:val="none"/>
          <w:lang w:eastAsia="zh-CN"/>
        </w:rPr>
        <w:t>（</w:t>
      </w:r>
      <w:r>
        <w:rPr>
          <w:rFonts w:hint="default" w:ascii="仿宋_GB2312" w:hAnsi="仿宋_GB2312" w:eastAsia="仿宋_GB2312" w:cs="仿宋_GB2312"/>
          <w:color w:val="auto"/>
          <w:kern w:val="0"/>
          <w:sz w:val="28"/>
          <w:szCs w:val="28"/>
          <w:highlight w:val="none"/>
        </w:rPr>
        <w:t>A</w:t>
      </w:r>
      <w:r>
        <w:rPr>
          <w:rFonts w:hint="default" w:ascii="仿宋_GB2312" w:hAnsi="仿宋_GB2312" w:eastAsia="仿宋_GB2312" w:cs="仿宋_GB2312"/>
          <w:color w:val="auto"/>
          <w:kern w:val="0"/>
          <w:sz w:val="28"/>
          <w:szCs w:val="28"/>
          <w:highlight w:val="none"/>
          <w:lang w:eastAsia="zh-CN"/>
        </w:rPr>
        <w:t>）</w:t>
      </w:r>
      <w:r>
        <w:rPr>
          <w:rFonts w:hint="default" w:ascii="仿宋_GB2312" w:hAnsi="仿宋_GB2312" w:eastAsia="仿宋_GB2312" w:cs="仿宋_GB2312"/>
          <w:color w:val="auto"/>
          <w:kern w:val="0"/>
          <w:sz w:val="28"/>
          <w:szCs w:val="28"/>
          <w:highlight w:val="none"/>
        </w:rPr>
        <w:t>，长度750</w:t>
      </w:r>
      <w:r>
        <w:rPr>
          <w:rFonts w:hint="default" w:ascii="仿宋_GB2312" w:hAnsi="仿宋_GB2312" w:eastAsia="仿宋_GB2312" w:cs="仿宋_GB2312"/>
          <w:color w:val="auto"/>
          <w:kern w:val="0"/>
          <w:sz w:val="28"/>
          <w:szCs w:val="28"/>
          <w:highlight w:val="none"/>
          <w:lang w:eastAsia="zh-CN"/>
        </w:rPr>
        <w:t>m</w:t>
      </w:r>
      <w:r>
        <w:rPr>
          <w:rFonts w:hint="default" w:ascii="仿宋_GB2312" w:hAnsi="仿宋_GB2312" w:eastAsia="仿宋_GB2312" w:cs="仿宋_GB2312"/>
          <w:color w:val="auto"/>
          <w:kern w:val="0"/>
          <w:sz w:val="28"/>
          <w:szCs w:val="28"/>
          <w:highlight w:val="none"/>
        </w:rPr>
        <w:t>，倾角24</w:t>
      </w:r>
      <w:r>
        <w:rPr>
          <w:rFonts w:hint="default" w:ascii="仿宋_GB2312" w:hAnsi="仿宋_GB2312" w:eastAsia="仿宋_GB2312" w:cs="仿宋_GB2312"/>
          <w:color w:val="auto"/>
          <w:kern w:val="0"/>
          <w:sz w:val="28"/>
          <w:szCs w:val="28"/>
          <w:highlight w:val="none"/>
          <w:lang w:val="en-US" w:eastAsia="zh-CN"/>
        </w:rPr>
        <w:t>°</w:t>
      </w:r>
      <w:r>
        <w:rPr>
          <w:rFonts w:hint="default" w:ascii="仿宋_GB2312" w:hAnsi="仿宋_GB2312" w:eastAsia="仿宋_GB2312" w:cs="仿宋_GB2312"/>
          <w:color w:val="auto"/>
          <w:kern w:val="0"/>
          <w:sz w:val="28"/>
          <w:szCs w:val="28"/>
          <w:highlight w:val="none"/>
        </w:rPr>
        <w:t>，电机功率90</w:t>
      </w:r>
      <w:r>
        <w:rPr>
          <w:rFonts w:hint="default" w:ascii="仿宋_GB2312" w:hAnsi="仿宋_GB2312" w:eastAsia="仿宋_GB2312" w:cs="仿宋_GB2312"/>
          <w:color w:val="auto"/>
          <w:kern w:val="0"/>
          <w:sz w:val="28"/>
          <w:szCs w:val="28"/>
          <w:highlight w:val="none"/>
          <w:lang w:eastAsia="zh-CN"/>
        </w:rPr>
        <w:t>kW</w:t>
      </w:r>
      <w:r>
        <w:rPr>
          <w:rFonts w:hint="default" w:ascii="仿宋_GB2312" w:hAnsi="仿宋_GB2312" w:eastAsia="仿宋_GB2312" w:cs="仿宋_GB2312"/>
          <w:color w:val="auto"/>
          <w:kern w:val="0"/>
          <w:sz w:val="28"/>
          <w:szCs w:val="28"/>
          <w:highlight w:val="none"/>
        </w:rPr>
        <w:t>，运人效率235人/小时，运行速度1.10m/s。</w:t>
      </w:r>
    </w:p>
    <w:p w14:paraId="1F62C423">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地面副立井</w:t>
      </w:r>
    </w:p>
    <w:p w14:paraId="024699A0">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装备一套JKMD-4×4Ⅲ型落地多绳摩擦式提升机，井筒内装备一对一宽一窄的1.5t 矿车二层四车非标罐笼；同时装备玻璃钢梯子间，担负东区材料、设备、人员的辅助提升任务，兼进风并作东区安全出口。</w:t>
      </w:r>
    </w:p>
    <w:p w14:paraId="5160E204">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+1038</w:t>
      </w:r>
      <w:r>
        <w:rPr>
          <w:rFonts w:hint="default" w:ascii="仿宋_GB2312" w:hAnsi="仿宋_GB2312" w:eastAsia="仿宋_GB2312" w:cs="仿宋_GB2312"/>
          <w:color w:val="auto"/>
          <w:kern w:val="0"/>
          <w:sz w:val="28"/>
          <w:szCs w:val="28"/>
          <w:highlight w:val="none"/>
          <w:lang w:val="en-US" w:eastAsia="zh-CN"/>
        </w:rPr>
        <w:t>猴</w:t>
      </w:r>
      <w:r>
        <w:rPr>
          <w:rFonts w:hint="default" w:ascii="仿宋_GB2312" w:hAnsi="仿宋_GB2312" w:eastAsia="仿宋_GB2312" w:cs="仿宋_GB2312"/>
          <w:color w:val="auto"/>
          <w:kern w:val="0"/>
          <w:sz w:val="28"/>
          <w:szCs w:val="28"/>
          <w:highlight w:val="none"/>
        </w:rPr>
        <w:t>车通道</w:t>
      </w:r>
    </w:p>
    <w:p w14:paraId="20C96C91">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从+1038m水平到+650m水平的运人通道安设一部架空乘人装置，用于运送人员。型号RJY75-24/1030，长度1030</w:t>
      </w:r>
      <w:r>
        <w:rPr>
          <w:rFonts w:hint="default" w:ascii="仿宋_GB2312" w:hAnsi="仿宋_GB2312" w:eastAsia="仿宋_GB2312" w:cs="仿宋_GB2312"/>
          <w:color w:val="auto"/>
          <w:kern w:val="0"/>
          <w:sz w:val="28"/>
          <w:szCs w:val="28"/>
          <w:highlight w:val="none"/>
          <w:lang w:eastAsia="zh-CN"/>
        </w:rPr>
        <w:t>m</w:t>
      </w:r>
      <w:r>
        <w:rPr>
          <w:rFonts w:hint="default" w:ascii="仿宋_GB2312" w:hAnsi="仿宋_GB2312" w:eastAsia="仿宋_GB2312" w:cs="仿宋_GB2312"/>
          <w:color w:val="auto"/>
          <w:kern w:val="0"/>
          <w:sz w:val="28"/>
          <w:szCs w:val="28"/>
          <w:highlight w:val="none"/>
        </w:rPr>
        <w:t>，倾角24</w:t>
      </w:r>
      <w:r>
        <w:rPr>
          <w:rFonts w:hint="default" w:ascii="仿宋_GB2312" w:hAnsi="仿宋_GB2312" w:eastAsia="仿宋_GB2312" w:cs="仿宋_GB2312"/>
          <w:color w:val="auto"/>
          <w:kern w:val="0"/>
          <w:sz w:val="28"/>
          <w:szCs w:val="28"/>
          <w:highlight w:val="none"/>
          <w:lang w:val="en-US" w:eastAsia="zh-CN"/>
        </w:rPr>
        <w:t>°</w:t>
      </w:r>
      <w:r>
        <w:rPr>
          <w:rFonts w:hint="default" w:ascii="仿宋_GB2312" w:hAnsi="仿宋_GB2312" w:eastAsia="仿宋_GB2312" w:cs="仿宋_GB2312"/>
          <w:color w:val="auto"/>
          <w:kern w:val="0"/>
          <w:sz w:val="28"/>
          <w:szCs w:val="28"/>
          <w:highlight w:val="none"/>
        </w:rPr>
        <w:t>，电机功率75</w:t>
      </w:r>
      <w:r>
        <w:rPr>
          <w:rFonts w:hint="default" w:ascii="仿宋_GB2312" w:hAnsi="仿宋_GB2312" w:eastAsia="仿宋_GB2312" w:cs="仿宋_GB2312"/>
          <w:color w:val="auto"/>
          <w:kern w:val="0"/>
          <w:sz w:val="28"/>
          <w:szCs w:val="28"/>
          <w:highlight w:val="none"/>
          <w:lang w:eastAsia="zh-CN"/>
        </w:rPr>
        <w:t>kW</w:t>
      </w:r>
      <w:r>
        <w:rPr>
          <w:rFonts w:hint="default" w:ascii="仿宋_GB2312" w:hAnsi="仿宋_GB2312" w:eastAsia="仿宋_GB2312" w:cs="仿宋_GB2312"/>
          <w:color w:val="auto"/>
          <w:kern w:val="0"/>
          <w:sz w:val="28"/>
          <w:szCs w:val="28"/>
          <w:highlight w:val="none"/>
        </w:rPr>
        <w:t>，运人效率340人/小时，运行速度1.13m/s。</w:t>
      </w:r>
    </w:p>
    <w:p w14:paraId="1C6A6547">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rPr>
        <w:t>+920m水平到+</w:t>
      </w:r>
      <w:r>
        <w:rPr>
          <w:rFonts w:hint="default" w:ascii="仿宋_GB2312" w:hAnsi="仿宋_GB2312" w:eastAsia="仿宋_GB2312" w:cs="仿宋_GB2312"/>
          <w:color w:val="auto"/>
          <w:kern w:val="0"/>
          <w:sz w:val="28"/>
          <w:szCs w:val="28"/>
          <w:highlight w:val="none"/>
          <w:lang w:val="en-US" w:eastAsia="zh-CN"/>
        </w:rPr>
        <w:t>650</w:t>
      </w:r>
      <w:r>
        <w:rPr>
          <w:rFonts w:hint="default" w:ascii="仿宋_GB2312" w:hAnsi="仿宋_GB2312" w:eastAsia="仿宋_GB2312" w:cs="仿宋_GB2312"/>
          <w:color w:val="auto"/>
          <w:kern w:val="0"/>
          <w:sz w:val="28"/>
          <w:szCs w:val="28"/>
          <w:highlight w:val="none"/>
        </w:rPr>
        <w:t>m水平的采区巷道、掘进迎头已实现单轨吊网络化运输，该区域共布置</w:t>
      </w:r>
      <w:r>
        <w:rPr>
          <w:rFonts w:hint="default" w:ascii="仿宋_GB2312" w:hAnsi="仿宋_GB2312" w:eastAsia="仿宋_GB2312" w:cs="仿宋_GB2312"/>
          <w:color w:val="auto"/>
          <w:kern w:val="0"/>
          <w:sz w:val="28"/>
          <w:szCs w:val="28"/>
          <w:highlight w:val="none"/>
          <w:lang w:eastAsia="zh"/>
        </w:rPr>
        <w:t>2</w:t>
      </w:r>
      <w:r>
        <w:rPr>
          <w:rFonts w:hint="default" w:ascii="仿宋_GB2312" w:hAnsi="仿宋_GB2312" w:eastAsia="仿宋_GB2312" w:cs="仿宋_GB2312"/>
          <w:color w:val="auto"/>
          <w:kern w:val="0"/>
          <w:sz w:val="28"/>
          <w:szCs w:val="28"/>
          <w:highlight w:val="none"/>
        </w:rPr>
        <w:t>部单轨吊机车，每部机车配备三组起吊梁运输物料。</w:t>
      </w:r>
    </w:p>
    <w:p w14:paraId="343DEEDB">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lang w:val="en-US" w:eastAsia="zh-CN"/>
        </w:rPr>
        <w:t>东区大巷辅助运输：辅助运输采用地轨电机车+单轨吊运输模式，使用蓄电池电机车、单轨吊2种运输设备，实现连续化运输。</w:t>
      </w:r>
    </w:p>
    <w:p w14:paraId="0FBE2A56">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lang w:val="en-US" w:eastAsia="zh-CN"/>
        </w:rPr>
        <w:t>四采区辅助运输：辅助运输采用单轨吊运输模式，使用单轨吊1种运输设备，实现连续化运输。</w:t>
      </w:r>
    </w:p>
    <w:p w14:paraId="00EDFF65">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lang w:val="en-US" w:eastAsia="zh-CN"/>
        </w:rPr>
        <w:t>五采区辅助运输：辅助运输采用单轨吊运输模式，使用单轨吊1种运输设备，实现连续化运输</w:t>
      </w:r>
      <w:bookmarkEnd w:id="559"/>
      <w:r>
        <w:rPr>
          <w:rFonts w:hint="eastAsia" w:ascii="仿宋_GB2312" w:hAnsi="仿宋_GB2312" w:eastAsia="仿宋_GB2312" w:cs="仿宋_GB2312"/>
          <w:color w:val="auto"/>
          <w:kern w:val="0"/>
          <w:sz w:val="28"/>
          <w:szCs w:val="28"/>
          <w:highlight w:val="none"/>
          <w:lang w:val="en-US" w:eastAsia="zh-CN"/>
        </w:rPr>
        <w:t>。</w:t>
      </w:r>
    </w:p>
    <w:p w14:paraId="4579A41F">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（六）排水系统</w:t>
      </w:r>
    </w:p>
    <w:p w14:paraId="61E271A0">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矿井排水方式为东区立井直排,西区接力排水,井下共设三个中央泵房，分别为东区+750中央泵房,西区+920中央泵房、+650中央泵房。矿井排水能力符合《煤矿安全规程》要求。具体情况如下：</w:t>
      </w:r>
    </w:p>
    <w:p w14:paraId="3B7734B2">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1）东区+750中央泵房主要负责+750水平排水，泵房长55米，支护方式为锚网喷支护。水平正常涌水量67m3/h，最大涌水量105m3/h，安装MD580-60×10水泵3台，配套YB3-560I-4电机，功率1400kW，电压等级10kV，使用两趟Φ325mm排水管路立排至地面，单趟管路长600米。设置内、外环水仓，总容积4780m³。泵房高低压供电采用双回路供电模式，单回路能承担全部用电负荷；控制电源为不间断电源供电，供电可靠性较高；泵房已实现自动化远程集控并执行轮值制度。2025年矿井排水系统检测泵房最大排水能力为1075.17m3/h，满足《煤矿安全规程》要求。</w:t>
      </w:r>
    </w:p>
    <w:p w14:paraId="50E61271">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2）+920中央泵房主要负责+920水平排水，泵房长34米，支护方式为锚网喷支护。水平正常涌水量128m3/h，最大涌水量174m3/h，安装MD450-60×6水泵4台，配套YB630S2-4电机，功率710kW，电压等级10kV，通过两趟管径为Φ299mm的管路排至地面，单趟管路长878米。设置内、外环水仓，总容积2080m³。泵房高低压供电采用双回路供电模式，单回路能承担全部用电负荷；控制电源为不间断电源供电，供电可靠性较高；泵房已实现自动化远程集控并执行轮值制度。2025年矿井排水系统检测泵房最大排水能力为1002.22m3/h，满足《煤矿安全规程》要求。</w:t>
      </w:r>
    </w:p>
    <w:p w14:paraId="42E3437F">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3）+650中央泵房主要负责+650水平排水，泵房长35米，支护方式为锚网喷支护。水平正常涌水量24m3/h，最大涌水量48m3/h，安装MDS420-96×4水泵3台，配套YBJC5002-4电机，功率630kW，电压等级10kV，使用两趟Φ299mm排水管排至+920水平，单趟管路长692米。设置内、外环水仓，总容积2878m³。泵房高低压供电采用双回路供电模式，单回路能承担全部用电负荷；控制电源为不间断电源供电，供电可靠性较高；泵房已实现自动化远程集控并执行轮值制度。2025年矿井排水系统检测泵房最大排水能力为851.89m3/h，满足煤矿安全规程要求</w:t>
      </w:r>
      <w:r>
        <w:rPr>
          <w:rFonts w:hint="eastAsia" w:ascii="仿宋_GB2312" w:hAnsi="仿宋_GB2312" w:eastAsia="仿宋_GB2312" w:cs="仿宋_GB2312"/>
          <w:color w:val="auto"/>
          <w:kern w:val="0"/>
          <w:sz w:val="28"/>
          <w:szCs w:val="28"/>
          <w:highlight w:val="none"/>
          <w:lang w:val="en-US" w:eastAsia="zh-CN"/>
        </w:rPr>
        <w:t>。主要排水系统实现远程操作、无人值守。</w:t>
      </w:r>
    </w:p>
    <w:p w14:paraId="1BB601AC">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（七）供电系统</w:t>
      </w:r>
    </w:p>
    <w:p w14:paraId="2529345A">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矿井10kV配电系统采用放射式馈出，引自矿井西区35kV箱式变电站10kV母线。</w:t>
      </w:r>
    </w:p>
    <w:p w14:paraId="4DC7BBD0">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主斜井井口房变配电室、副斜井提升机房变配电室、通风机房配电室、空压机房配电室、工业场地水处理站10/0.4kV箱变、锅炉房10/0.4kV变电所均采用双回路供电，单身宿舍箱变为单回路供电。</w:t>
      </w:r>
    </w:p>
    <w:p w14:paraId="611C910C">
      <w:pPr>
        <w:spacing w:line="440" w:lineRule="exact"/>
        <w:ind w:firstLine="560" w:firstLineChars="200"/>
        <w:outlineLvl w:val="9"/>
        <w:rPr>
          <w:rFonts w:hint="default" w:ascii="仿宋_GB2312" w:hAnsi="仿宋_GB2312" w:eastAsia="仿宋_GB2312" w:cs="仿宋_GB2312"/>
          <w:color w:val="auto"/>
          <w:kern w:val="0"/>
          <w:sz w:val="28"/>
          <w:szCs w:val="28"/>
          <w:highlight w:val="none"/>
          <w:lang w:val="en-US" w:eastAsia="zh-CN"/>
        </w:rPr>
      </w:pPr>
      <w:r>
        <w:rPr>
          <w:rFonts w:hint="default" w:ascii="仿宋_GB2312" w:hAnsi="仿宋_GB2312" w:eastAsia="仿宋_GB2312" w:cs="仿宋_GB2312"/>
          <w:color w:val="auto"/>
          <w:kern w:val="0"/>
          <w:sz w:val="28"/>
          <w:szCs w:val="28"/>
          <w:highlight w:val="none"/>
          <w:lang w:val="en-US" w:eastAsia="zh-CN"/>
        </w:rPr>
        <w:t>主斜井井口房变配电室设KYN28-12型高压开关柜17台担负着主斜井胶带运输机的供配电。副斜井提升机房变配电室、通风机房配电室、空压机房配电室等变配电室均采用现有的供配电设备，担负现有副斜井提升机、通风机、压风机等用电设备负荷的供配电。</w:t>
      </w:r>
    </w:p>
    <w:p w14:paraId="65A4E20B">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default" w:ascii="仿宋_GB2312" w:hAnsi="仿宋_GB2312" w:eastAsia="仿宋_GB2312" w:cs="仿宋_GB2312"/>
          <w:color w:val="auto"/>
          <w:kern w:val="0"/>
          <w:sz w:val="28"/>
          <w:szCs w:val="28"/>
          <w:highlight w:val="none"/>
          <w:lang w:val="en-US" w:eastAsia="zh-CN"/>
        </w:rPr>
        <w:t>东区副立井提升机房变配电室、东区通风机房配电室、东区空压机房配电室均采用双回路供电，东区制氮机房采用单回路供电，其电源均引自东区10kV变电所。副立井提升机房变配电室内设全数字直流提升机电控装置1套主要担负着副立井提升机的供配电。东区通风机房配电室内设KYN28-12型高压开关柜13台，主要担负通风机的供配电。东区空压机房配电室内设KYN28-12型高压开关柜14台，主要担负压风机、锅炉房、日用消防水泵房、井口房等地面低压供配电。东区制氮机房变电所设KYN28-12型高压开关柜6台，主要供制氮机房本身供电。</w:t>
      </w:r>
    </w:p>
    <w:p w14:paraId="2B937540">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（八）</w:t>
      </w:r>
      <w:r>
        <w:rPr>
          <w:rFonts w:ascii="仿宋_GB2312" w:hAnsi="仿宋_GB2312" w:eastAsia="仿宋_GB2312" w:cs="仿宋_GB2312"/>
          <w:color w:val="auto"/>
          <w:kern w:val="0"/>
          <w:sz w:val="28"/>
          <w:szCs w:val="28"/>
          <w:highlight w:val="none"/>
        </w:rPr>
        <w:t>安全避险六大系统</w:t>
      </w:r>
    </w:p>
    <w:p w14:paraId="6BD55E7C">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1.监测监控系统。矿井现使用</w:t>
      </w:r>
      <w:r>
        <w:rPr>
          <w:rFonts w:hint="default" w:ascii="仿宋_GB2312" w:hAnsi="仿宋_GB2312" w:eastAsia="仿宋_GB2312" w:cs="仿宋_GB2312"/>
          <w:color w:val="auto"/>
          <w:kern w:val="0"/>
          <w:sz w:val="28"/>
          <w:szCs w:val="28"/>
          <w:highlight w:val="none"/>
        </w:rPr>
        <w:t>淄博瑞安特自控设备有限公司生产的KJ76X安全监控系统</w:t>
      </w:r>
      <w:r>
        <w:rPr>
          <w:rFonts w:hint="eastAsia" w:ascii="仿宋_GB2312" w:hAnsi="仿宋_GB2312" w:eastAsia="仿宋_GB2312" w:cs="仿宋_GB2312"/>
          <w:color w:val="auto"/>
          <w:kern w:val="0"/>
          <w:sz w:val="28"/>
          <w:szCs w:val="28"/>
          <w:highlight w:val="none"/>
        </w:rPr>
        <w:t>，</w:t>
      </w:r>
      <w:r>
        <w:rPr>
          <w:rFonts w:hint="default" w:ascii="仿宋_GB2312" w:hAnsi="仿宋_GB2312" w:eastAsia="仿宋_GB2312" w:cs="仿宋_GB2312"/>
          <w:color w:val="auto"/>
          <w:kern w:val="0"/>
          <w:sz w:val="28"/>
          <w:szCs w:val="28"/>
          <w:highlight w:val="none"/>
        </w:rPr>
        <w:t>现安装有环网交换机4台，监控分站</w:t>
      </w:r>
      <w:r>
        <w:rPr>
          <w:rFonts w:hint="default" w:ascii="仿宋_GB2312" w:hAnsi="仿宋_GB2312" w:eastAsia="仿宋_GB2312" w:cs="仿宋_GB2312"/>
          <w:color w:val="auto"/>
          <w:kern w:val="0"/>
          <w:sz w:val="28"/>
          <w:szCs w:val="28"/>
          <w:highlight w:val="none"/>
          <w:lang w:eastAsia="zh"/>
        </w:rPr>
        <w:t>4</w:t>
      </w:r>
      <w:r>
        <w:rPr>
          <w:rFonts w:hint="default" w:ascii="仿宋_GB2312" w:hAnsi="仿宋_GB2312" w:eastAsia="仿宋_GB2312" w:cs="仿宋_GB2312"/>
          <w:color w:val="auto"/>
          <w:kern w:val="0"/>
          <w:sz w:val="28"/>
          <w:szCs w:val="28"/>
          <w:highlight w:val="none"/>
          <w:lang w:val="en-US" w:eastAsia="zh-CN"/>
        </w:rPr>
        <w:t>1</w:t>
      </w:r>
      <w:r>
        <w:rPr>
          <w:rFonts w:hint="default" w:ascii="仿宋_GB2312" w:hAnsi="仿宋_GB2312" w:eastAsia="仿宋_GB2312" w:cs="仿宋_GB2312"/>
          <w:color w:val="auto"/>
          <w:kern w:val="0"/>
          <w:sz w:val="28"/>
          <w:szCs w:val="28"/>
          <w:highlight w:val="none"/>
        </w:rPr>
        <w:t>台，各类传感器</w:t>
      </w:r>
      <w:r>
        <w:rPr>
          <w:rFonts w:hint="default" w:ascii="仿宋_GB2312" w:hAnsi="仿宋_GB2312" w:eastAsia="仿宋_GB2312" w:cs="仿宋_GB2312"/>
          <w:color w:val="auto"/>
          <w:kern w:val="0"/>
          <w:sz w:val="28"/>
          <w:szCs w:val="28"/>
          <w:highlight w:val="none"/>
          <w:lang w:eastAsia="zh"/>
        </w:rPr>
        <w:t>3</w:t>
      </w:r>
      <w:r>
        <w:rPr>
          <w:rFonts w:hint="default" w:ascii="仿宋_GB2312" w:hAnsi="仿宋_GB2312" w:eastAsia="仿宋_GB2312" w:cs="仿宋_GB2312"/>
          <w:color w:val="auto"/>
          <w:kern w:val="0"/>
          <w:sz w:val="28"/>
          <w:szCs w:val="28"/>
          <w:highlight w:val="none"/>
          <w:lang w:val="en-US" w:eastAsia="zh-CN"/>
        </w:rPr>
        <w:t>34</w:t>
      </w:r>
      <w:r>
        <w:rPr>
          <w:rFonts w:hint="default" w:ascii="仿宋_GB2312" w:hAnsi="仿宋_GB2312" w:eastAsia="仿宋_GB2312" w:cs="仿宋_GB2312"/>
          <w:color w:val="auto"/>
          <w:kern w:val="0"/>
          <w:sz w:val="28"/>
          <w:szCs w:val="28"/>
          <w:highlight w:val="none"/>
        </w:rPr>
        <w:t>余台</w:t>
      </w:r>
      <w:r>
        <w:rPr>
          <w:rFonts w:hint="eastAsia" w:ascii="仿宋_GB2312" w:hAnsi="仿宋_GB2312" w:eastAsia="仿宋_GB2312" w:cs="仿宋_GB2312"/>
          <w:color w:val="auto"/>
          <w:kern w:val="0"/>
          <w:sz w:val="28"/>
          <w:szCs w:val="28"/>
          <w:highlight w:val="none"/>
        </w:rPr>
        <w:t>，主通讯光缆沿回风</w:t>
      </w:r>
      <w:r>
        <w:rPr>
          <w:rFonts w:hint="eastAsia" w:ascii="仿宋_GB2312" w:hAnsi="仿宋_GB2312" w:eastAsia="仿宋_GB2312" w:cs="仿宋_GB2312"/>
          <w:color w:val="auto"/>
          <w:kern w:val="0"/>
          <w:sz w:val="28"/>
          <w:szCs w:val="28"/>
          <w:highlight w:val="none"/>
          <w:lang w:val="en-US" w:eastAsia="zh-CN"/>
        </w:rPr>
        <w:t>斜井</w:t>
      </w:r>
      <w:r>
        <w:rPr>
          <w:rFonts w:hint="eastAsia" w:ascii="仿宋_GB2312" w:hAnsi="仿宋_GB2312" w:eastAsia="仿宋_GB2312" w:cs="仿宋_GB2312"/>
          <w:color w:val="auto"/>
          <w:kern w:val="0"/>
          <w:sz w:val="28"/>
          <w:szCs w:val="28"/>
          <w:highlight w:val="none"/>
        </w:rPr>
        <w:t>敷设至+</w:t>
      </w:r>
      <w:r>
        <w:rPr>
          <w:rFonts w:hint="eastAsia" w:ascii="仿宋_GB2312" w:hAnsi="仿宋_GB2312" w:eastAsia="仿宋_GB2312" w:cs="仿宋_GB2312"/>
          <w:color w:val="auto"/>
          <w:kern w:val="0"/>
          <w:sz w:val="28"/>
          <w:szCs w:val="28"/>
          <w:highlight w:val="none"/>
          <w:lang w:val="en-US" w:eastAsia="zh-CN"/>
        </w:rPr>
        <w:t>75</w:t>
      </w:r>
      <w:r>
        <w:rPr>
          <w:rFonts w:hint="eastAsia" w:ascii="仿宋_GB2312" w:hAnsi="仿宋_GB2312" w:eastAsia="仿宋_GB2312" w:cs="仿宋_GB2312"/>
          <w:color w:val="auto"/>
          <w:kern w:val="0"/>
          <w:sz w:val="28"/>
          <w:szCs w:val="28"/>
          <w:highlight w:val="none"/>
        </w:rPr>
        <w:t>0水平</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920水平</w:t>
      </w:r>
      <w:r>
        <w:rPr>
          <w:rFonts w:hint="eastAsia" w:ascii="仿宋_GB2312" w:hAnsi="仿宋_GB2312" w:eastAsia="仿宋_GB2312" w:cs="仿宋_GB2312"/>
          <w:color w:val="auto"/>
          <w:kern w:val="0"/>
          <w:sz w:val="28"/>
          <w:szCs w:val="28"/>
          <w:highlight w:val="none"/>
        </w:rPr>
        <w:t>，形成安全监控工业环网。</w:t>
      </w:r>
    </w:p>
    <w:p w14:paraId="49297A06">
      <w:pPr>
        <w:keepNext w:val="0"/>
        <w:keepLines w:val="0"/>
        <w:pageBreakBefore w:val="0"/>
        <w:widowControl w:val="0"/>
        <w:suppressLineNumbers w:val="0"/>
        <w:kinsoku/>
        <w:wordWrap/>
        <w:overflowPunct/>
        <w:autoSpaceDE w:val="0"/>
        <w:autoSpaceDN/>
        <w:bidi w:val="0"/>
        <w:spacing w:before="0" w:beforeAutospacing="0" w:after="0" w:afterAutospacing="0" w:line="560" w:lineRule="exact"/>
        <w:ind w:left="0" w:right="0" w:firstLine="560" w:firstLineChars="200"/>
        <w:jc w:val="both"/>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2.人员定位系统。</w:t>
      </w:r>
      <w:r>
        <w:rPr>
          <w:rFonts w:hint="default" w:ascii="仿宋_GB2312" w:hAnsi="仿宋_GB2312" w:eastAsia="仿宋_GB2312" w:cs="仿宋_GB2312"/>
          <w:color w:val="auto"/>
          <w:kern w:val="0"/>
          <w:sz w:val="28"/>
          <w:szCs w:val="28"/>
          <w:highlight w:val="none"/>
          <w:lang w:val="en-US" w:eastAsia="zh-CN"/>
        </w:rPr>
        <w:t>矿井使用北斗天地股份有限公司生产的KJ1591J（A）型人员定位系统，井口配备唯一性人员检测门6台，4入2出，副井、主井、副立井、主运大巷、车场、采区原煤运输、掘进工作面、采区工作面、中央变电所、主排水泵房等其他重要的人员、区域覆盖定位信号，东区、西区基站就近接入工环网，在矿调度室安装监控上位机 2台，用于监控东区、西区井下人员作业情况。系统具备井下人员考勤、基站信息处理、人员信息管理、历史轨迹查询、井下人员监测查询、报警、考勤统计、人员超时管理、超员报警管理、区域设定管理、设备故障记录查询功能和各类信息查询报表及打印功能、双机备份，主、备机能够自动切换。</w:t>
      </w:r>
    </w:p>
    <w:p w14:paraId="6E579D23">
      <w:pPr>
        <w:spacing w:line="440" w:lineRule="exact"/>
        <w:ind w:firstLine="560" w:firstLineChars="200"/>
        <w:outlineLvl w:val="9"/>
        <w:rPr>
          <w:rFonts w:hint="default"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3.紧急避险系统。</w:t>
      </w:r>
      <w:r>
        <w:rPr>
          <w:rFonts w:hint="default" w:ascii="仿宋_GB2312" w:hAnsi="仿宋_GB2312" w:eastAsia="仿宋_GB2312" w:cs="仿宋_GB2312"/>
          <w:color w:val="auto"/>
          <w:kern w:val="0"/>
          <w:sz w:val="28"/>
          <w:szCs w:val="28"/>
          <w:highlight w:val="none"/>
          <w:lang w:val="en-US" w:eastAsia="zh-CN"/>
        </w:rPr>
        <w:t>根据采掘布置，西区+920水平、东区+750水平各设1个永久避难硐室。井下设置自救器补给站，满足矿井避险需求。</w:t>
      </w:r>
    </w:p>
    <w:p w14:paraId="12AB0637">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矿井与山东能源集团鲁西矿业有限公司应急管理分公司签订煤矿救护技术服务协议书，由内蒙</w:t>
      </w:r>
      <w:r>
        <w:rPr>
          <w:rFonts w:hint="eastAsia" w:ascii="仿宋_GB2312" w:hAnsi="仿宋_GB2312" w:eastAsia="仿宋_GB2312" w:cs="仿宋_GB2312"/>
          <w:color w:val="auto"/>
          <w:kern w:val="0"/>
          <w:sz w:val="28"/>
          <w:szCs w:val="28"/>
          <w:highlight w:val="none"/>
          <w:lang w:eastAsia="zh-CN"/>
        </w:rPr>
        <w:t>山能救护二大队</w:t>
      </w:r>
      <w:r>
        <w:rPr>
          <w:rFonts w:hint="eastAsia" w:ascii="仿宋_GB2312" w:hAnsi="仿宋_GB2312" w:eastAsia="仿宋_GB2312" w:cs="仿宋_GB2312"/>
          <w:color w:val="auto"/>
          <w:kern w:val="0"/>
          <w:sz w:val="28"/>
          <w:szCs w:val="28"/>
          <w:highlight w:val="none"/>
        </w:rPr>
        <w:t>提供救护服务。</w:t>
      </w:r>
    </w:p>
    <w:p w14:paraId="4FFE7809">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bookmarkStart w:id="560" w:name="OLE_LINK5"/>
      <w:r>
        <w:rPr>
          <w:rFonts w:hint="eastAsia" w:ascii="仿宋_GB2312" w:hAnsi="仿宋_GB2312" w:eastAsia="仿宋_GB2312" w:cs="仿宋_GB2312"/>
          <w:color w:val="auto"/>
          <w:kern w:val="0"/>
          <w:sz w:val="28"/>
          <w:szCs w:val="28"/>
          <w:highlight w:val="none"/>
        </w:rPr>
        <w:t>4.压风自救系统。</w:t>
      </w:r>
      <w:r>
        <w:rPr>
          <w:rFonts w:hint="eastAsia" w:ascii="仿宋_GB2312" w:hAnsi="仿宋_GB2312" w:eastAsia="仿宋_GB2312" w:cs="仿宋_GB2312"/>
          <w:color w:val="auto"/>
          <w:kern w:val="0"/>
          <w:sz w:val="28"/>
          <w:szCs w:val="28"/>
          <w:highlight w:val="none"/>
          <w:lang w:val="en-US" w:eastAsia="zh-CN"/>
        </w:rPr>
        <w:t>西区地面压风机房安装1台M-2OO型风冷螺杆式空气压缩机，单台排气量45m³/min，额定排气压力0.8MPa；1台LGFD-41.5/0.8型风冷螺杆式空气压缩机，单台排气量41.5m³/min、额定排气压力0.8MPa；3台MGF-30.4/8-185G型风冷螺杆式空气压缩机，单台排气量30.4m³/min、额定排气压力0.8MPa，二用三备。压风管路采用一趟</w:t>
      </w:r>
      <w:r>
        <w:rPr>
          <w:rFonts w:hint="eastAsia" w:ascii="仿宋_GB2312" w:hAnsi="仿宋_GB2312" w:eastAsia="仿宋_GB2312" w:cs="仿宋_GB2312"/>
          <w:color w:val="auto"/>
          <w:kern w:val="0"/>
          <w:sz w:val="28"/>
          <w:szCs w:val="28"/>
          <w:highlight w:val="none"/>
          <w:lang w:val="zh-CN" w:eastAsia="zh-CN"/>
        </w:rPr>
        <w:t>φ</w:t>
      </w:r>
      <w:r>
        <w:rPr>
          <w:rFonts w:hint="eastAsia" w:ascii="仿宋_GB2312" w:hAnsi="仿宋_GB2312" w:eastAsia="仿宋_GB2312" w:cs="仿宋_GB2312"/>
          <w:color w:val="auto"/>
          <w:kern w:val="0"/>
          <w:sz w:val="28"/>
          <w:szCs w:val="28"/>
          <w:highlight w:val="none"/>
          <w:lang w:val="en-US" w:eastAsia="zh-CN"/>
        </w:rPr>
        <w:t>108PVC管沿回风斜井敷设至+920m大巷</w:t>
      </w:r>
      <w:r>
        <w:rPr>
          <w:rFonts w:hint="eastAsia" w:ascii="仿宋_GB2312" w:hAnsi="仿宋_GB2312" w:eastAsia="仿宋_GB2312" w:cs="仿宋_GB2312"/>
          <w:color w:val="auto"/>
          <w:kern w:val="0"/>
          <w:sz w:val="28"/>
          <w:szCs w:val="28"/>
          <w:highlight w:val="none"/>
          <w:lang w:val="zh-CN" w:eastAsia="zh-CN"/>
        </w:rPr>
        <w:t>敷设。</w:t>
      </w:r>
      <w:r>
        <w:rPr>
          <w:rFonts w:hint="eastAsia" w:ascii="仿宋_GB2312" w:hAnsi="仿宋_GB2312" w:eastAsia="仿宋_GB2312" w:cs="仿宋_GB2312"/>
          <w:color w:val="auto"/>
          <w:kern w:val="0"/>
          <w:sz w:val="28"/>
          <w:szCs w:val="28"/>
          <w:highlight w:val="none"/>
          <w:lang w:val="en-US" w:eastAsia="zh-CN"/>
        </w:rPr>
        <w:t>东区地面压风机房安装2台BLT-375A/8型风冷螺杆式空气压缩机，单台排气量50m³/min，额定排气压力0.85MPa；1台SA355A-3G-C型风冷螺杆式空气压缩机，单台排气量63m³/min、额定排气压力0.85MPa，一用三备。压风管路采用一趟</w:t>
      </w:r>
      <w:r>
        <w:rPr>
          <w:rFonts w:hint="eastAsia" w:ascii="仿宋_GB2312" w:hAnsi="仿宋_GB2312" w:eastAsia="仿宋_GB2312" w:cs="仿宋_GB2312"/>
          <w:color w:val="auto"/>
          <w:kern w:val="0"/>
          <w:sz w:val="28"/>
          <w:szCs w:val="28"/>
          <w:highlight w:val="none"/>
          <w:lang w:val="zh-CN" w:eastAsia="zh-CN"/>
        </w:rPr>
        <w:t>φ</w:t>
      </w:r>
      <w:r>
        <w:rPr>
          <w:rFonts w:hint="eastAsia" w:ascii="仿宋_GB2312" w:hAnsi="仿宋_GB2312" w:eastAsia="仿宋_GB2312" w:cs="仿宋_GB2312"/>
          <w:color w:val="auto"/>
          <w:kern w:val="0"/>
          <w:sz w:val="28"/>
          <w:szCs w:val="28"/>
          <w:highlight w:val="none"/>
          <w:lang w:val="en-US" w:eastAsia="zh-CN"/>
        </w:rPr>
        <w:t>159钢管沿副立井敷设至+750m大巷</w:t>
      </w:r>
      <w:r>
        <w:rPr>
          <w:rFonts w:hint="eastAsia" w:ascii="仿宋_GB2312" w:hAnsi="仿宋_GB2312" w:eastAsia="仿宋_GB2312" w:cs="仿宋_GB2312"/>
          <w:color w:val="auto"/>
          <w:kern w:val="0"/>
          <w:sz w:val="28"/>
          <w:szCs w:val="28"/>
          <w:highlight w:val="none"/>
        </w:rPr>
        <w:t>。</w:t>
      </w:r>
    </w:p>
    <w:p w14:paraId="2D012423">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5.供水施救系统。掘进及采煤工作面上、下巷供水施救装置安设在距工作面25-40m范围内，供水施救装置与供水管路之间采用10mm高压胶管与三通进行连接。</w:t>
      </w:r>
    </w:p>
    <w:bookmarkEnd w:id="560"/>
    <w:p w14:paraId="617491B7">
      <w:pPr>
        <w:spacing w:line="440" w:lineRule="exact"/>
        <w:ind w:firstLine="560" w:firstLineChars="200"/>
        <w:outlineLvl w:val="9"/>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val="en-US" w:eastAsia="zh-CN"/>
        </w:rPr>
        <w:t>本矿井设置一套井下广播对讲系统，应急广播系统采用南京北路KJ113井下广播系统，共计安装43部广播话机，系统可通过KJJ85网络传输接口与工作面扩播话机融合，系统具备网络广播、扩音对讲等功能。在人员经常活动的区域、永久避难硐室和临时避难硐室、提升系统、中央变电所、中央水泵房均进行了覆盖</w:t>
      </w:r>
      <w:r>
        <w:rPr>
          <w:rFonts w:hint="eastAsia" w:ascii="仿宋_GB2312" w:hAnsi="仿宋_GB2312" w:eastAsia="仿宋_GB2312" w:cs="仿宋_GB2312"/>
          <w:color w:val="auto"/>
          <w:kern w:val="0"/>
          <w:sz w:val="28"/>
          <w:szCs w:val="28"/>
          <w:highlight w:val="none"/>
        </w:rPr>
        <w:t>，保证作业场所的应急需求。</w:t>
      </w:r>
    </w:p>
    <w:p w14:paraId="006C1A35">
      <w:pPr>
        <w:spacing w:line="440" w:lineRule="exact"/>
        <w:ind w:firstLine="560" w:firstLineChars="200"/>
        <w:jc w:val="both"/>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7.长城一矿洗煤厂位于内蒙古自治区西南部鄂托克前旗上海庙能源化工基地，是一座群矿型炼焦煤洗煤厂，2008 年 8 月开工建设，2010 年 6月一期工程（设计洗选能力 1.8Mt/a）投入生产，2012 年 12 月二期工程（设计洗选能力 4.0Mt/a）投入生产，总设计入洗能力 7.0Mt/a。主体工艺为 1.0mm 预先脱泥，+1.0mm 两段有压两产品重介旋流器分选，0.25-1.0mmTZS+螺旋分选机分选，-0.25mm 浮选柱二次分选，煤泥浓缩压滤。</w:t>
      </w:r>
    </w:p>
    <w:p w14:paraId="16FE5590">
      <w:pPr>
        <w:spacing w:line="440" w:lineRule="exact"/>
        <w:ind w:firstLine="560" w:firstLineChars="200"/>
        <w:jc w:val="both"/>
        <w:outlineLvl w:val="9"/>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8.长城一矿锅炉房型号SZL15-1.25-AIl锅炉2台，额定发热量15t/h，额定蒸气温度194℃，额定工作压力1.25MPa，负责矿井供暖。</w:t>
      </w:r>
    </w:p>
    <w:p w14:paraId="23B0FA74">
      <w:pPr>
        <w:pStyle w:val="35"/>
        <w:rPr>
          <w:rFonts w:hint="eastAsia"/>
          <w:lang w:val="en-US" w:eastAsia="zh-CN"/>
        </w:rPr>
      </w:pPr>
    </w:p>
    <w:p w14:paraId="39E8298E">
      <w:pPr>
        <w:spacing w:line="440" w:lineRule="exact"/>
        <w:ind w:firstLine="560" w:firstLineChars="200"/>
        <w:outlineLvl w:val="9"/>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br w:type="page"/>
      </w:r>
    </w:p>
    <w:bookmarkEnd w:id="548"/>
    <w:bookmarkEnd w:id="549"/>
    <w:bookmarkEnd w:id="550"/>
    <w:bookmarkEnd w:id="551"/>
    <w:bookmarkEnd w:id="552"/>
    <w:bookmarkEnd w:id="553"/>
    <w:bookmarkEnd w:id="554"/>
    <w:p w14:paraId="7A65B673">
      <w:pPr>
        <w:autoSpaceDE w:val="0"/>
        <w:autoSpaceDN w:val="0"/>
        <w:adjustRightInd w:val="0"/>
        <w:snapToGrid w:val="0"/>
        <w:spacing w:line="560" w:lineRule="exact"/>
        <w:jc w:val="left"/>
        <w:outlineLvl w:val="0"/>
        <w:rPr>
          <w:rFonts w:ascii="黑体" w:hAnsi="黑体" w:eastAsia="黑体" w:cs="黑体"/>
          <w:color w:val="auto"/>
          <w:sz w:val="30"/>
          <w:szCs w:val="30"/>
          <w:highlight w:val="none"/>
          <w:lang w:bidi="zh-CN"/>
        </w:rPr>
      </w:pPr>
      <w:bookmarkStart w:id="561" w:name="_Toc5586"/>
      <w:bookmarkStart w:id="562" w:name="_Toc26868"/>
      <w:r>
        <w:rPr>
          <w:rFonts w:hint="eastAsia" w:ascii="黑体" w:hAnsi="黑体" w:eastAsia="黑体" w:cs="黑体"/>
          <w:color w:val="auto"/>
          <w:sz w:val="30"/>
          <w:szCs w:val="30"/>
          <w:highlight w:val="none"/>
          <w:lang w:bidi="zh-CN"/>
        </w:rPr>
        <w:t>2</w:t>
      </w:r>
      <w:bookmarkStart w:id="563" w:name="_Toc11064"/>
      <w:bookmarkEnd w:id="563"/>
      <w:bookmarkStart w:id="564" w:name="_Toc249936440"/>
      <w:bookmarkEnd w:id="564"/>
      <w:bookmarkStart w:id="565" w:name="_Toc27743"/>
      <w:bookmarkEnd w:id="565"/>
      <w:bookmarkStart w:id="566" w:name="_Toc934"/>
      <w:bookmarkEnd w:id="566"/>
      <w:bookmarkStart w:id="567" w:name="_Toc7854"/>
      <w:bookmarkEnd w:id="567"/>
      <w:bookmarkStart w:id="568" w:name="_Toc8164"/>
      <w:bookmarkEnd w:id="568"/>
      <w:bookmarkStart w:id="569" w:name="_Toc15338"/>
      <w:bookmarkEnd w:id="569"/>
      <w:bookmarkStart w:id="570" w:name="_Toc22315"/>
      <w:r>
        <w:rPr>
          <w:rFonts w:hint="eastAsia" w:ascii="黑体" w:hAnsi="黑体" w:eastAsia="黑体" w:cs="黑体"/>
          <w:color w:val="auto"/>
          <w:sz w:val="30"/>
          <w:szCs w:val="30"/>
          <w:highlight w:val="none"/>
          <w:lang w:bidi="zh-CN"/>
        </w:rPr>
        <w:t xml:space="preserve"> 风险评估的结果</w:t>
      </w:r>
      <w:bookmarkEnd w:id="561"/>
      <w:bookmarkEnd w:id="562"/>
    </w:p>
    <w:bookmarkEnd w:id="570"/>
    <w:p w14:paraId="176D7377">
      <w:pPr>
        <w:adjustRightInd w:val="0"/>
        <w:snapToGrid w:val="0"/>
        <w:spacing w:line="460" w:lineRule="exact"/>
        <w:ind w:firstLine="640" w:firstLineChars="200"/>
        <w:outlineLvl w:val="4"/>
        <w:rPr>
          <w:rFonts w:ascii="楷体_GB2312" w:hAnsi="楷体_GB2312" w:eastAsia="楷体_GB2312" w:cs="楷体_GB2312"/>
          <w:color w:val="auto"/>
          <w:kern w:val="10"/>
          <w:sz w:val="32"/>
          <w:szCs w:val="32"/>
          <w:highlight w:val="none"/>
        </w:rPr>
      </w:pPr>
      <w:r>
        <w:rPr>
          <w:rFonts w:hint="eastAsia" w:ascii="楷体_GB2312" w:hAnsi="楷体_GB2312" w:eastAsia="楷体_GB2312" w:cs="楷体_GB2312"/>
          <w:color w:val="auto"/>
          <w:kern w:val="10"/>
          <w:sz w:val="32"/>
          <w:szCs w:val="32"/>
          <w:highlight w:val="none"/>
        </w:rPr>
        <w:t>2.1 事故风险等级评价结果</w:t>
      </w:r>
    </w:p>
    <w:p w14:paraId="7BA6BD8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从评价结果可以看出，该矿主要有2</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类事故风险，其风险分别为Ⅰ、Ⅱ、Ⅲ、Ⅳ四个等级。</w:t>
      </w:r>
    </w:p>
    <w:p w14:paraId="1FC1E1D2">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2.1.1 重大风险Ⅰ级6类（1</w:t>
      </w:r>
      <w:r>
        <w:rPr>
          <w:rFonts w:hint="eastAsia" w:ascii="仿宋_GB2312" w:hAnsi="仿宋_GB2312" w:eastAsia="仿宋_GB2312" w:cs="仿宋_GB2312"/>
          <w:b/>
          <w:bCs/>
          <w:color w:val="auto"/>
          <w:kern w:val="0"/>
          <w:sz w:val="28"/>
          <w:szCs w:val="28"/>
          <w:highlight w:val="none"/>
          <w:lang w:val="en-US" w:eastAsia="zh-CN"/>
        </w:rPr>
        <w:t>1</w:t>
      </w:r>
      <w:r>
        <w:rPr>
          <w:rFonts w:hint="eastAsia" w:ascii="仿宋_GB2312" w:hAnsi="仿宋_GB2312" w:eastAsia="仿宋_GB2312" w:cs="仿宋_GB2312"/>
          <w:b/>
          <w:bCs/>
          <w:color w:val="auto"/>
          <w:kern w:val="0"/>
          <w:sz w:val="28"/>
          <w:szCs w:val="28"/>
          <w:highlight w:val="none"/>
        </w:rPr>
        <w:t>项）</w:t>
      </w:r>
    </w:p>
    <w:p w14:paraId="417CA3E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（1）井下火灾事故；</w:t>
      </w:r>
    </w:p>
    <w:p w14:paraId="015F4CB0">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（2）煤尘事故；</w:t>
      </w:r>
    </w:p>
    <w:p w14:paraId="6791ADA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（3）冲击地压（矿震）事故；</w:t>
      </w:r>
    </w:p>
    <w:p w14:paraId="1E7D277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（4）提升运输事故主井副井提升系统（断绳、坠罐风险）；提升运输事故（煤仓蓬仓、堵仓）；</w:t>
      </w:r>
    </w:p>
    <w:p w14:paraId="229FA47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（5）供电事故（地面35kV变电所主供电系统机电风险）；</w:t>
      </w:r>
    </w:p>
    <w:p w14:paraId="71EA9C1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（6）主要通风机事故（主通风系统机电（停风）风险）。</w:t>
      </w:r>
    </w:p>
    <w:p w14:paraId="14C922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以上事故类型为不可承受的风险，必须重点监控，应作为全矿井安全工作的重中之重来抓。</w:t>
      </w:r>
    </w:p>
    <w:p w14:paraId="0C53E64B">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2.1.2 较大风险(Ⅱ级）7类</w:t>
      </w:r>
    </w:p>
    <w:p w14:paraId="2E002A95">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（1）水灾事故；</w:t>
      </w:r>
    </w:p>
    <w:p w14:paraId="7A2CF8D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w:t>
      </w:r>
      <w:r>
        <w:rPr>
          <w:rFonts w:hint="eastAsia" w:ascii="仿宋_GB2312" w:hAnsi="仿宋_GB2312" w:eastAsia="仿宋_GB2312" w:cs="仿宋_GB2312"/>
          <w:color w:val="auto"/>
          <w:kern w:val="0"/>
          <w:sz w:val="28"/>
          <w:szCs w:val="28"/>
          <w:highlight w:val="none"/>
          <w:lang w:val="en-US" w:eastAsia="zh-CN"/>
        </w:rPr>
        <w:t>可燃气体</w:t>
      </w:r>
      <w:r>
        <w:rPr>
          <w:rFonts w:hint="eastAsia" w:ascii="仿宋_GB2312" w:hAnsi="仿宋_GB2312" w:eastAsia="仿宋_GB2312" w:cs="仿宋_GB2312"/>
          <w:color w:val="auto"/>
          <w:kern w:val="0"/>
          <w:sz w:val="28"/>
          <w:szCs w:val="28"/>
          <w:highlight w:val="none"/>
        </w:rPr>
        <w:t>事故；</w:t>
      </w:r>
    </w:p>
    <w:p w14:paraId="4E6D7E5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（3）顶板事故</w:t>
      </w:r>
    </w:p>
    <w:p w14:paraId="7A157B1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（4）地面火灾事故；</w:t>
      </w:r>
    </w:p>
    <w:p w14:paraId="5E2786D8">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（5）自然灾害事故；</w:t>
      </w:r>
    </w:p>
    <w:p w14:paraId="323F5A49">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（6）压力容器事故；</w:t>
      </w:r>
    </w:p>
    <w:p w14:paraId="5A1CD42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（7）爆炸物品事故。</w:t>
      </w:r>
    </w:p>
    <w:p w14:paraId="2C21341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以上事故类型为基本不可承受的风险，应重点监控。</w:t>
      </w:r>
    </w:p>
    <w:p w14:paraId="28C4E3F1">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2.1.3 一般风险(Ⅲ级）1类</w:t>
      </w:r>
    </w:p>
    <w:p w14:paraId="3780D0C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（1）主排水系统事故；</w:t>
      </w:r>
    </w:p>
    <w:p w14:paraId="0D1FB34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以上事故类型为基本可以承受的风险，需要加强管理，仍然应予认真防范。</w:t>
      </w:r>
    </w:p>
    <w:p w14:paraId="5B459106">
      <w:pPr>
        <w:spacing w:line="440" w:lineRule="exact"/>
        <w:ind w:firstLine="562" w:firstLineChars="200"/>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2.1.4 低风险(Ⅳ级）</w:t>
      </w:r>
      <w:r>
        <w:rPr>
          <w:rFonts w:hint="eastAsia" w:ascii="仿宋_GB2312" w:hAnsi="仿宋_GB2312" w:eastAsia="仿宋_GB2312" w:cs="仿宋_GB2312"/>
          <w:b/>
          <w:bCs/>
          <w:color w:val="auto"/>
          <w:kern w:val="0"/>
          <w:sz w:val="28"/>
          <w:szCs w:val="28"/>
          <w:highlight w:val="none"/>
          <w:lang w:val="en-US" w:eastAsia="zh-CN"/>
        </w:rPr>
        <w:t>10</w:t>
      </w:r>
      <w:r>
        <w:rPr>
          <w:rFonts w:hint="eastAsia" w:ascii="仿宋_GB2312" w:hAnsi="仿宋_GB2312" w:eastAsia="仿宋_GB2312" w:cs="仿宋_GB2312"/>
          <w:b/>
          <w:bCs/>
          <w:color w:val="auto"/>
          <w:kern w:val="0"/>
          <w:sz w:val="28"/>
          <w:szCs w:val="28"/>
          <w:highlight w:val="none"/>
        </w:rPr>
        <w:t>类</w:t>
      </w:r>
    </w:p>
    <w:p w14:paraId="7824E59B">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（1）物体打击；</w:t>
      </w:r>
    </w:p>
    <w:p w14:paraId="3043A9D1">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（2）淹溺；</w:t>
      </w:r>
    </w:p>
    <w:p w14:paraId="282C3B7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（3）灼烫；</w:t>
      </w:r>
    </w:p>
    <w:p w14:paraId="7E1DC5A2">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（4）高处坠落；</w:t>
      </w:r>
    </w:p>
    <w:p w14:paraId="0EFF3ABD">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（5）坍塌；</w:t>
      </w:r>
    </w:p>
    <w:p w14:paraId="71144376">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（6）职业病危害；</w:t>
      </w:r>
    </w:p>
    <w:p w14:paraId="06BFB704">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（7）地面生产系统；</w:t>
      </w:r>
    </w:p>
    <w:p w14:paraId="70E8C2AF">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（8）中毒；</w:t>
      </w:r>
    </w:p>
    <w:p w14:paraId="5A689C57">
      <w:pPr>
        <w:spacing w:line="440" w:lineRule="exact"/>
        <w:ind w:firstLine="560" w:firstLineChars="200"/>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（9）起重伤害；</w:t>
      </w:r>
    </w:p>
    <w:p w14:paraId="32EF23A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（10）机械伤害。</w:t>
      </w:r>
    </w:p>
    <w:p w14:paraId="2BDCD1AB">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以上事故类型为可以承受的风险，应采取措施予以控制。</w:t>
      </w:r>
    </w:p>
    <w:p w14:paraId="176B09D4">
      <w:pPr>
        <w:adjustRightInd w:val="0"/>
        <w:snapToGrid w:val="0"/>
        <w:spacing w:line="460" w:lineRule="exact"/>
        <w:ind w:firstLine="640" w:firstLineChars="200"/>
        <w:outlineLvl w:val="4"/>
        <w:rPr>
          <w:rFonts w:ascii="楷体_GB2312" w:hAnsi="楷体_GB2312" w:eastAsia="楷体_GB2312" w:cs="楷体_GB2312"/>
          <w:color w:val="auto"/>
          <w:kern w:val="10"/>
          <w:sz w:val="32"/>
          <w:szCs w:val="32"/>
          <w:highlight w:val="none"/>
        </w:rPr>
      </w:pPr>
      <w:r>
        <w:rPr>
          <w:rFonts w:hint="eastAsia" w:ascii="楷体_GB2312" w:hAnsi="楷体_GB2312" w:eastAsia="楷体_GB2312" w:cs="楷体_GB2312"/>
          <w:color w:val="auto"/>
          <w:kern w:val="10"/>
          <w:sz w:val="32"/>
          <w:szCs w:val="32"/>
          <w:highlight w:val="none"/>
        </w:rPr>
        <w:t>2.2 评估结论</w:t>
      </w:r>
    </w:p>
    <w:p w14:paraId="70D6C98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根据以上风险等级结果，建议对重大风险6类（1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项），较大风险7类列为主要事故风险，制定专项管控措施并相对应地制定专项应急预案及现场处置方案。</w:t>
      </w:r>
    </w:p>
    <w:p w14:paraId="72CD78DC">
      <w:pPr>
        <w:adjustRightInd w:val="0"/>
        <w:snapToGrid w:val="0"/>
        <w:spacing w:line="460" w:lineRule="exact"/>
        <w:ind w:firstLine="640" w:firstLineChars="200"/>
        <w:outlineLvl w:val="4"/>
        <w:rPr>
          <w:rFonts w:ascii="楷体_GB2312" w:hAnsi="楷体_GB2312" w:eastAsia="楷体_GB2312" w:cs="楷体_GB2312"/>
          <w:color w:val="auto"/>
          <w:kern w:val="10"/>
          <w:sz w:val="32"/>
          <w:szCs w:val="32"/>
          <w:highlight w:val="none"/>
        </w:rPr>
      </w:pPr>
      <w:r>
        <w:rPr>
          <w:rFonts w:hint="eastAsia" w:ascii="楷体_GB2312" w:hAnsi="楷体_GB2312" w:eastAsia="楷体_GB2312" w:cs="楷体_GB2312"/>
          <w:color w:val="auto"/>
          <w:kern w:val="10"/>
          <w:sz w:val="32"/>
          <w:szCs w:val="32"/>
          <w:highlight w:val="none"/>
        </w:rPr>
        <w:t>2.3 对应急预案体系的建议</w:t>
      </w:r>
    </w:p>
    <w:p w14:paraId="63DA60F3">
      <w:pPr>
        <w:spacing w:line="440" w:lineRule="exact"/>
        <w:ind w:firstLine="560" w:firstLineChars="200"/>
        <w:rPr>
          <w:rFonts w:ascii="仿宋_GB2312" w:hAnsi="仿宋_GB2312" w:eastAsia="仿宋_GB2312" w:cs="仿宋_GB2312"/>
          <w:color w:val="auto"/>
          <w:kern w:val="0"/>
          <w:sz w:val="28"/>
          <w:szCs w:val="28"/>
          <w:highlight w:val="none"/>
        </w:rPr>
      </w:pPr>
      <w:bookmarkStart w:id="571" w:name="_Toc4653"/>
      <w:bookmarkStart w:id="572" w:name="_Toc875"/>
      <w:bookmarkStart w:id="573" w:name="_Toc24899"/>
      <w:bookmarkStart w:id="574" w:name="_Toc16736"/>
      <w:bookmarkStart w:id="575" w:name="_Toc13833"/>
      <w:bookmarkStart w:id="576" w:name="_Toc3039"/>
      <w:bookmarkStart w:id="577" w:name="_Toc7615"/>
      <w:r>
        <w:rPr>
          <w:rFonts w:ascii="仿宋_GB2312" w:hAnsi="仿宋_GB2312" w:eastAsia="仿宋_GB2312" w:cs="仿宋_GB2312"/>
          <w:color w:val="auto"/>
          <w:kern w:val="0"/>
          <w:sz w:val="28"/>
          <w:szCs w:val="28"/>
          <w:highlight w:val="none"/>
        </w:rPr>
        <w:t>矿井应当编制生产安全事故</w:t>
      </w:r>
      <w:r>
        <w:rPr>
          <w:rFonts w:hint="eastAsia" w:ascii="仿宋_GB2312" w:hAnsi="仿宋_GB2312" w:eastAsia="仿宋_GB2312" w:cs="仿宋_GB2312"/>
          <w:color w:val="auto"/>
          <w:kern w:val="0"/>
          <w:sz w:val="28"/>
          <w:szCs w:val="28"/>
          <w:highlight w:val="none"/>
        </w:rPr>
        <w:t>综合</w:t>
      </w:r>
      <w:r>
        <w:rPr>
          <w:rFonts w:ascii="仿宋_GB2312" w:hAnsi="仿宋_GB2312" w:eastAsia="仿宋_GB2312" w:cs="仿宋_GB2312"/>
          <w:color w:val="auto"/>
          <w:kern w:val="0"/>
          <w:sz w:val="28"/>
          <w:szCs w:val="28"/>
          <w:highlight w:val="none"/>
        </w:rPr>
        <w:t>应急预案，矿井顶板事故专项应急预案、矿井水害事故专项应急预案、矿井井下火灾事故专项应急预案、矿井瓦斯事故专项应急预案、矿井煤尘爆炸事故专项应急预案、矿井冲击地压事故专项应急预案、矿井提升运输事故专项应急预案、矿</w:t>
      </w:r>
      <w:r>
        <w:rPr>
          <w:rFonts w:hint="eastAsia" w:ascii="仿宋_GB2312" w:hAnsi="仿宋_GB2312" w:eastAsia="仿宋_GB2312" w:cs="仿宋_GB2312"/>
          <w:color w:val="auto"/>
          <w:kern w:val="0"/>
          <w:sz w:val="28"/>
          <w:szCs w:val="28"/>
          <w:highlight w:val="none"/>
        </w:rPr>
        <w:t>井</w:t>
      </w:r>
      <w:r>
        <w:rPr>
          <w:rFonts w:ascii="仿宋_GB2312" w:hAnsi="仿宋_GB2312" w:eastAsia="仿宋_GB2312" w:cs="仿宋_GB2312"/>
          <w:color w:val="auto"/>
          <w:kern w:val="0"/>
          <w:sz w:val="28"/>
          <w:szCs w:val="28"/>
          <w:highlight w:val="none"/>
        </w:rPr>
        <w:t>供电事故专项应急预案、矿井爆炸物品事故专项应急预案、</w:t>
      </w:r>
      <w:r>
        <w:rPr>
          <w:rFonts w:hint="eastAsia" w:ascii="仿宋_GB2312" w:hAnsi="仿宋_GB2312" w:eastAsia="仿宋_GB2312" w:cs="仿宋_GB2312"/>
          <w:color w:val="auto"/>
          <w:kern w:val="0"/>
          <w:sz w:val="28"/>
          <w:szCs w:val="28"/>
          <w:highlight w:val="none"/>
        </w:rPr>
        <w:t>自然灾害</w:t>
      </w:r>
      <w:r>
        <w:rPr>
          <w:rFonts w:ascii="仿宋_GB2312" w:hAnsi="仿宋_GB2312" w:eastAsia="仿宋_GB2312" w:cs="仿宋_GB2312"/>
          <w:color w:val="auto"/>
          <w:kern w:val="0"/>
          <w:sz w:val="28"/>
          <w:szCs w:val="28"/>
          <w:highlight w:val="none"/>
        </w:rPr>
        <w:t>事故专项应急预案、矿井主要通风机事故专项应急预案、矿井地面火灾事故专项应急预案</w:t>
      </w:r>
      <w:r>
        <w:rPr>
          <w:rFonts w:hint="eastAsia" w:ascii="仿宋_GB2312" w:hAnsi="仿宋_GB2312" w:eastAsia="仿宋_GB2312" w:cs="仿宋_GB2312"/>
          <w:color w:val="auto"/>
          <w:kern w:val="0"/>
          <w:sz w:val="28"/>
          <w:szCs w:val="28"/>
          <w:highlight w:val="none"/>
        </w:rPr>
        <w:t>、压力容器事故专项应急预案</w:t>
      </w:r>
      <w:r>
        <w:rPr>
          <w:rFonts w:ascii="仿宋_GB2312" w:hAnsi="仿宋_GB2312" w:eastAsia="仿宋_GB2312" w:cs="仿宋_GB2312"/>
          <w:color w:val="auto"/>
          <w:kern w:val="0"/>
          <w:sz w:val="28"/>
          <w:szCs w:val="28"/>
          <w:highlight w:val="none"/>
        </w:rPr>
        <w:t>，矿井顶板事故现场处置方案、矿井水害事故现场处置方案、矿井井下火灾事故现场处置方案、矿井瓦斯事故现场处置方案、矿井煤尘爆炸事故现场处置方案、矿井提升运输事故现场处置方案、矿井供电事故现场处置方案、矿井爆炸物品事故现场处置方案、矿井冲击地压事故现场处置方案、</w:t>
      </w:r>
      <w:r>
        <w:rPr>
          <w:rFonts w:hint="eastAsia" w:ascii="仿宋_GB2312" w:hAnsi="仿宋_GB2312" w:eastAsia="仿宋_GB2312" w:cs="仿宋_GB2312"/>
          <w:color w:val="auto"/>
          <w:kern w:val="0"/>
          <w:sz w:val="28"/>
          <w:szCs w:val="28"/>
          <w:highlight w:val="none"/>
        </w:rPr>
        <w:t>自然灾害事故</w:t>
      </w:r>
      <w:r>
        <w:rPr>
          <w:rFonts w:ascii="仿宋_GB2312" w:hAnsi="仿宋_GB2312" w:eastAsia="仿宋_GB2312" w:cs="仿宋_GB2312"/>
          <w:color w:val="auto"/>
          <w:kern w:val="0"/>
          <w:sz w:val="28"/>
          <w:szCs w:val="28"/>
          <w:highlight w:val="none"/>
        </w:rPr>
        <w:t>现场处置方案、矿井主要通风机事故现场处置方案、矿井地面火灾事故现场处置方案</w:t>
      </w:r>
      <w:r>
        <w:rPr>
          <w:rFonts w:hint="eastAsia" w:ascii="仿宋_GB2312" w:hAnsi="仿宋_GB2312" w:eastAsia="仿宋_GB2312" w:cs="仿宋_GB2312"/>
          <w:color w:val="auto"/>
          <w:kern w:val="0"/>
          <w:sz w:val="28"/>
          <w:szCs w:val="28"/>
          <w:highlight w:val="none"/>
        </w:rPr>
        <w:t>、压力容器事故现场处置方案</w:t>
      </w:r>
      <w:r>
        <w:rPr>
          <w:rFonts w:ascii="仿宋_GB2312" w:hAnsi="仿宋_GB2312" w:eastAsia="仿宋_GB2312" w:cs="仿宋_GB2312"/>
          <w:color w:val="auto"/>
          <w:kern w:val="0"/>
          <w:sz w:val="28"/>
          <w:szCs w:val="28"/>
          <w:highlight w:val="none"/>
        </w:rPr>
        <w:t>。</w:t>
      </w:r>
    </w:p>
    <w:p w14:paraId="36BC4D3A">
      <w:pPr>
        <w:spacing w:line="440" w:lineRule="exact"/>
        <w:ind w:firstLine="600" w:firstLineChars="20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3 预案体系与衔接</w:t>
      </w:r>
      <w:bookmarkEnd w:id="571"/>
      <w:bookmarkEnd w:id="572"/>
      <w:bookmarkEnd w:id="573"/>
      <w:bookmarkEnd w:id="574"/>
      <w:bookmarkEnd w:id="575"/>
      <w:bookmarkEnd w:id="576"/>
      <w:bookmarkEnd w:id="577"/>
    </w:p>
    <w:p w14:paraId="7F278550">
      <w:pPr>
        <w:spacing w:line="440" w:lineRule="exact"/>
        <w:ind w:firstLine="560" w:firstLineChars="200"/>
        <w:rPr>
          <w:rFonts w:ascii="楷体_GB2312" w:hAnsi="楷体_GB2312" w:eastAsia="楷体_GB2312" w:cs="楷体_GB2312"/>
          <w:color w:val="auto"/>
          <w:kern w:val="0"/>
          <w:sz w:val="28"/>
          <w:szCs w:val="28"/>
          <w:highlight w:val="none"/>
        </w:rPr>
      </w:pPr>
      <w:r>
        <w:rPr>
          <w:rFonts w:hint="eastAsia" w:ascii="楷体_GB2312" w:hAnsi="楷体_GB2312" w:eastAsia="楷体_GB2312" w:cs="楷体_GB2312"/>
          <w:color w:val="auto"/>
          <w:kern w:val="0"/>
          <w:sz w:val="28"/>
          <w:szCs w:val="28"/>
          <w:highlight w:val="none"/>
        </w:rPr>
        <w:t>3.1 应急预案体系</w:t>
      </w:r>
    </w:p>
    <w:p w14:paraId="1CBEADA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鄂托克前旗</w:t>
      </w:r>
      <w:r>
        <w:rPr>
          <w:rFonts w:hint="eastAsia" w:ascii="仿宋_GB2312" w:hAnsi="仿宋_GB2312" w:eastAsia="仿宋_GB2312" w:cs="仿宋_GB2312"/>
          <w:color w:val="auto"/>
          <w:kern w:val="0"/>
          <w:sz w:val="28"/>
          <w:szCs w:val="28"/>
          <w:highlight w:val="none"/>
          <w:lang w:eastAsia="zh-CN"/>
        </w:rPr>
        <w:t>长城煤矿有限责任公司</w:t>
      </w:r>
      <w:r>
        <w:rPr>
          <w:rFonts w:hint="eastAsia" w:ascii="仿宋_GB2312" w:hAnsi="仿宋_GB2312" w:eastAsia="仿宋_GB2312" w:cs="仿宋_GB2312"/>
          <w:color w:val="auto"/>
          <w:kern w:val="0"/>
          <w:sz w:val="28"/>
          <w:szCs w:val="28"/>
          <w:highlight w:val="none"/>
        </w:rPr>
        <w:t>应急预案体系由1项综合应急预案和13项专项应急预案及13项现场处置方案构成。</w:t>
      </w:r>
    </w:p>
    <w:p w14:paraId="433F374A">
      <w:pPr>
        <w:spacing w:line="440" w:lineRule="exact"/>
        <w:ind w:firstLine="560" w:firstLineChars="200"/>
        <w:rPr>
          <w:rFonts w:ascii="楷体_GB2312" w:hAnsi="楷体_GB2312" w:eastAsia="楷体_GB2312" w:cs="楷体_GB2312"/>
          <w:color w:val="auto"/>
          <w:kern w:val="0"/>
          <w:sz w:val="28"/>
          <w:szCs w:val="28"/>
          <w:highlight w:val="none"/>
        </w:rPr>
      </w:pPr>
      <w:r>
        <w:rPr>
          <w:rFonts w:hint="eastAsia" w:ascii="楷体_GB2312" w:hAnsi="楷体_GB2312" w:eastAsia="楷体_GB2312" w:cs="楷体_GB2312"/>
          <w:color w:val="auto"/>
          <w:kern w:val="0"/>
          <w:sz w:val="28"/>
          <w:szCs w:val="28"/>
          <w:highlight w:val="none"/>
        </w:rPr>
        <w:t>3.2 综合应急预案</w:t>
      </w:r>
    </w:p>
    <w:p w14:paraId="4B1916AF">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编制综合应急预案主要从总体上阐述事故的应急工作原则，包括应急组织结构及职责、应急行动、措施和后勤保障等基本要求和程序，是应对各类事故的综合性文件，是专项应急预案工作的基础和总纲。</w:t>
      </w:r>
    </w:p>
    <w:p w14:paraId="693297FD">
      <w:pPr>
        <w:spacing w:line="440" w:lineRule="exact"/>
        <w:ind w:firstLine="560" w:firstLineChars="200"/>
        <w:rPr>
          <w:rFonts w:ascii="楷体_GB2312" w:hAnsi="楷体_GB2312" w:eastAsia="楷体_GB2312" w:cs="楷体_GB2312"/>
          <w:color w:val="auto"/>
          <w:kern w:val="0"/>
          <w:sz w:val="28"/>
          <w:szCs w:val="28"/>
          <w:highlight w:val="none"/>
        </w:rPr>
      </w:pPr>
      <w:r>
        <w:rPr>
          <w:rFonts w:hint="eastAsia" w:ascii="楷体_GB2312" w:hAnsi="楷体_GB2312" w:eastAsia="楷体_GB2312" w:cs="楷体_GB2312"/>
          <w:color w:val="auto"/>
          <w:kern w:val="0"/>
          <w:sz w:val="28"/>
          <w:szCs w:val="28"/>
          <w:highlight w:val="none"/>
        </w:rPr>
        <w:t>3.3 专项应急预案</w:t>
      </w:r>
    </w:p>
    <w:p w14:paraId="4AE926B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专项应急预案主要为应对某一类型或某几种类型事故，或者针对重要生产设施、重大危险源、重大活动等内容而制定的应急预案。专项应急预案是综合应急预案的组成部分，是按照综合应急预案的程序和要求组织制定的，规定了明确的救援程序和具体的应急措施。共13项，分别为：</w:t>
      </w:r>
    </w:p>
    <w:p w14:paraId="6A8739E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可燃气体</w:t>
      </w:r>
      <w:r>
        <w:rPr>
          <w:rFonts w:hint="eastAsia" w:ascii="仿宋_GB2312" w:hAnsi="仿宋_GB2312" w:eastAsia="仿宋_GB2312" w:cs="仿宋_GB2312"/>
          <w:color w:val="auto"/>
          <w:kern w:val="0"/>
          <w:sz w:val="28"/>
          <w:szCs w:val="28"/>
          <w:highlight w:val="none"/>
        </w:rPr>
        <w:t xml:space="preserve">事故专项应急预案 </w:t>
      </w:r>
    </w:p>
    <w:p w14:paraId="0836F44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（2）煤尘爆炸事故专项应急预案 </w:t>
      </w:r>
    </w:p>
    <w:p w14:paraId="5238E02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（3）井下火灾事故专项应急预案 </w:t>
      </w:r>
    </w:p>
    <w:p w14:paraId="66B954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（4）矿井水害事故专项应急预案 </w:t>
      </w:r>
    </w:p>
    <w:p w14:paraId="709CECA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（5）顶板事故专项应急预案 </w:t>
      </w:r>
    </w:p>
    <w:p w14:paraId="657DE4D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（6）冲击地压事故专项应急预案 </w:t>
      </w:r>
    </w:p>
    <w:p w14:paraId="5476F4CA">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（7）主要通风机事故专项应急预案  </w:t>
      </w:r>
    </w:p>
    <w:p w14:paraId="2ED0E077">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（8）矿井供电事故专项应急预案 </w:t>
      </w:r>
    </w:p>
    <w:p w14:paraId="3780C98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（9）矿井提升运输系统事故专项应急预案</w:t>
      </w:r>
    </w:p>
    <w:p w14:paraId="334BC7F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（10）爆炸物品事故专项应急预案 </w:t>
      </w:r>
    </w:p>
    <w:p w14:paraId="580C59D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（11）压力容器事故专项应急预案  </w:t>
      </w:r>
    </w:p>
    <w:p w14:paraId="1EEDA48D">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（12）地面火灾事故专项应急预案 </w:t>
      </w:r>
    </w:p>
    <w:p w14:paraId="1FBEEA23">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（13）自然灾害事故专项应急预案 </w:t>
      </w:r>
    </w:p>
    <w:p w14:paraId="6809FBE7">
      <w:pPr>
        <w:spacing w:line="440" w:lineRule="exact"/>
        <w:ind w:firstLine="560" w:firstLineChars="200"/>
        <w:rPr>
          <w:rFonts w:ascii="楷体_GB2312" w:hAnsi="楷体_GB2312" w:eastAsia="楷体_GB2312" w:cs="楷体_GB2312"/>
          <w:color w:val="auto"/>
          <w:kern w:val="0"/>
          <w:sz w:val="28"/>
          <w:szCs w:val="28"/>
          <w:highlight w:val="none"/>
        </w:rPr>
      </w:pPr>
      <w:r>
        <w:rPr>
          <w:rFonts w:hint="eastAsia" w:ascii="楷体_GB2312" w:hAnsi="楷体_GB2312" w:eastAsia="楷体_GB2312" w:cs="楷体_GB2312"/>
          <w:color w:val="auto"/>
          <w:kern w:val="0"/>
          <w:sz w:val="28"/>
          <w:szCs w:val="28"/>
          <w:highlight w:val="none"/>
        </w:rPr>
        <w:t>3.4 现场处置方案</w:t>
      </w:r>
    </w:p>
    <w:p w14:paraId="27084E3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现场处置方案是根据不同事故类别针对具体的装置、场所或设施、岗位所制定的应急处置措施。现场处置方案具体、简单、针对性强。现场处置方案根据风险评估及危险性控制措施逐一制定，做到事故相关人员应知应会，熟练掌握，并通过应急演练，做到反应迅速，处理正确。共13项，分别为：</w:t>
      </w:r>
    </w:p>
    <w:p w14:paraId="351ACF9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r>
        <w:rPr>
          <w:rFonts w:hint="eastAsia" w:ascii="仿宋_GB2312" w:hAnsi="仿宋_GB2312" w:eastAsia="仿宋_GB2312" w:cs="仿宋_GB2312"/>
          <w:color w:val="auto"/>
          <w:kern w:val="0"/>
          <w:sz w:val="28"/>
          <w:szCs w:val="28"/>
          <w:highlight w:val="none"/>
          <w:lang w:val="en-US" w:eastAsia="zh-CN"/>
        </w:rPr>
        <w:t>可燃气体</w:t>
      </w:r>
      <w:r>
        <w:rPr>
          <w:rFonts w:hint="eastAsia" w:ascii="仿宋_GB2312" w:hAnsi="仿宋_GB2312" w:eastAsia="仿宋_GB2312" w:cs="仿宋_GB2312"/>
          <w:color w:val="auto"/>
          <w:kern w:val="0"/>
          <w:sz w:val="28"/>
          <w:szCs w:val="28"/>
          <w:highlight w:val="none"/>
        </w:rPr>
        <w:t xml:space="preserve">事故现场处置方案 </w:t>
      </w:r>
    </w:p>
    <w:p w14:paraId="3F71402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（2）煤尘爆炸事故现场处置方案 </w:t>
      </w:r>
    </w:p>
    <w:p w14:paraId="4E6E6594">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（3）井下火灾事故现场处置方案 </w:t>
      </w:r>
    </w:p>
    <w:p w14:paraId="13CB0A92">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（4）矿井水害事故现场处置方案 </w:t>
      </w:r>
    </w:p>
    <w:p w14:paraId="65769C7C">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（5）顶板事故现场处置方案 </w:t>
      </w:r>
    </w:p>
    <w:p w14:paraId="18B01E9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（6）冲击地压事故现场处置方案 </w:t>
      </w:r>
    </w:p>
    <w:p w14:paraId="6B30772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（7）主要通风机事故现场处置方案 </w:t>
      </w:r>
    </w:p>
    <w:p w14:paraId="76DD5C5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（8）矿井供电事故现场处置方案 </w:t>
      </w:r>
    </w:p>
    <w:p w14:paraId="40DAF781">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（9）矿井提升运输系统事故现场处置方案 </w:t>
      </w:r>
    </w:p>
    <w:p w14:paraId="096A00F6">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（10）爆炸物品事故现场处置方案 </w:t>
      </w:r>
    </w:p>
    <w:p w14:paraId="1E16292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（11）压力容器事故现场处置方案 </w:t>
      </w:r>
    </w:p>
    <w:p w14:paraId="75CB676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 xml:space="preserve">（12）地面火灾事故现场处置方案 </w:t>
      </w:r>
    </w:p>
    <w:p w14:paraId="01AD744B">
      <w:pPr>
        <w:spacing w:line="440" w:lineRule="exact"/>
        <w:ind w:firstLine="560" w:firstLineChars="200"/>
        <w:rPr>
          <w:color w:val="auto"/>
          <w:highlight w:val="none"/>
        </w:rPr>
      </w:pPr>
      <w:r>
        <w:rPr>
          <w:rFonts w:hint="eastAsia" w:ascii="仿宋_GB2312" w:hAnsi="仿宋_GB2312" w:eastAsia="仿宋_GB2312" w:cs="仿宋_GB2312"/>
          <w:color w:val="auto"/>
          <w:kern w:val="0"/>
          <w:sz w:val="28"/>
          <w:szCs w:val="28"/>
          <w:highlight w:val="none"/>
        </w:rPr>
        <w:t xml:space="preserve">（13）自然灾害事故现场处置方案 </w:t>
      </w:r>
    </w:p>
    <w:p w14:paraId="4C96751D">
      <w:pPr>
        <w:spacing w:line="440" w:lineRule="exact"/>
        <w:ind w:firstLine="560" w:firstLineChars="200"/>
        <w:rPr>
          <w:rFonts w:ascii="楷体_GB2312" w:hAnsi="楷体_GB2312" w:eastAsia="楷体_GB2312" w:cs="楷体_GB2312"/>
          <w:color w:val="auto"/>
          <w:kern w:val="0"/>
          <w:sz w:val="28"/>
          <w:szCs w:val="28"/>
          <w:highlight w:val="none"/>
        </w:rPr>
      </w:pPr>
      <w:bookmarkStart w:id="578" w:name="_Toc646"/>
      <w:bookmarkStart w:id="579" w:name="_Toc30419"/>
      <w:bookmarkStart w:id="580" w:name="_Toc26491"/>
      <w:bookmarkStart w:id="581" w:name="_Toc12195"/>
      <w:bookmarkStart w:id="582" w:name="_Toc20891"/>
      <w:r>
        <w:rPr>
          <w:rFonts w:hint="eastAsia" w:ascii="楷体_GB2312" w:hAnsi="楷体_GB2312" w:eastAsia="楷体_GB2312" w:cs="楷体_GB2312"/>
          <w:color w:val="auto"/>
          <w:kern w:val="0"/>
          <w:sz w:val="28"/>
          <w:szCs w:val="28"/>
          <w:highlight w:val="none"/>
        </w:rPr>
        <w:t>3.5 应急预案衔接</w:t>
      </w:r>
    </w:p>
    <w:p w14:paraId="4033C889">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本应急预案与《山东能源集团有限公司矿山救护二大队矿山生产安全事故应急救援预案》《新矿内蒙古能源有限责任公司生产安全事故应急预案》《新汶矿业集团有限责任公司生产安全事故应急预案》《山东能源集团生产安全事故综合应急预案》《鄂托克前旗</w:t>
      </w:r>
      <w:r>
        <w:rPr>
          <w:rFonts w:hint="eastAsia" w:ascii="仿宋_GB2312" w:hAnsi="仿宋_GB2312" w:eastAsia="仿宋_GB2312" w:cs="仿宋_GB2312"/>
          <w:color w:val="auto"/>
          <w:kern w:val="0"/>
          <w:sz w:val="28"/>
          <w:szCs w:val="28"/>
          <w:highlight w:val="none"/>
          <w:lang w:val="en-US" w:eastAsia="zh-CN"/>
        </w:rPr>
        <w:t>煤矿</w:t>
      </w:r>
      <w:r>
        <w:rPr>
          <w:rFonts w:hint="eastAsia" w:ascii="仿宋_GB2312" w:hAnsi="仿宋_GB2312" w:eastAsia="仿宋_GB2312" w:cs="仿宋_GB2312"/>
          <w:color w:val="auto"/>
          <w:kern w:val="0"/>
          <w:sz w:val="28"/>
          <w:szCs w:val="28"/>
          <w:highlight w:val="none"/>
        </w:rPr>
        <w:t>生产安全事故应急预案》《</w:t>
      </w:r>
      <w:r>
        <w:rPr>
          <w:rFonts w:hint="eastAsia" w:ascii="仿宋_GB2312" w:hAnsi="仿宋_GB2312" w:eastAsia="仿宋_GB2312" w:cs="仿宋_GB2312"/>
          <w:color w:val="auto"/>
          <w:kern w:val="0"/>
          <w:sz w:val="28"/>
          <w:szCs w:val="28"/>
          <w:highlight w:val="none"/>
          <w:lang w:val="en-US" w:eastAsia="zh-CN"/>
        </w:rPr>
        <w:t>鄂尔多斯市煤矿</w:t>
      </w:r>
      <w:r>
        <w:rPr>
          <w:rFonts w:hint="eastAsia" w:ascii="仿宋_GB2312" w:hAnsi="仿宋_GB2312" w:eastAsia="仿宋_GB2312" w:cs="仿宋_GB2312"/>
          <w:color w:val="auto"/>
          <w:kern w:val="0"/>
          <w:sz w:val="28"/>
          <w:szCs w:val="28"/>
          <w:highlight w:val="none"/>
        </w:rPr>
        <w:t>生产安全事故应急预案》《内蒙古自治区煤矿生产安全事故应急预案》相衔接。</w:t>
      </w:r>
      <w:r>
        <w:rPr>
          <w:rFonts w:ascii="仿宋_GB2312" w:hAnsi="仿宋_GB2312" w:eastAsia="仿宋_GB2312" w:cs="仿宋_GB2312"/>
          <w:color w:val="auto"/>
          <w:kern w:val="0"/>
          <w:sz w:val="28"/>
          <w:szCs w:val="28"/>
          <w:highlight w:val="none"/>
        </w:rPr>
        <w:br w:type="page"/>
      </w:r>
    </w:p>
    <w:p w14:paraId="4F0A6F93">
      <w:pPr>
        <w:wordWrap w:val="0"/>
        <w:spacing w:line="560" w:lineRule="exact"/>
        <w:outlineLvl w:val="0"/>
        <w:rPr>
          <w:rFonts w:ascii="黑体" w:hAnsi="黑体" w:eastAsia="黑体" w:cs="黑体"/>
          <w:b/>
          <w:bCs/>
          <w:color w:val="auto"/>
          <w:sz w:val="30"/>
          <w:szCs w:val="30"/>
          <w:highlight w:val="none"/>
        </w:rPr>
      </w:pPr>
      <w:bookmarkStart w:id="583" w:name="_Toc4058"/>
      <w:r>
        <w:rPr>
          <w:rFonts w:hint="eastAsia" w:ascii="黑体" w:hAnsi="黑体" w:eastAsia="黑体" w:cs="黑体"/>
          <w:b/>
          <w:color w:val="auto"/>
          <w:sz w:val="30"/>
          <w:szCs w:val="30"/>
          <w:highlight w:val="none"/>
        </w:rPr>
        <w:t xml:space="preserve">4 </w:t>
      </w:r>
      <w:bookmarkEnd w:id="578"/>
      <w:bookmarkEnd w:id="579"/>
      <w:bookmarkEnd w:id="580"/>
      <w:bookmarkEnd w:id="581"/>
      <w:bookmarkEnd w:id="582"/>
      <w:r>
        <w:rPr>
          <w:rFonts w:hint="eastAsia" w:ascii="黑体" w:hAnsi="黑体" w:eastAsia="黑体" w:cs="黑体"/>
          <w:b/>
          <w:bCs/>
          <w:color w:val="auto"/>
          <w:sz w:val="30"/>
          <w:szCs w:val="30"/>
          <w:highlight w:val="none"/>
        </w:rPr>
        <w:t>应急物资装备的名录或清单</w:t>
      </w:r>
      <w:bookmarkEnd w:id="583"/>
    </w:p>
    <w:p w14:paraId="10E2B65E">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矿井常备部分常规应急物资，分别存放在地面消防材料库、地面防洪物资库和井下消防材料库，物资装备齐全完好，详见表1至表4；能够满足应急需要。</w:t>
      </w:r>
      <w:r>
        <w:rPr>
          <w:rFonts w:hint="eastAsia" w:ascii="仿宋_GB2312" w:hAnsi="仿宋_GB2312" w:eastAsia="仿宋_GB2312" w:cs="仿宋_GB2312"/>
          <w:color w:val="auto"/>
          <w:kern w:val="0"/>
          <w:sz w:val="28"/>
          <w:szCs w:val="28"/>
          <w:highlight w:val="none"/>
          <w:lang w:val="en-US" w:eastAsia="zh-CN"/>
        </w:rPr>
        <w:t>兼职矿山救援队装备</w:t>
      </w:r>
      <w:r>
        <w:rPr>
          <w:rFonts w:hint="eastAsia" w:ascii="仿宋_GB2312" w:hAnsi="仿宋_GB2312" w:eastAsia="仿宋_GB2312" w:cs="仿宋_GB2312"/>
          <w:color w:val="auto"/>
          <w:kern w:val="0"/>
          <w:sz w:val="28"/>
          <w:szCs w:val="28"/>
          <w:highlight w:val="none"/>
        </w:rPr>
        <w:t>见表5</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井下探放水、防冲泄压钻机设备见表</w:t>
      </w:r>
      <w:r>
        <w:rPr>
          <w:rFonts w:hint="eastAsia" w:ascii="仿宋_GB2312" w:hAnsi="仿宋_GB2312" w:eastAsia="仿宋_GB2312" w:cs="仿宋_GB2312"/>
          <w:color w:val="auto"/>
          <w:kern w:val="0"/>
          <w:sz w:val="28"/>
          <w:szCs w:val="28"/>
          <w:highlight w:val="none"/>
          <w:lang w:val="en-US" w:eastAsia="zh-CN"/>
        </w:rPr>
        <w:t>6至7</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煤矿井下自救器补给站见表</w:t>
      </w:r>
      <w:r>
        <w:rPr>
          <w:rFonts w:hint="eastAsia" w:ascii="仿宋_GB2312" w:hAnsi="仿宋_GB2312" w:eastAsia="仿宋_GB2312" w:cs="仿宋_GB2312"/>
          <w:color w:val="auto"/>
          <w:kern w:val="0"/>
          <w:sz w:val="28"/>
          <w:szCs w:val="28"/>
          <w:highlight w:val="none"/>
          <w:lang w:val="en-US" w:eastAsia="zh-CN"/>
        </w:rPr>
        <w:t>8</w:t>
      </w:r>
      <w:r>
        <w:rPr>
          <w:rFonts w:hint="eastAsia" w:ascii="仿宋_GB2312" w:hAnsi="仿宋_GB2312" w:eastAsia="仿宋_GB2312" w:cs="仿宋_GB2312"/>
          <w:color w:val="auto"/>
          <w:kern w:val="0"/>
          <w:sz w:val="28"/>
          <w:szCs w:val="28"/>
          <w:highlight w:val="none"/>
        </w:rPr>
        <w:t>。应急物资责任单位指派专人管理、定期维护，每月进行排查，根据应急物资使用年限及有效期，临期物资提前作采购计划，及时补充更换。</w:t>
      </w:r>
    </w:p>
    <w:p w14:paraId="2D7DEABD">
      <w:pPr>
        <w:pStyle w:val="44"/>
        <w:spacing w:line="360" w:lineRule="auto"/>
        <w:jc w:val="center"/>
        <w:outlineLvl w:val="3"/>
        <w:rPr>
          <w:rFonts w:hint="eastAsia" w:ascii="仿宋_GB2312" w:hAnsi="仿宋_GB2312" w:eastAsia="仿宋_GB2312" w:cs="仿宋_GB2312"/>
          <w:b/>
          <w:color w:val="auto"/>
          <w:kern w:val="2"/>
          <w:sz w:val="32"/>
          <w:szCs w:val="32"/>
          <w:highlight w:val="none"/>
          <w:lang w:val="zh-CN" w:eastAsia="zh-CN"/>
        </w:rPr>
      </w:pPr>
      <w:bookmarkStart w:id="584" w:name="_Toc22461"/>
      <w:bookmarkStart w:id="585" w:name="_Toc9683"/>
      <w:r>
        <w:rPr>
          <w:rFonts w:hint="eastAsia" w:ascii="仿宋_GB2312" w:hAnsi="仿宋_GB2312" w:eastAsia="仿宋_GB2312" w:cs="仿宋_GB2312"/>
          <w:b/>
          <w:color w:val="auto"/>
          <w:kern w:val="2"/>
          <w:sz w:val="32"/>
          <w:szCs w:val="32"/>
          <w:highlight w:val="none"/>
          <w:lang w:val="zh-CN" w:eastAsia="zh-CN"/>
        </w:rPr>
        <w:t xml:space="preserve">表1 </w:t>
      </w:r>
      <w:bookmarkEnd w:id="584"/>
      <w:r>
        <w:rPr>
          <w:rFonts w:hint="eastAsia" w:ascii="仿宋_GB2312" w:hAnsi="仿宋_GB2312" w:eastAsia="仿宋_GB2312" w:cs="仿宋_GB2312"/>
          <w:b/>
          <w:color w:val="auto"/>
          <w:kern w:val="2"/>
          <w:sz w:val="32"/>
          <w:szCs w:val="32"/>
          <w:highlight w:val="none"/>
          <w:lang w:val="zh-CN" w:eastAsia="zh-CN"/>
        </w:rPr>
        <w:t>地面消防材料库物资明细表</w:t>
      </w:r>
    </w:p>
    <w:tbl>
      <w:tblPr>
        <w:tblStyle w:val="54"/>
        <w:tblW w:w="493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61"/>
        <w:gridCol w:w="2196"/>
        <w:gridCol w:w="2252"/>
        <w:gridCol w:w="741"/>
        <w:gridCol w:w="678"/>
        <w:gridCol w:w="1429"/>
        <w:gridCol w:w="978"/>
      </w:tblGrid>
      <w:tr w14:paraId="3DD2D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64" w:type="pct"/>
            <w:tcBorders>
              <w:top w:val="single" w:color="000000" w:sz="4" w:space="0"/>
              <w:left w:val="single" w:color="000000" w:sz="4" w:space="0"/>
            </w:tcBorders>
            <w:vAlign w:val="center"/>
          </w:tcPr>
          <w:p w14:paraId="5B359B9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序号</w:t>
            </w:r>
          </w:p>
        </w:tc>
        <w:tc>
          <w:tcPr>
            <w:tcW w:w="1257" w:type="pct"/>
            <w:tcBorders>
              <w:top w:val="single" w:color="000000" w:sz="4" w:space="0"/>
            </w:tcBorders>
            <w:vAlign w:val="center"/>
          </w:tcPr>
          <w:p w14:paraId="6FE0840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器材名称</w:t>
            </w:r>
          </w:p>
        </w:tc>
        <w:tc>
          <w:tcPr>
            <w:tcW w:w="1289" w:type="pct"/>
            <w:tcBorders>
              <w:top w:val="single" w:color="000000" w:sz="4" w:space="0"/>
            </w:tcBorders>
            <w:vAlign w:val="center"/>
          </w:tcPr>
          <w:p w14:paraId="33C3CF3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规格</w:t>
            </w:r>
          </w:p>
        </w:tc>
        <w:tc>
          <w:tcPr>
            <w:tcW w:w="424" w:type="pct"/>
            <w:tcBorders>
              <w:top w:val="single" w:color="000000" w:sz="4" w:space="0"/>
            </w:tcBorders>
            <w:vAlign w:val="center"/>
          </w:tcPr>
          <w:p w14:paraId="6172225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单位</w:t>
            </w:r>
          </w:p>
        </w:tc>
        <w:tc>
          <w:tcPr>
            <w:tcW w:w="388" w:type="pct"/>
            <w:tcBorders>
              <w:top w:val="single" w:color="000000" w:sz="4" w:space="0"/>
            </w:tcBorders>
            <w:vAlign w:val="center"/>
          </w:tcPr>
          <w:p w14:paraId="71C1EF7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数量</w:t>
            </w:r>
          </w:p>
        </w:tc>
        <w:tc>
          <w:tcPr>
            <w:tcW w:w="818" w:type="pct"/>
            <w:tcBorders>
              <w:top w:val="single" w:color="000000" w:sz="4" w:space="0"/>
            </w:tcBorders>
            <w:vAlign w:val="center"/>
          </w:tcPr>
          <w:p w14:paraId="7D5EB14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储存地点</w:t>
            </w:r>
          </w:p>
        </w:tc>
        <w:tc>
          <w:tcPr>
            <w:tcW w:w="557" w:type="pct"/>
            <w:tcBorders>
              <w:top w:val="single" w:color="000000" w:sz="4" w:space="0"/>
              <w:right w:val="single" w:color="000000" w:sz="4" w:space="0"/>
            </w:tcBorders>
            <w:vAlign w:val="center"/>
          </w:tcPr>
          <w:p w14:paraId="76989BA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备注</w:t>
            </w:r>
          </w:p>
        </w:tc>
      </w:tr>
      <w:tr w14:paraId="477A9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009B187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w:t>
            </w:r>
          </w:p>
        </w:tc>
        <w:tc>
          <w:tcPr>
            <w:tcW w:w="1257" w:type="pct"/>
            <w:vAlign w:val="center"/>
          </w:tcPr>
          <w:p w14:paraId="057301A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清水泵</w:t>
            </w:r>
          </w:p>
        </w:tc>
        <w:tc>
          <w:tcPr>
            <w:tcW w:w="1289" w:type="pct"/>
            <w:vAlign w:val="center"/>
          </w:tcPr>
          <w:p w14:paraId="058738C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流量≥10m³/h</w:t>
            </w:r>
          </w:p>
        </w:tc>
        <w:tc>
          <w:tcPr>
            <w:tcW w:w="424" w:type="pct"/>
            <w:vAlign w:val="center"/>
          </w:tcPr>
          <w:p w14:paraId="66CE5C7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vAlign w:val="center"/>
          </w:tcPr>
          <w:p w14:paraId="72843D5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w:t>
            </w:r>
          </w:p>
        </w:tc>
        <w:tc>
          <w:tcPr>
            <w:tcW w:w="818" w:type="pct"/>
            <w:vAlign w:val="center"/>
          </w:tcPr>
          <w:p w14:paraId="4D2CBC2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5770A2E4">
            <w:pPr>
              <w:adjustRightInd w:val="0"/>
              <w:snapToGrid w:val="0"/>
              <w:jc w:val="center"/>
              <w:textAlignment w:val="center"/>
              <w:rPr>
                <w:rFonts w:hint="default" w:ascii="宋体" w:hAnsi="宋体" w:eastAsia="宋体" w:cs="宋体"/>
                <w:color w:val="auto"/>
                <w:kern w:val="0"/>
                <w:sz w:val="24"/>
                <w:lang w:eastAsia="en-US" w:bidi="ar"/>
              </w:rPr>
            </w:pPr>
            <w:r>
              <w:rPr>
                <w:rFonts w:hint="eastAsia" w:ascii="仿宋" w:hAnsi="仿宋" w:eastAsia="仿宋" w:cs="宋体"/>
                <w:color w:val="auto"/>
                <w:kern w:val="0"/>
                <w:sz w:val="24"/>
                <w:lang w:bidi="ar"/>
              </w:rPr>
              <w:t>完好</w:t>
            </w:r>
          </w:p>
        </w:tc>
      </w:tr>
      <w:tr w14:paraId="491F1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27FA5F1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257" w:type="pct"/>
            <w:vAlign w:val="center"/>
          </w:tcPr>
          <w:p w14:paraId="46995AF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泥水泵</w:t>
            </w:r>
          </w:p>
        </w:tc>
        <w:tc>
          <w:tcPr>
            <w:tcW w:w="1289" w:type="pct"/>
            <w:vAlign w:val="center"/>
          </w:tcPr>
          <w:p w14:paraId="16FC898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流量≥10m³/h</w:t>
            </w:r>
          </w:p>
        </w:tc>
        <w:tc>
          <w:tcPr>
            <w:tcW w:w="424" w:type="pct"/>
            <w:vAlign w:val="center"/>
          </w:tcPr>
          <w:p w14:paraId="295F0E6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vAlign w:val="center"/>
          </w:tcPr>
          <w:p w14:paraId="184829B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vAlign w:val="center"/>
          </w:tcPr>
          <w:p w14:paraId="2ED58C1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3769174D">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32797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4DC44C9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3</w:t>
            </w:r>
          </w:p>
        </w:tc>
        <w:tc>
          <w:tcPr>
            <w:tcW w:w="1257" w:type="pct"/>
            <w:vAlign w:val="center"/>
          </w:tcPr>
          <w:p w14:paraId="1CDECB8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消火水龙带</w:t>
            </w:r>
          </w:p>
        </w:tc>
        <w:tc>
          <w:tcPr>
            <w:tcW w:w="1289" w:type="pct"/>
            <w:vAlign w:val="center"/>
          </w:tcPr>
          <w:p w14:paraId="6C6D90D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10-50/25m</w:t>
            </w:r>
          </w:p>
        </w:tc>
        <w:tc>
          <w:tcPr>
            <w:tcW w:w="424" w:type="pct"/>
            <w:vAlign w:val="center"/>
          </w:tcPr>
          <w:p w14:paraId="03FB12D0">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eastAsia" w:ascii="宋体" w:hAnsi="宋体" w:cs="宋体"/>
                <w:color w:val="auto"/>
                <w:kern w:val="0"/>
                <w:sz w:val="24"/>
                <w:lang w:val="en-US" w:eastAsia="zh-CN" w:bidi="ar"/>
              </w:rPr>
              <w:t>米</w:t>
            </w:r>
          </w:p>
        </w:tc>
        <w:tc>
          <w:tcPr>
            <w:tcW w:w="388" w:type="pct"/>
            <w:vAlign w:val="center"/>
          </w:tcPr>
          <w:p w14:paraId="0CF3B13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cs="宋体"/>
                <w:color w:val="auto"/>
                <w:kern w:val="0"/>
                <w:sz w:val="24"/>
                <w:lang w:val="en-US" w:eastAsia="zh-CN" w:bidi="ar"/>
              </w:rPr>
              <w:t>800</w:t>
            </w:r>
          </w:p>
        </w:tc>
        <w:tc>
          <w:tcPr>
            <w:tcW w:w="818" w:type="pct"/>
            <w:vAlign w:val="center"/>
          </w:tcPr>
          <w:p w14:paraId="2C3763E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7EDC2623">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22F33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0EDB095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1257" w:type="pct"/>
            <w:vAlign w:val="center"/>
          </w:tcPr>
          <w:p w14:paraId="4AD03F0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多用消火水枪</w:t>
            </w:r>
          </w:p>
        </w:tc>
        <w:tc>
          <w:tcPr>
            <w:tcW w:w="1289" w:type="pct"/>
            <w:vAlign w:val="center"/>
          </w:tcPr>
          <w:p w14:paraId="76A790B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10-50</w:t>
            </w:r>
          </w:p>
        </w:tc>
        <w:tc>
          <w:tcPr>
            <w:tcW w:w="424" w:type="pct"/>
            <w:vAlign w:val="center"/>
          </w:tcPr>
          <w:p w14:paraId="5FE2FEF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支</w:t>
            </w:r>
          </w:p>
        </w:tc>
        <w:tc>
          <w:tcPr>
            <w:tcW w:w="388" w:type="pct"/>
            <w:vAlign w:val="center"/>
          </w:tcPr>
          <w:p w14:paraId="362A24B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w:t>
            </w:r>
          </w:p>
        </w:tc>
        <w:tc>
          <w:tcPr>
            <w:tcW w:w="818" w:type="pct"/>
            <w:vAlign w:val="center"/>
          </w:tcPr>
          <w:p w14:paraId="4ACC4D4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4DF3F87E">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64325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00D8603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w:t>
            </w:r>
          </w:p>
        </w:tc>
        <w:tc>
          <w:tcPr>
            <w:tcW w:w="1257" w:type="pct"/>
            <w:vAlign w:val="center"/>
          </w:tcPr>
          <w:p w14:paraId="6190061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高倍数泡沫发生器</w:t>
            </w:r>
          </w:p>
        </w:tc>
        <w:tc>
          <w:tcPr>
            <w:tcW w:w="1289" w:type="pct"/>
            <w:vAlign w:val="center"/>
          </w:tcPr>
          <w:p w14:paraId="119E67B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发泡量≥200m³/min</w:t>
            </w:r>
          </w:p>
        </w:tc>
        <w:tc>
          <w:tcPr>
            <w:tcW w:w="424" w:type="pct"/>
            <w:vAlign w:val="center"/>
          </w:tcPr>
          <w:p w14:paraId="4352E4B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套</w:t>
            </w:r>
          </w:p>
        </w:tc>
        <w:tc>
          <w:tcPr>
            <w:tcW w:w="388" w:type="pct"/>
            <w:vAlign w:val="center"/>
          </w:tcPr>
          <w:p w14:paraId="3AE4CCE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w:t>
            </w:r>
          </w:p>
        </w:tc>
        <w:tc>
          <w:tcPr>
            <w:tcW w:w="818" w:type="pct"/>
            <w:vAlign w:val="center"/>
          </w:tcPr>
          <w:p w14:paraId="7428A92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60CE9D10">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30627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19F5498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6</w:t>
            </w:r>
          </w:p>
        </w:tc>
        <w:tc>
          <w:tcPr>
            <w:tcW w:w="1257" w:type="pct"/>
            <w:vAlign w:val="center"/>
          </w:tcPr>
          <w:p w14:paraId="534E443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消防泡沫喷枪</w:t>
            </w:r>
          </w:p>
        </w:tc>
        <w:tc>
          <w:tcPr>
            <w:tcW w:w="1289" w:type="pct"/>
            <w:vAlign w:val="center"/>
          </w:tcPr>
          <w:p w14:paraId="5E2054D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发泡量≥1.5m³/min</w:t>
            </w:r>
          </w:p>
        </w:tc>
        <w:tc>
          <w:tcPr>
            <w:tcW w:w="424" w:type="pct"/>
            <w:vAlign w:val="center"/>
          </w:tcPr>
          <w:p w14:paraId="55B882B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套</w:t>
            </w:r>
          </w:p>
        </w:tc>
        <w:tc>
          <w:tcPr>
            <w:tcW w:w="388" w:type="pct"/>
            <w:vAlign w:val="center"/>
          </w:tcPr>
          <w:p w14:paraId="39A9D49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vAlign w:val="center"/>
          </w:tcPr>
          <w:p w14:paraId="02AFE08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4E861894">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0E27B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2DFDA32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7</w:t>
            </w:r>
          </w:p>
        </w:tc>
        <w:tc>
          <w:tcPr>
            <w:tcW w:w="1257" w:type="pct"/>
            <w:vAlign w:val="center"/>
          </w:tcPr>
          <w:p w14:paraId="28B5009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高倍数泡沫剂</w:t>
            </w:r>
          </w:p>
        </w:tc>
        <w:tc>
          <w:tcPr>
            <w:tcW w:w="1289" w:type="pct"/>
            <w:vAlign w:val="center"/>
          </w:tcPr>
          <w:p w14:paraId="57C4BBE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发泡倍数≥500</w:t>
            </w:r>
          </w:p>
        </w:tc>
        <w:tc>
          <w:tcPr>
            <w:tcW w:w="424" w:type="pct"/>
            <w:vAlign w:val="center"/>
          </w:tcPr>
          <w:p w14:paraId="2C13821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吨</w:t>
            </w:r>
          </w:p>
        </w:tc>
        <w:tc>
          <w:tcPr>
            <w:tcW w:w="388" w:type="pct"/>
            <w:vAlign w:val="center"/>
          </w:tcPr>
          <w:p w14:paraId="37A43A7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0.5</w:t>
            </w:r>
          </w:p>
        </w:tc>
        <w:tc>
          <w:tcPr>
            <w:tcW w:w="818" w:type="pct"/>
            <w:vAlign w:val="center"/>
          </w:tcPr>
          <w:p w14:paraId="79F5367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04F11D10">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1FACA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3112637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8</w:t>
            </w:r>
          </w:p>
        </w:tc>
        <w:tc>
          <w:tcPr>
            <w:tcW w:w="1257" w:type="pct"/>
            <w:vAlign w:val="center"/>
          </w:tcPr>
          <w:p w14:paraId="589C7E5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消防泡沫剂</w:t>
            </w:r>
          </w:p>
        </w:tc>
        <w:tc>
          <w:tcPr>
            <w:tcW w:w="1289" w:type="pct"/>
            <w:vAlign w:val="center"/>
          </w:tcPr>
          <w:p w14:paraId="611F875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发泡倍数≥15</w:t>
            </w:r>
          </w:p>
        </w:tc>
        <w:tc>
          <w:tcPr>
            <w:tcW w:w="424" w:type="pct"/>
            <w:vAlign w:val="center"/>
          </w:tcPr>
          <w:p w14:paraId="7451150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吨</w:t>
            </w:r>
          </w:p>
        </w:tc>
        <w:tc>
          <w:tcPr>
            <w:tcW w:w="388" w:type="pct"/>
            <w:vAlign w:val="center"/>
          </w:tcPr>
          <w:p w14:paraId="6688AD2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w:t>
            </w:r>
          </w:p>
        </w:tc>
        <w:tc>
          <w:tcPr>
            <w:tcW w:w="818" w:type="pct"/>
            <w:vAlign w:val="center"/>
          </w:tcPr>
          <w:p w14:paraId="6B16975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672B32A5">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7CC13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7FBF30F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w:t>
            </w:r>
          </w:p>
        </w:tc>
        <w:tc>
          <w:tcPr>
            <w:tcW w:w="1257" w:type="pct"/>
            <w:vAlign w:val="center"/>
          </w:tcPr>
          <w:p w14:paraId="3E6FF1A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分流管</w:t>
            </w:r>
          </w:p>
        </w:tc>
        <w:tc>
          <w:tcPr>
            <w:tcW w:w="1289" w:type="pct"/>
            <w:vAlign w:val="center"/>
          </w:tcPr>
          <w:p w14:paraId="33610BD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10-50</w:t>
            </w:r>
          </w:p>
        </w:tc>
        <w:tc>
          <w:tcPr>
            <w:tcW w:w="424" w:type="pct"/>
            <w:vAlign w:val="center"/>
          </w:tcPr>
          <w:p w14:paraId="1B61516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7A75E59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vAlign w:val="center"/>
          </w:tcPr>
          <w:p w14:paraId="0F9D990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7BB7FDCE">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4CC82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2F13208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w:t>
            </w:r>
          </w:p>
        </w:tc>
        <w:tc>
          <w:tcPr>
            <w:tcW w:w="1257" w:type="pct"/>
            <w:vAlign w:val="center"/>
          </w:tcPr>
          <w:p w14:paraId="45DFE43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集流器</w:t>
            </w:r>
          </w:p>
        </w:tc>
        <w:tc>
          <w:tcPr>
            <w:tcW w:w="1289" w:type="pct"/>
            <w:vAlign w:val="center"/>
          </w:tcPr>
          <w:p w14:paraId="0F9D557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10-50</w:t>
            </w:r>
          </w:p>
        </w:tc>
        <w:tc>
          <w:tcPr>
            <w:tcW w:w="424" w:type="pct"/>
            <w:vAlign w:val="center"/>
          </w:tcPr>
          <w:p w14:paraId="65C9F10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567D256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vAlign w:val="center"/>
          </w:tcPr>
          <w:p w14:paraId="447CC9A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08FAFBBC">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26E7C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3E672E6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11</w:t>
            </w:r>
          </w:p>
        </w:tc>
        <w:tc>
          <w:tcPr>
            <w:tcW w:w="1257" w:type="pct"/>
            <w:vAlign w:val="center"/>
          </w:tcPr>
          <w:p w14:paraId="22404A1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消火三通</w:t>
            </w:r>
          </w:p>
        </w:tc>
        <w:tc>
          <w:tcPr>
            <w:tcW w:w="1289" w:type="pct"/>
            <w:vAlign w:val="center"/>
          </w:tcPr>
          <w:p w14:paraId="662AB30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10-50</w:t>
            </w:r>
          </w:p>
        </w:tc>
        <w:tc>
          <w:tcPr>
            <w:tcW w:w="424" w:type="pct"/>
            <w:vAlign w:val="center"/>
          </w:tcPr>
          <w:p w14:paraId="10F87E7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5E2B472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vAlign w:val="center"/>
          </w:tcPr>
          <w:p w14:paraId="41E9F87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3A75BF58">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D567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7643063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12</w:t>
            </w:r>
          </w:p>
        </w:tc>
        <w:tc>
          <w:tcPr>
            <w:tcW w:w="1257" w:type="pct"/>
            <w:vAlign w:val="center"/>
          </w:tcPr>
          <w:p w14:paraId="37F10E4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阀门</w:t>
            </w:r>
          </w:p>
        </w:tc>
        <w:tc>
          <w:tcPr>
            <w:tcW w:w="1289" w:type="pct"/>
            <w:vAlign w:val="center"/>
          </w:tcPr>
          <w:p w14:paraId="30B028E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φ50mm</w:t>
            </w:r>
          </w:p>
        </w:tc>
        <w:tc>
          <w:tcPr>
            <w:tcW w:w="424" w:type="pct"/>
            <w:vAlign w:val="center"/>
          </w:tcPr>
          <w:p w14:paraId="7C20039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6FE853F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vAlign w:val="center"/>
          </w:tcPr>
          <w:p w14:paraId="1661E14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083EFFDB">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75058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275F10C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13</w:t>
            </w:r>
          </w:p>
        </w:tc>
        <w:tc>
          <w:tcPr>
            <w:tcW w:w="1257" w:type="pct"/>
            <w:vAlign w:val="center"/>
          </w:tcPr>
          <w:p w14:paraId="22E611F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快速接头及帽盖垫圈</w:t>
            </w:r>
          </w:p>
        </w:tc>
        <w:tc>
          <w:tcPr>
            <w:tcW w:w="1289" w:type="pct"/>
            <w:vAlign w:val="center"/>
          </w:tcPr>
          <w:p w14:paraId="225AC3E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φ50mm</w:t>
            </w:r>
          </w:p>
        </w:tc>
        <w:tc>
          <w:tcPr>
            <w:tcW w:w="424" w:type="pct"/>
            <w:vAlign w:val="center"/>
          </w:tcPr>
          <w:p w14:paraId="4B67755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3ADF25E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90</w:t>
            </w:r>
          </w:p>
        </w:tc>
        <w:tc>
          <w:tcPr>
            <w:tcW w:w="818" w:type="pct"/>
            <w:vAlign w:val="center"/>
          </w:tcPr>
          <w:p w14:paraId="70718F9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77777B3E">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47FEB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5F5DB8F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14</w:t>
            </w:r>
          </w:p>
        </w:tc>
        <w:tc>
          <w:tcPr>
            <w:tcW w:w="1257" w:type="pct"/>
            <w:vAlign w:val="center"/>
          </w:tcPr>
          <w:p w14:paraId="5729F26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管钳子</w:t>
            </w:r>
          </w:p>
        </w:tc>
        <w:tc>
          <w:tcPr>
            <w:tcW w:w="1289" w:type="pct"/>
            <w:vAlign w:val="center"/>
          </w:tcPr>
          <w:p w14:paraId="7A0FAF8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适用于井下各种消防管路</w:t>
            </w:r>
          </w:p>
        </w:tc>
        <w:tc>
          <w:tcPr>
            <w:tcW w:w="424" w:type="pct"/>
            <w:vAlign w:val="center"/>
          </w:tcPr>
          <w:p w14:paraId="267E395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把</w:t>
            </w:r>
          </w:p>
        </w:tc>
        <w:tc>
          <w:tcPr>
            <w:tcW w:w="388" w:type="pct"/>
            <w:vAlign w:val="center"/>
          </w:tcPr>
          <w:p w14:paraId="1A36C0A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8</w:t>
            </w:r>
          </w:p>
        </w:tc>
        <w:tc>
          <w:tcPr>
            <w:tcW w:w="818" w:type="pct"/>
            <w:vAlign w:val="center"/>
          </w:tcPr>
          <w:p w14:paraId="20AE1AF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6097D49D">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1EE4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245B0AD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15</w:t>
            </w:r>
          </w:p>
        </w:tc>
        <w:tc>
          <w:tcPr>
            <w:tcW w:w="1257" w:type="pct"/>
            <w:vAlign w:val="center"/>
          </w:tcPr>
          <w:p w14:paraId="434DC25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折叠式帆布水箱</w:t>
            </w:r>
          </w:p>
        </w:tc>
        <w:tc>
          <w:tcPr>
            <w:tcW w:w="1289" w:type="pct"/>
            <w:vAlign w:val="center"/>
          </w:tcPr>
          <w:p w14:paraId="7F78984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≥15L</w:t>
            </w:r>
          </w:p>
        </w:tc>
        <w:tc>
          <w:tcPr>
            <w:tcW w:w="424" w:type="pct"/>
            <w:vAlign w:val="center"/>
          </w:tcPr>
          <w:p w14:paraId="0E9EC43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7E163A6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vAlign w:val="center"/>
          </w:tcPr>
          <w:p w14:paraId="085666D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6D0D788C">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A5E0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36F07AA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16</w:t>
            </w:r>
          </w:p>
        </w:tc>
        <w:tc>
          <w:tcPr>
            <w:tcW w:w="1257" w:type="pct"/>
            <w:vAlign w:val="center"/>
          </w:tcPr>
          <w:p w14:paraId="1C498E5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救生绳</w:t>
            </w:r>
          </w:p>
        </w:tc>
        <w:tc>
          <w:tcPr>
            <w:tcW w:w="1289" w:type="pct"/>
            <w:vAlign w:val="center"/>
          </w:tcPr>
          <w:p w14:paraId="24D4D81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长20m</w:t>
            </w:r>
          </w:p>
        </w:tc>
        <w:tc>
          <w:tcPr>
            <w:tcW w:w="424" w:type="pct"/>
            <w:vAlign w:val="center"/>
          </w:tcPr>
          <w:p w14:paraId="5D887DF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根</w:t>
            </w:r>
          </w:p>
        </w:tc>
        <w:tc>
          <w:tcPr>
            <w:tcW w:w="388" w:type="pct"/>
            <w:vAlign w:val="center"/>
          </w:tcPr>
          <w:p w14:paraId="1F6A1C7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vAlign w:val="center"/>
          </w:tcPr>
          <w:p w14:paraId="144E648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5A886546">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091B2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2F935FB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17</w:t>
            </w:r>
          </w:p>
        </w:tc>
        <w:tc>
          <w:tcPr>
            <w:tcW w:w="1257" w:type="pct"/>
            <w:vAlign w:val="center"/>
          </w:tcPr>
          <w:p w14:paraId="475883C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伸缩梯</w:t>
            </w:r>
          </w:p>
        </w:tc>
        <w:tc>
          <w:tcPr>
            <w:tcW w:w="1289" w:type="pct"/>
            <w:vAlign w:val="center"/>
          </w:tcPr>
          <w:p w14:paraId="33361EA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高度4m</w:t>
            </w:r>
          </w:p>
        </w:tc>
        <w:tc>
          <w:tcPr>
            <w:tcW w:w="424" w:type="pct"/>
            <w:vAlign w:val="center"/>
          </w:tcPr>
          <w:p w14:paraId="54B9093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副</w:t>
            </w:r>
          </w:p>
        </w:tc>
        <w:tc>
          <w:tcPr>
            <w:tcW w:w="388" w:type="pct"/>
            <w:vAlign w:val="center"/>
          </w:tcPr>
          <w:p w14:paraId="5AFD294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w:t>
            </w:r>
          </w:p>
        </w:tc>
        <w:tc>
          <w:tcPr>
            <w:tcW w:w="818" w:type="pct"/>
            <w:vAlign w:val="center"/>
          </w:tcPr>
          <w:p w14:paraId="7C67CED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1F2BE42B">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7035C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290ECB9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18</w:t>
            </w:r>
          </w:p>
        </w:tc>
        <w:tc>
          <w:tcPr>
            <w:tcW w:w="1257" w:type="pct"/>
            <w:vAlign w:val="center"/>
          </w:tcPr>
          <w:p w14:paraId="172373C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普通梯</w:t>
            </w:r>
          </w:p>
        </w:tc>
        <w:tc>
          <w:tcPr>
            <w:tcW w:w="1289" w:type="pct"/>
            <w:vAlign w:val="center"/>
          </w:tcPr>
          <w:p w14:paraId="393BECE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绝缘</w:t>
            </w:r>
          </w:p>
        </w:tc>
        <w:tc>
          <w:tcPr>
            <w:tcW w:w="424" w:type="pct"/>
            <w:vAlign w:val="center"/>
          </w:tcPr>
          <w:p w14:paraId="72CA159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副</w:t>
            </w:r>
          </w:p>
        </w:tc>
        <w:tc>
          <w:tcPr>
            <w:tcW w:w="388" w:type="pct"/>
            <w:vAlign w:val="center"/>
          </w:tcPr>
          <w:p w14:paraId="2E51721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vAlign w:val="center"/>
          </w:tcPr>
          <w:p w14:paraId="36A9433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757BE0CC">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26B66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vAlign w:val="center"/>
          </w:tcPr>
          <w:p w14:paraId="380A554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19</w:t>
            </w:r>
          </w:p>
        </w:tc>
        <w:tc>
          <w:tcPr>
            <w:tcW w:w="1257" w:type="pct"/>
            <w:vAlign w:val="center"/>
          </w:tcPr>
          <w:p w14:paraId="4AC880E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泡沫灭火器</w:t>
            </w:r>
          </w:p>
        </w:tc>
        <w:tc>
          <w:tcPr>
            <w:tcW w:w="1289" w:type="pct"/>
            <w:vAlign w:val="center"/>
          </w:tcPr>
          <w:p w14:paraId="4F78D6E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9L</w:t>
            </w:r>
          </w:p>
        </w:tc>
        <w:tc>
          <w:tcPr>
            <w:tcW w:w="424" w:type="pct"/>
            <w:vAlign w:val="center"/>
          </w:tcPr>
          <w:p w14:paraId="1F61071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094895F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25</w:t>
            </w:r>
          </w:p>
        </w:tc>
        <w:tc>
          <w:tcPr>
            <w:tcW w:w="818" w:type="pct"/>
            <w:vAlign w:val="center"/>
          </w:tcPr>
          <w:p w14:paraId="6700F07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2C00FF47">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18D5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2316D54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20</w:t>
            </w:r>
          </w:p>
        </w:tc>
        <w:tc>
          <w:tcPr>
            <w:tcW w:w="1257" w:type="pct"/>
            <w:vAlign w:val="center"/>
          </w:tcPr>
          <w:p w14:paraId="08D2259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二氧化碳灭火器</w:t>
            </w:r>
          </w:p>
        </w:tc>
        <w:tc>
          <w:tcPr>
            <w:tcW w:w="1289" w:type="pct"/>
            <w:vAlign w:val="center"/>
          </w:tcPr>
          <w:p w14:paraId="090FD14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7kg</w:t>
            </w:r>
          </w:p>
        </w:tc>
        <w:tc>
          <w:tcPr>
            <w:tcW w:w="424" w:type="pct"/>
            <w:vAlign w:val="center"/>
          </w:tcPr>
          <w:p w14:paraId="24812AA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60BC491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w:t>
            </w:r>
          </w:p>
        </w:tc>
        <w:tc>
          <w:tcPr>
            <w:tcW w:w="818" w:type="pct"/>
            <w:vAlign w:val="center"/>
          </w:tcPr>
          <w:p w14:paraId="1797B94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29DF7151">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9A49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03B05EA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21</w:t>
            </w:r>
          </w:p>
        </w:tc>
        <w:tc>
          <w:tcPr>
            <w:tcW w:w="1257" w:type="pct"/>
            <w:vAlign w:val="center"/>
          </w:tcPr>
          <w:p w14:paraId="21D15BB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干粉灭火器</w:t>
            </w:r>
          </w:p>
        </w:tc>
        <w:tc>
          <w:tcPr>
            <w:tcW w:w="1289" w:type="pct"/>
            <w:vAlign w:val="center"/>
          </w:tcPr>
          <w:p w14:paraId="29BBDAC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8kg</w:t>
            </w:r>
          </w:p>
        </w:tc>
        <w:tc>
          <w:tcPr>
            <w:tcW w:w="424" w:type="pct"/>
            <w:vAlign w:val="center"/>
          </w:tcPr>
          <w:p w14:paraId="6B21541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5015976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14</w:t>
            </w:r>
          </w:p>
        </w:tc>
        <w:tc>
          <w:tcPr>
            <w:tcW w:w="818" w:type="pct"/>
            <w:vAlign w:val="center"/>
          </w:tcPr>
          <w:p w14:paraId="22B7E86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740DB0AC">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F97E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264" w:type="pct"/>
            <w:tcBorders>
              <w:left w:val="single" w:color="000000" w:sz="4" w:space="0"/>
            </w:tcBorders>
            <w:vAlign w:val="center"/>
          </w:tcPr>
          <w:p w14:paraId="4828037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22</w:t>
            </w:r>
          </w:p>
        </w:tc>
        <w:tc>
          <w:tcPr>
            <w:tcW w:w="1257" w:type="pct"/>
            <w:vAlign w:val="center"/>
          </w:tcPr>
          <w:p w14:paraId="3D2F895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喷雾喷嘴</w:t>
            </w:r>
          </w:p>
        </w:tc>
        <w:tc>
          <w:tcPr>
            <w:tcW w:w="1289" w:type="pct"/>
            <w:vAlign w:val="center"/>
          </w:tcPr>
          <w:p w14:paraId="73B76B2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φ50mm</w:t>
            </w:r>
          </w:p>
        </w:tc>
        <w:tc>
          <w:tcPr>
            <w:tcW w:w="424" w:type="pct"/>
            <w:vAlign w:val="center"/>
          </w:tcPr>
          <w:p w14:paraId="2037C54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064CA88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vAlign w:val="center"/>
          </w:tcPr>
          <w:p w14:paraId="6FFB9F8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7D21B27B">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1C541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64" w:type="pct"/>
            <w:tcBorders>
              <w:left w:val="single" w:color="000000" w:sz="4" w:space="0"/>
            </w:tcBorders>
            <w:vAlign w:val="center"/>
          </w:tcPr>
          <w:p w14:paraId="224361C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23</w:t>
            </w:r>
          </w:p>
        </w:tc>
        <w:tc>
          <w:tcPr>
            <w:tcW w:w="1257" w:type="pct"/>
            <w:vAlign w:val="center"/>
          </w:tcPr>
          <w:p w14:paraId="30567B7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06EB2BB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泡沫灭火器起泡药瓶</w:t>
            </w:r>
          </w:p>
        </w:tc>
        <w:tc>
          <w:tcPr>
            <w:tcW w:w="1289" w:type="pct"/>
            <w:vAlign w:val="center"/>
          </w:tcPr>
          <w:p w14:paraId="58DB70E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500ml</w:t>
            </w:r>
          </w:p>
        </w:tc>
        <w:tc>
          <w:tcPr>
            <w:tcW w:w="424" w:type="pct"/>
            <w:vAlign w:val="center"/>
          </w:tcPr>
          <w:p w14:paraId="412A265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个</w:t>
            </w:r>
          </w:p>
        </w:tc>
        <w:tc>
          <w:tcPr>
            <w:tcW w:w="388" w:type="pct"/>
            <w:vAlign w:val="center"/>
          </w:tcPr>
          <w:p w14:paraId="6526566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25</w:t>
            </w:r>
          </w:p>
        </w:tc>
        <w:tc>
          <w:tcPr>
            <w:tcW w:w="818" w:type="pct"/>
            <w:vAlign w:val="center"/>
          </w:tcPr>
          <w:p w14:paraId="469A210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vAlign w:val="center"/>
          </w:tcPr>
          <w:p w14:paraId="11655E00">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22C12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581D6143">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2</w:t>
            </w:r>
            <w:r>
              <w:rPr>
                <w:rFonts w:hint="eastAsia" w:ascii="宋体" w:hAnsi="宋体" w:eastAsia="宋体" w:cs="宋体"/>
                <w:color w:val="auto"/>
                <w:kern w:val="0"/>
                <w:sz w:val="24"/>
                <w:lang w:val="en-US" w:eastAsia="zh-CN" w:bidi="ar"/>
              </w:rPr>
              <w:t>4</w:t>
            </w:r>
          </w:p>
        </w:tc>
        <w:tc>
          <w:tcPr>
            <w:tcW w:w="1257" w:type="pct"/>
            <w:shd w:val="clear" w:color="auto" w:fill="auto"/>
            <w:vAlign w:val="center"/>
          </w:tcPr>
          <w:p w14:paraId="387FD61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灭火岩粉</w:t>
            </w:r>
          </w:p>
        </w:tc>
        <w:tc>
          <w:tcPr>
            <w:tcW w:w="1289" w:type="pct"/>
            <w:shd w:val="clear" w:color="auto" w:fill="auto"/>
            <w:vAlign w:val="center"/>
          </w:tcPr>
          <w:p w14:paraId="0474E75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粒度＜0.3mm</w:t>
            </w:r>
          </w:p>
        </w:tc>
        <w:tc>
          <w:tcPr>
            <w:tcW w:w="424" w:type="pct"/>
            <w:shd w:val="clear" w:color="auto" w:fill="auto"/>
            <w:vAlign w:val="center"/>
          </w:tcPr>
          <w:p w14:paraId="5FCB45B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kg</w:t>
            </w:r>
          </w:p>
        </w:tc>
        <w:tc>
          <w:tcPr>
            <w:tcW w:w="388" w:type="pct"/>
            <w:shd w:val="clear" w:color="auto" w:fill="auto"/>
            <w:vAlign w:val="center"/>
          </w:tcPr>
          <w:p w14:paraId="618F255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500</w:t>
            </w:r>
          </w:p>
        </w:tc>
        <w:tc>
          <w:tcPr>
            <w:tcW w:w="818" w:type="pct"/>
            <w:shd w:val="clear" w:color="auto" w:fill="auto"/>
            <w:vAlign w:val="center"/>
          </w:tcPr>
          <w:p w14:paraId="6A2403A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61C45E79">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1D72B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01D7E438">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2</w:t>
            </w:r>
            <w:r>
              <w:rPr>
                <w:rFonts w:hint="eastAsia" w:ascii="宋体" w:hAnsi="宋体" w:eastAsia="宋体" w:cs="宋体"/>
                <w:color w:val="auto"/>
                <w:kern w:val="0"/>
                <w:sz w:val="24"/>
                <w:lang w:val="en-US" w:eastAsia="zh-CN" w:bidi="ar"/>
              </w:rPr>
              <w:t>5</w:t>
            </w:r>
          </w:p>
        </w:tc>
        <w:tc>
          <w:tcPr>
            <w:tcW w:w="1257" w:type="pct"/>
            <w:shd w:val="clear" w:color="auto" w:fill="auto"/>
            <w:vAlign w:val="center"/>
          </w:tcPr>
          <w:p w14:paraId="03582EA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石棉毯</w:t>
            </w:r>
          </w:p>
        </w:tc>
        <w:tc>
          <w:tcPr>
            <w:tcW w:w="1289" w:type="pct"/>
            <w:shd w:val="clear" w:color="auto" w:fill="auto"/>
            <w:vAlign w:val="center"/>
          </w:tcPr>
          <w:p w14:paraId="3EAD004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≥1m×1m</w:t>
            </w:r>
          </w:p>
        </w:tc>
        <w:tc>
          <w:tcPr>
            <w:tcW w:w="424" w:type="pct"/>
            <w:shd w:val="clear" w:color="auto" w:fill="auto"/>
            <w:vAlign w:val="center"/>
          </w:tcPr>
          <w:p w14:paraId="3E9DF9A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块</w:t>
            </w:r>
          </w:p>
        </w:tc>
        <w:tc>
          <w:tcPr>
            <w:tcW w:w="388" w:type="pct"/>
            <w:shd w:val="clear" w:color="auto" w:fill="auto"/>
            <w:vAlign w:val="center"/>
          </w:tcPr>
          <w:p w14:paraId="2FF4F23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w:t>
            </w:r>
          </w:p>
        </w:tc>
        <w:tc>
          <w:tcPr>
            <w:tcW w:w="818" w:type="pct"/>
            <w:shd w:val="clear" w:color="auto" w:fill="auto"/>
            <w:vAlign w:val="center"/>
          </w:tcPr>
          <w:p w14:paraId="675F673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7236F30C">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47CFD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6385724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26</w:t>
            </w:r>
          </w:p>
        </w:tc>
        <w:tc>
          <w:tcPr>
            <w:tcW w:w="1257" w:type="pct"/>
            <w:shd w:val="clear" w:color="auto" w:fill="auto"/>
            <w:vAlign w:val="center"/>
          </w:tcPr>
          <w:p w14:paraId="4F06BDE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水泥</w:t>
            </w:r>
          </w:p>
        </w:tc>
        <w:tc>
          <w:tcPr>
            <w:tcW w:w="1289" w:type="pct"/>
            <w:shd w:val="clear" w:color="auto" w:fill="auto"/>
            <w:vAlign w:val="center"/>
          </w:tcPr>
          <w:p w14:paraId="6749CA4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强度等级≥42.5</w:t>
            </w:r>
          </w:p>
        </w:tc>
        <w:tc>
          <w:tcPr>
            <w:tcW w:w="424" w:type="pct"/>
            <w:shd w:val="clear" w:color="auto" w:fill="auto"/>
            <w:vAlign w:val="center"/>
          </w:tcPr>
          <w:p w14:paraId="1040824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吨</w:t>
            </w:r>
          </w:p>
        </w:tc>
        <w:tc>
          <w:tcPr>
            <w:tcW w:w="388" w:type="pct"/>
            <w:shd w:val="clear" w:color="auto" w:fill="auto"/>
            <w:vAlign w:val="center"/>
          </w:tcPr>
          <w:p w14:paraId="6E68C5C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w:t>
            </w:r>
          </w:p>
        </w:tc>
        <w:tc>
          <w:tcPr>
            <w:tcW w:w="818" w:type="pct"/>
            <w:shd w:val="clear" w:color="auto" w:fill="auto"/>
            <w:vAlign w:val="center"/>
          </w:tcPr>
          <w:p w14:paraId="3676727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14177F91">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21D14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4DA25F38">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2</w:t>
            </w:r>
            <w:r>
              <w:rPr>
                <w:rFonts w:hint="eastAsia" w:ascii="宋体" w:hAnsi="宋体" w:eastAsia="宋体" w:cs="宋体"/>
                <w:color w:val="auto"/>
                <w:kern w:val="0"/>
                <w:sz w:val="24"/>
                <w:lang w:val="en-US" w:eastAsia="zh-CN" w:bidi="ar"/>
              </w:rPr>
              <w:t>7</w:t>
            </w:r>
          </w:p>
        </w:tc>
        <w:tc>
          <w:tcPr>
            <w:tcW w:w="1257" w:type="pct"/>
            <w:shd w:val="clear" w:color="auto" w:fill="auto"/>
            <w:vAlign w:val="center"/>
          </w:tcPr>
          <w:p w14:paraId="02DEEB9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水玻璃</w:t>
            </w:r>
          </w:p>
        </w:tc>
        <w:tc>
          <w:tcPr>
            <w:tcW w:w="1289" w:type="pct"/>
            <w:shd w:val="clear" w:color="auto" w:fill="auto"/>
            <w:vAlign w:val="center"/>
          </w:tcPr>
          <w:p w14:paraId="1264704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工业级</w:t>
            </w:r>
          </w:p>
        </w:tc>
        <w:tc>
          <w:tcPr>
            <w:tcW w:w="424" w:type="pct"/>
            <w:shd w:val="clear" w:color="auto" w:fill="auto"/>
            <w:vAlign w:val="center"/>
          </w:tcPr>
          <w:p w14:paraId="78A43A1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吨</w:t>
            </w:r>
          </w:p>
        </w:tc>
        <w:tc>
          <w:tcPr>
            <w:tcW w:w="388" w:type="pct"/>
            <w:shd w:val="clear" w:color="auto" w:fill="auto"/>
            <w:vAlign w:val="center"/>
          </w:tcPr>
          <w:p w14:paraId="41C6B7D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w:t>
            </w:r>
          </w:p>
        </w:tc>
        <w:tc>
          <w:tcPr>
            <w:tcW w:w="818" w:type="pct"/>
            <w:shd w:val="clear" w:color="auto" w:fill="auto"/>
            <w:vAlign w:val="center"/>
          </w:tcPr>
          <w:p w14:paraId="2D22407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7A0AA950">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7E038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38B7EAE5">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2</w:t>
            </w:r>
            <w:r>
              <w:rPr>
                <w:rFonts w:hint="eastAsia" w:ascii="宋体" w:hAnsi="宋体" w:eastAsia="宋体" w:cs="宋体"/>
                <w:color w:val="auto"/>
                <w:kern w:val="0"/>
                <w:sz w:val="24"/>
                <w:lang w:val="en-US" w:eastAsia="zh-CN" w:bidi="ar"/>
              </w:rPr>
              <w:t>8</w:t>
            </w:r>
          </w:p>
        </w:tc>
        <w:tc>
          <w:tcPr>
            <w:tcW w:w="1257" w:type="pct"/>
            <w:shd w:val="clear" w:color="auto" w:fill="auto"/>
            <w:vAlign w:val="center"/>
          </w:tcPr>
          <w:p w14:paraId="04F7AC6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石灰</w:t>
            </w:r>
          </w:p>
        </w:tc>
        <w:tc>
          <w:tcPr>
            <w:tcW w:w="1289" w:type="pct"/>
            <w:shd w:val="clear" w:color="auto" w:fill="auto"/>
            <w:vAlign w:val="center"/>
          </w:tcPr>
          <w:p w14:paraId="32ED586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普通石灰</w:t>
            </w:r>
          </w:p>
        </w:tc>
        <w:tc>
          <w:tcPr>
            <w:tcW w:w="424" w:type="pct"/>
            <w:shd w:val="clear" w:color="auto" w:fill="auto"/>
            <w:vAlign w:val="center"/>
          </w:tcPr>
          <w:p w14:paraId="23E6931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吨</w:t>
            </w:r>
          </w:p>
        </w:tc>
        <w:tc>
          <w:tcPr>
            <w:tcW w:w="388" w:type="pct"/>
            <w:shd w:val="clear" w:color="auto" w:fill="auto"/>
            <w:vAlign w:val="center"/>
          </w:tcPr>
          <w:p w14:paraId="3418790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shd w:val="clear" w:color="auto" w:fill="auto"/>
            <w:vAlign w:val="center"/>
          </w:tcPr>
          <w:p w14:paraId="47D2119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0A13FE91">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1F5CD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55F8B00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29</w:t>
            </w:r>
          </w:p>
        </w:tc>
        <w:tc>
          <w:tcPr>
            <w:tcW w:w="1257" w:type="pct"/>
            <w:shd w:val="clear" w:color="auto" w:fill="auto"/>
            <w:vAlign w:val="center"/>
          </w:tcPr>
          <w:p w14:paraId="6C60CC5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速接钢管</w:t>
            </w:r>
          </w:p>
        </w:tc>
        <w:tc>
          <w:tcPr>
            <w:tcW w:w="1289" w:type="pct"/>
            <w:shd w:val="clear" w:color="auto" w:fill="auto"/>
            <w:vAlign w:val="center"/>
          </w:tcPr>
          <w:p w14:paraId="16E6754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φ89</w:t>
            </w:r>
          </w:p>
        </w:tc>
        <w:tc>
          <w:tcPr>
            <w:tcW w:w="424" w:type="pct"/>
            <w:shd w:val="clear" w:color="auto" w:fill="auto"/>
            <w:vAlign w:val="center"/>
          </w:tcPr>
          <w:p w14:paraId="6C6C7D5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节</w:t>
            </w:r>
          </w:p>
        </w:tc>
        <w:tc>
          <w:tcPr>
            <w:tcW w:w="388" w:type="pct"/>
            <w:shd w:val="clear" w:color="auto" w:fill="auto"/>
            <w:vAlign w:val="center"/>
          </w:tcPr>
          <w:p w14:paraId="1111207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150</w:t>
            </w:r>
          </w:p>
        </w:tc>
        <w:tc>
          <w:tcPr>
            <w:tcW w:w="818" w:type="pct"/>
            <w:shd w:val="clear" w:color="auto" w:fill="auto"/>
            <w:vAlign w:val="center"/>
          </w:tcPr>
          <w:p w14:paraId="73E6320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1F781779">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72B4D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1C162C14">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0</w:t>
            </w:r>
          </w:p>
        </w:tc>
        <w:tc>
          <w:tcPr>
            <w:tcW w:w="1257" w:type="pct"/>
            <w:shd w:val="clear" w:color="auto" w:fill="auto"/>
            <w:vAlign w:val="center"/>
          </w:tcPr>
          <w:p w14:paraId="50A6A37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胶管</w:t>
            </w:r>
          </w:p>
        </w:tc>
        <w:tc>
          <w:tcPr>
            <w:tcW w:w="1289" w:type="pct"/>
            <w:shd w:val="clear" w:color="auto" w:fill="auto"/>
            <w:vAlign w:val="center"/>
          </w:tcPr>
          <w:p w14:paraId="7205E7E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tc>
        <w:tc>
          <w:tcPr>
            <w:tcW w:w="424" w:type="pct"/>
            <w:shd w:val="clear" w:color="auto" w:fill="auto"/>
            <w:vAlign w:val="center"/>
          </w:tcPr>
          <w:p w14:paraId="1844615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w:t>
            </w:r>
          </w:p>
        </w:tc>
        <w:tc>
          <w:tcPr>
            <w:tcW w:w="388" w:type="pct"/>
            <w:shd w:val="clear" w:color="auto" w:fill="auto"/>
            <w:vAlign w:val="center"/>
          </w:tcPr>
          <w:p w14:paraId="76DD49D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1500</w:t>
            </w:r>
          </w:p>
        </w:tc>
        <w:tc>
          <w:tcPr>
            <w:tcW w:w="818" w:type="pct"/>
            <w:shd w:val="clear" w:color="auto" w:fill="auto"/>
            <w:vAlign w:val="center"/>
          </w:tcPr>
          <w:p w14:paraId="19630A0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4EAB8C03">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16FD0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64" w:type="pct"/>
            <w:tcBorders>
              <w:left w:val="single" w:color="000000" w:sz="4" w:space="0"/>
            </w:tcBorders>
            <w:shd w:val="clear" w:color="auto" w:fill="auto"/>
            <w:vAlign w:val="center"/>
          </w:tcPr>
          <w:p w14:paraId="7C38BDB1">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1</w:t>
            </w:r>
          </w:p>
        </w:tc>
        <w:tc>
          <w:tcPr>
            <w:tcW w:w="1257" w:type="pct"/>
            <w:shd w:val="clear" w:color="auto" w:fill="auto"/>
            <w:vAlign w:val="center"/>
          </w:tcPr>
          <w:p w14:paraId="7B93DEB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70754AD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局扇</w:t>
            </w:r>
          </w:p>
        </w:tc>
        <w:tc>
          <w:tcPr>
            <w:tcW w:w="1289" w:type="pct"/>
            <w:shd w:val="clear" w:color="auto" w:fill="auto"/>
            <w:vAlign w:val="center"/>
          </w:tcPr>
          <w:p w14:paraId="25C7A1D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28</w:t>
            </w:r>
            <w:r>
              <w:rPr>
                <w:rFonts w:hint="eastAsia" w:ascii="宋体" w:hAnsi="宋体" w:eastAsia="宋体" w:cs="宋体"/>
                <w:color w:val="auto"/>
                <w:kern w:val="0"/>
                <w:sz w:val="24"/>
                <w:lang w:val="en-US" w:eastAsia="zh-CN" w:bidi="ar"/>
              </w:rPr>
              <w:t>kW</w:t>
            </w:r>
          </w:p>
        </w:tc>
        <w:tc>
          <w:tcPr>
            <w:tcW w:w="424" w:type="pct"/>
            <w:shd w:val="clear" w:color="auto" w:fill="auto"/>
            <w:vAlign w:val="center"/>
          </w:tcPr>
          <w:p w14:paraId="111029E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shd w:val="clear" w:color="auto" w:fill="auto"/>
            <w:vAlign w:val="center"/>
          </w:tcPr>
          <w:p w14:paraId="4CE9D0F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3</w:t>
            </w:r>
          </w:p>
        </w:tc>
        <w:tc>
          <w:tcPr>
            <w:tcW w:w="818" w:type="pct"/>
            <w:shd w:val="clear" w:color="auto" w:fill="auto"/>
            <w:vAlign w:val="center"/>
          </w:tcPr>
          <w:p w14:paraId="7114687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69EBFCAA">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63094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5DCB3AF3">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2</w:t>
            </w:r>
          </w:p>
        </w:tc>
        <w:tc>
          <w:tcPr>
            <w:tcW w:w="1257" w:type="pct"/>
            <w:vAlign w:val="center"/>
          </w:tcPr>
          <w:p w14:paraId="5832CD5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局扇</w:t>
            </w:r>
          </w:p>
        </w:tc>
        <w:tc>
          <w:tcPr>
            <w:tcW w:w="1289" w:type="pct"/>
            <w:shd w:val="clear" w:color="auto" w:fill="auto"/>
            <w:vAlign w:val="center"/>
          </w:tcPr>
          <w:p w14:paraId="125F2AA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11</w:t>
            </w:r>
            <w:r>
              <w:rPr>
                <w:rFonts w:hint="eastAsia" w:ascii="宋体" w:hAnsi="宋体" w:eastAsia="宋体" w:cs="宋体"/>
                <w:color w:val="auto"/>
                <w:kern w:val="0"/>
                <w:sz w:val="24"/>
                <w:lang w:val="en-US" w:eastAsia="zh-CN" w:bidi="ar"/>
              </w:rPr>
              <w:t>kW</w:t>
            </w:r>
          </w:p>
        </w:tc>
        <w:tc>
          <w:tcPr>
            <w:tcW w:w="424" w:type="pct"/>
            <w:shd w:val="clear" w:color="auto" w:fill="auto"/>
            <w:vAlign w:val="center"/>
          </w:tcPr>
          <w:p w14:paraId="1C75AA4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shd w:val="clear" w:color="auto" w:fill="auto"/>
            <w:vAlign w:val="center"/>
          </w:tcPr>
          <w:p w14:paraId="31D57E3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3</w:t>
            </w:r>
          </w:p>
        </w:tc>
        <w:tc>
          <w:tcPr>
            <w:tcW w:w="818" w:type="pct"/>
            <w:shd w:val="clear" w:color="auto" w:fill="auto"/>
            <w:vAlign w:val="center"/>
          </w:tcPr>
          <w:p w14:paraId="65723F2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3C7B7D82">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B3F3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41E72930">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3</w:t>
            </w:r>
          </w:p>
        </w:tc>
        <w:tc>
          <w:tcPr>
            <w:tcW w:w="1257" w:type="pct"/>
            <w:shd w:val="clear" w:color="auto" w:fill="auto"/>
            <w:vAlign w:val="center"/>
          </w:tcPr>
          <w:p w14:paraId="23010E2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接管工具</w:t>
            </w:r>
          </w:p>
        </w:tc>
        <w:tc>
          <w:tcPr>
            <w:tcW w:w="1289" w:type="pct"/>
            <w:shd w:val="clear" w:color="auto" w:fill="auto"/>
            <w:vAlign w:val="center"/>
          </w:tcPr>
          <w:p w14:paraId="7C7515C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KJ-20-46</w:t>
            </w:r>
          </w:p>
        </w:tc>
        <w:tc>
          <w:tcPr>
            <w:tcW w:w="424" w:type="pct"/>
            <w:shd w:val="clear" w:color="auto" w:fill="auto"/>
            <w:vAlign w:val="center"/>
          </w:tcPr>
          <w:p w14:paraId="320E786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套</w:t>
            </w:r>
          </w:p>
        </w:tc>
        <w:tc>
          <w:tcPr>
            <w:tcW w:w="388" w:type="pct"/>
            <w:shd w:val="clear" w:color="auto" w:fill="auto"/>
            <w:vAlign w:val="center"/>
          </w:tcPr>
          <w:p w14:paraId="40C62B2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818" w:type="pct"/>
            <w:shd w:val="clear" w:color="auto" w:fill="auto"/>
            <w:vAlign w:val="center"/>
          </w:tcPr>
          <w:p w14:paraId="5E9A689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34657371">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5F2F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73C51E9F">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4</w:t>
            </w:r>
          </w:p>
        </w:tc>
        <w:tc>
          <w:tcPr>
            <w:tcW w:w="1257" w:type="pct"/>
            <w:shd w:val="clear" w:color="auto" w:fill="auto"/>
            <w:vAlign w:val="center"/>
          </w:tcPr>
          <w:p w14:paraId="47AC48C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单相变压器</w:t>
            </w:r>
          </w:p>
        </w:tc>
        <w:tc>
          <w:tcPr>
            <w:tcW w:w="1289" w:type="pct"/>
            <w:shd w:val="clear" w:color="auto" w:fill="auto"/>
            <w:vAlign w:val="center"/>
          </w:tcPr>
          <w:p w14:paraId="18950D7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容量≥10kV*A</w:t>
            </w:r>
          </w:p>
        </w:tc>
        <w:tc>
          <w:tcPr>
            <w:tcW w:w="424" w:type="pct"/>
            <w:shd w:val="clear" w:color="auto" w:fill="auto"/>
            <w:vAlign w:val="center"/>
          </w:tcPr>
          <w:p w14:paraId="7CE5290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shd w:val="clear" w:color="auto" w:fill="auto"/>
            <w:vAlign w:val="center"/>
          </w:tcPr>
          <w:p w14:paraId="0D011E1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3</w:t>
            </w:r>
          </w:p>
        </w:tc>
        <w:tc>
          <w:tcPr>
            <w:tcW w:w="818" w:type="pct"/>
            <w:shd w:val="clear" w:color="auto" w:fill="auto"/>
            <w:vAlign w:val="center"/>
          </w:tcPr>
          <w:p w14:paraId="79F6B52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056E72BD">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6AD3E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3DC4AAB6">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5</w:t>
            </w:r>
          </w:p>
        </w:tc>
        <w:tc>
          <w:tcPr>
            <w:tcW w:w="1257" w:type="pct"/>
            <w:shd w:val="clear" w:color="auto" w:fill="auto"/>
            <w:vAlign w:val="center"/>
          </w:tcPr>
          <w:p w14:paraId="5237026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电力开关</w:t>
            </w:r>
          </w:p>
        </w:tc>
        <w:tc>
          <w:tcPr>
            <w:tcW w:w="1289" w:type="pct"/>
            <w:shd w:val="clear" w:color="auto" w:fill="auto"/>
            <w:vAlign w:val="center"/>
          </w:tcPr>
          <w:p w14:paraId="18938BF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QBZ</w:t>
            </w:r>
          </w:p>
        </w:tc>
        <w:tc>
          <w:tcPr>
            <w:tcW w:w="424" w:type="pct"/>
            <w:shd w:val="clear" w:color="auto" w:fill="auto"/>
            <w:vAlign w:val="center"/>
          </w:tcPr>
          <w:p w14:paraId="2623D47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shd w:val="clear" w:color="auto" w:fill="auto"/>
            <w:vAlign w:val="center"/>
          </w:tcPr>
          <w:p w14:paraId="32799E1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3</w:t>
            </w:r>
          </w:p>
        </w:tc>
        <w:tc>
          <w:tcPr>
            <w:tcW w:w="818" w:type="pct"/>
            <w:shd w:val="clear" w:color="auto" w:fill="auto"/>
            <w:vAlign w:val="center"/>
          </w:tcPr>
          <w:p w14:paraId="019BDE6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5B24F1A0">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0ACD4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6E9A4810">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6</w:t>
            </w:r>
          </w:p>
        </w:tc>
        <w:tc>
          <w:tcPr>
            <w:tcW w:w="1257" w:type="pct"/>
            <w:shd w:val="clear" w:color="auto" w:fill="auto"/>
            <w:vAlign w:val="center"/>
          </w:tcPr>
          <w:p w14:paraId="6DB6B00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电缆</w:t>
            </w:r>
          </w:p>
        </w:tc>
        <w:tc>
          <w:tcPr>
            <w:tcW w:w="1289" w:type="pct"/>
            <w:shd w:val="clear" w:color="auto" w:fill="auto"/>
            <w:vAlign w:val="center"/>
          </w:tcPr>
          <w:p w14:paraId="071F348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矿用阻燃</w:t>
            </w:r>
          </w:p>
        </w:tc>
        <w:tc>
          <w:tcPr>
            <w:tcW w:w="424" w:type="pct"/>
            <w:shd w:val="clear" w:color="auto" w:fill="auto"/>
            <w:vAlign w:val="center"/>
          </w:tcPr>
          <w:p w14:paraId="5BC7D1E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w:t>
            </w:r>
          </w:p>
        </w:tc>
        <w:tc>
          <w:tcPr>
            <w:tcW w:w="388" w:type="pct"/>
            <w:shd w:val="clear" w:color="auto" w:fill="auto"/>
            <w:vAlign w:val="center"/>
          </w:tcPr>
          <w:p w14:paraId="4F051F0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500</w:t>
            </w:r>
          </w:p>
        </w:tc>
        <w:tc>
          <w:tcPr>
            <w:tcW w:w="818" w:type="pct"/>
            <w:shd w:val="clear" w:color="auto" w:fill="auto"/>
            <w:vAlign w:val="center"/>
          </w:tcPr>
          <w:p w14:paraId="2FCC6A1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5510A5B3">
            <w:pPr>
              <w:adjustRightInd w:val="0"/>
              <w:snapToGrid w:val="0"/>
              <w:jc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074CB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194DDE1F">
            <w:pPr>
              <w:keepNext w:val="0"/>
              <w:keepLines w:val="0"/>
              <w:widowControl/>
              <w:suppressLineNumbers w:val="0"/>
              <w:spacing w:before="0" w:beforeAutospacing="0" w:after="0" w:afterAutospacing="0" w:line="240" w:lineRule="exact"/>
              <w:ind w:left="0" w:right="0"/>
              <w:jc w:val="center"/>
              <w:textAlignment w:val="center"/>
              <w:rPr>
                <w:rFonts w:hint="eastAsia"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en-US" w:bidi="ar"/>
              </w:rPr>
              <w:t>3</w:t>
            </w:r>
            <w:r>
              <w:rPr>
                <w:rFonts w:hint="eastAsia" w:ascii="宋体" w:hAnsi="宋体" w:eastAsia="宋体" w:cs="宋体"/>
                <w:color w:val="auto"/>
                <w:kern w:val="0"/>
                <w:sz w:val="24"/>
                <w:lang w:val="en-US" w:eastAsia="zh-CN" w:bidi="ar"/>
              </w:rPr>
              <w:t>7</w:t>
            </w:r>
          </w:p>
        </w:tc>
        <w:tc>
          <w:tcPr>
            <w:tcW w:w="1257" w:type="pct"/>
            <w:shd w:val="clear" w:color="auto" w:fill="auto"/>
            <w:vAlign w:val="center"/>
          </w:tcPr>
          <w:p w14:paraId="7180864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玻璃棉</w:t>
            </w:r>
          </w:p>
        </w:tc>
        <w:tc>
          <w:tcPr>
            <w:tcW w:w="1289" w:type="pct"/>
            <w:shd w:val="clear" w:color="auto" w:fill="auto"/>
            <w:vAlign w:val="center"/>
          </w:tcPr>
          <w:p w14:paraId="5F7BF62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tc>
        <w:tc>
          <w:tcPr>
            <w:tcW w:w="424" w:type="pct"/>
            <w:shd w:val="clear" w:color="auto" w:fill="auto"/>
            <w:vAlign w:val="center"/>
          </w:tcPr>
          <w:p w14:paraId="4D043EB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kg</w:t>
            </w:r>
          </w:p>
        </w:tc>
        <w:tc>
          <w:tcPr>
            <w:tcW w:w="388" w:type="pct"/>
            <w:shd w:val="clear" w:color="auto" w:fill="auto"/>
            <w:vAlign w:val="center"/>
          </w:tcPr>
          <w:p w14:paraId="7B4D30D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1000</w:t>
            </w:r>
          </w:p>
        </w:tc>
        <w:tc>
          <w:tcPr>
            <w:tcW w:w="818" w:type="pct"/>
            <w:shd w:val="clear" w:color="auto" w:fill="auto"/>
            <w:vAlign w:val="center"/>
          </w:tcPr>
          <w:p w14:paraId="7E78FA2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2DD31683">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48121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1DFB38E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38</w:t>
            </w:r>
          </w:p>
        </w:tc>
        <w:tc>
          <w:tcPr>
            <w:tcW w:w="1257" w:type="pct"/>
            <w:shd w:val="clear" w:color="auto" w:fill="auto"/>
            <w:vAlign w:val="center"/>
          </w:tcPr>
          <w:p w14:paraId="617CAE0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风镐</w:t>
            </w:r>
          </w:p>
        </w:tc>
        <w:tc>
          <w:tcPr>
            <w:tcW w:w="1289" w:type="pct"/>
            <w:shd w:val="clear" w:color="auto" w:fill="auto"/>
            <w:vAlign w:val="center"/>
          </w:tcPr>
          <w:p w14:paraId="6E943EF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tc>
        <w:tc>
          <w:tcPr>
            <w:tcW w:w="424" w:type="pct"/>
            <w:shd w:val="clear" w:color="auto" w:fill="auto"/>
            <w:vAlign w:val="center"/>
          </w:tcPr>
          <w:p w14:paraId="283FF97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shd w:val="clear" w:color="auto" w:fill="auto"/>
            <w:vAlign w:val="center"/>
          </w:tcPr>
          <w:p w14:paraId="3D2213A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shd w:val="clear" w:color="auto" w:fill="auto"/>
            <w:vAlign w:val="center"/>
          </w:tcPr>
          <w:p w14:paraId="5CC3320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2ADBFE33">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7B747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1A2F15C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39</w:t>
            </w:r>
          </w:p>
        </w:tc>
        <w:tc>
          <w:tcPr>
            <w:tcW w:w="1257" w:type="pct"/>
            <w:shd w:val="clear" w:color="auto" w:fill="auto"/>
            <w:vAlign w:val="center"/>
          </w:tcPr>
          <w:p w14:paraId="3D05218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安全带</w:t>
            </w:r>
          </w:p>
        </w:tc>
        <w:tc>
          <w:tcPr>
            <w:tcW w:w="1289" w:type="pct"/>
            <w:shd w:val="clear" w:color="auto" w:fill="auto"/>
            <w:vAlign w:val="center"/>
          </w:tcPr>
          <w:p w14:paraId="34F053F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承载500kg</w:t>
            </w:r>
          </w:p>
        </w:tc>
        <w:tc>
          <w:tcPr>
            <w:tcW w:w="424" w:type="pct"/>
            <w:shd w:val="clear" w:color="auto" w:fill="auto"/>
            <w:vAlign w:val="center"/>
          </w:tcPr>
          <w:p w14:paraId="708BB21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条</w:t>
            </w:r>
          </w:p>
        </w:tc>
        <w:tc>
          <w:tcPr>
            <w:tcW w:w="388" w:type="pct"/>
            <w:shd w:val="clear" w:color="auto" w:fill="auto"/>
            <w:vAlign w:val="center"/>
          </w:tcPr>
          <w:p w14:paraId="4F397F7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w:t>
            </w:r>
          </w:p>
        </w:tc>
        <w:tc>
          <w:tcPr>
            <w:tcW w:w="818" w:type="pct"/>
            <w:shd w:val="clear" w:color="auto" w:fill="auto"/>
            <w:vAlign w:val="center"/>
          </w:tcPr>
          <w:p w14:paraId="06EB650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579A1AE9">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2E94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124734F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40</w:t>
            </w:r>
          </w:p>
        </w:tc>
        <w:tc>
          <w:tcPr>
            <w:tcW w:w="1257" w:type="pct"/>
            <w:shd w:val="clear" w:color="auto" w:fill="auto"/>
            <w:vAlign w:val="center"/>
          </w:tcPr>
          <w:p w14:paraId="4881037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镀锌钢丝绳</w:t>
            </w:r>
          </w:p>
        </w:tc>
        <w:tc>
          <w:tcPr>
            <w:tcW w:w="1289" w:type="pct"/>
            <w:shd w:val="clear" w:color="auto" w:fill="auto"/>
            <w:vAlign w:val="center"/>
          </w:tcPr>
          <w:p w14:paraId="2796FE7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φ12mm</w:t>
            </w:r>
          </w:p>
        </w:tc>
        <w:tc>
          <w:tcPr>
            <w:tcW w:w="424" w:type="pct"/>
            <w:shd w:val="clear" w:color="auto" w:fill="auto"/>
            <w:vAlign w:val="center"/>
          </w:tcPr>
          <w:p w14:paraId="5451E2A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w:t>
            </w:r>
          </w:p>
        </w:tc>
        <w:tc>
          <w:tcPr>
            <w:tcW w:w="388" w:type="pct"/>
            <w:shd w:val="clear" w:color="auto" w:fill="auto"/>
            <w:vAlign w:val="center"/>
          </w:tcPr>
          <w:p w14:paraId="3FEDED1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200</w:t>
            </w:r>
          </w:p>
        </w:tc>
        <w:tc>
          <w:tcPr>
            <w:tcW w:w="818" w:type="pct"/>
            <w:shd w:val="clear" w:color="auto" w:fill="auto"/>
            <w:vAlign w:val="center"/>
          </w:tcPr>
          <w:p w14:paraId="4842948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100BDB7C">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59245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64" w:type="pct"/>
            <w:tcBorders>
              <w:left w:val="single" w:color="000000" w:sz="4" w:space="0"/>
            </w:tcBorders>
            <w:shd w:val="clear" w:color="auto" w:fill="auto"/>
            <w:vAlign w:val="center"/>
          </w:tcPr>
          <w:p w14:paraId="5F62D29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41</w:t>
            </w:r>
          </w:p>
        </w:tc>
        <w:tc>
          <w:tcPr>
            <w:tcW w:w="1257" w:type="pct"/>
            <w:shd w:val="clear" w:color="auto" w:fill="auto"/>
            <w:vAlign w:val="center"/>
          </w:tcPr>
          <w:p w14:paraId="4449A88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潜水泵</w:t>
            </w:r>
          </w:p>
        </w:tc>
        <w:tc>
          <w:tcPr>
            <w:tcW w:w="1289" w:type="pct"/>
            <w:shd w:val="clear" w:color="auto" w:fill="auto"/>
            <w:vAlign w:val="center"/>
          </w:tcPr>
          <w:p w14:paraId="2B3EF69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tc>
        <w:tc>
          <w:tcPr>
            <w:tcW w:w="424" w:type="pct"/>
            <w:shd w:val="clear" w:color="auto" w:fill="auto"/>
            <w:vAlign w:val="center"/>
          </w:tcPr>
          <w:p w14:paraId="2A98CF8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台</w:t>
            </w:r>
          </w:p>
        </w:tc>
        <w:tc>
          <w:tcPr>
            <w:tcW w:w="388" w:type="pct"/>
            <w:shd w:val="clear" w:color="auto" w:fill="auto"/>
            <w:vAlign w:val="center"/>
          </w:tcPr>
          <w:p w14:paraId="1CEA4C4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818" w:type="pct"/>
            <w:shd w:val="clear" w:color="auto" w:fill="auto"/>
            <w:vAlign w:val="center"/>
          </w:tcPr>
          <w:p w14:paraId="6B10B69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应急物资库</w:t>
            </w:r>
          </w:p>
        </w:tc>
        <w:tc>
          <w:tcPr>
            <w:tcW w:w="1016" w:type="dxa"/>
            <w:tcBorders>
              <w:right w:val="single" w:color="000000" w:sz="4" w:space="0"/>
            </w:tcBorders>
            <w:shd w:val="clear" w:color="auto" w:fill="auto"/>
            <w:vAlign w:val="center"/>
          </w:tcPr>
          <w:p w14:paraId="301DC934">
            <w:pPr>
              <w:adjustRightInd w:val="0"/>
              <w:snapToGrid w:val="0"/>
              <w:jc w:val="center"/>
              <w:textAlignment w:val="center"/>
              <w:rPr>
                <w:rFonts w:hint="default" w:ascii="宋体" w:hAnsi="宋体" w:eastAsia="宋体" w:cs="宋体"/>
                <w:color w:val="auto"/>
                <w:kern w:val="0"/>
                <w:sz w:val="24"/>
                <w:lang w:val="en-US" w:eastAsia="en-US" w:bidi="ar"/>
              </w:rPr>
            </w:pPr>
            <w:r>
              <w:rPr>
                <w:rFonts w:hint="eastAsia" w:ascii="仿宋" w:hAnsi="仿宋" w:eastAsia="仿宋" w:cs="宋体"/>
                <w:color w:val="auto"/>
                <w:kern w:val="0"/>
                <w:sz w:val="24"/>
                <w:lang w:bidi="ar"/>
              </w:rPr>
              <w:t>完好</w:t>
            </w:r>
          </w:p>
        </w:tc>
      </w:tr>
      <w:tr w14:paraId="3EA57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000" w:type="pct"/>
            <w:gridSpan w:val="7"/>
            <w:tcBorders>
              <w:left w:val="single" w:color="000000" w:sz="4" w:space="0"/>
              <w:right w:val="single" w:color="000000" w:sz="4" w:space="0"/>
            </w:tcBorders>
            <w:shd w:val="clear" w:color="auto" w:fill="auto"/>
            <w:vAlign w:val="center"/>
          </w:tcPr>
          <w:p w14:paraId="1D49C16C">
            <w:pPr>
              <w:keepNext w:val="0"/>
              <w:keepLines w:val="0"/>
              <w:widowControl/>
              <w:suppressLineNumbers w:val="0"/>
              <w:spacing w:before="0" w:beforeAutospacing="0" w:after="0" w:afterAutospacing="0" w:line="240" w:lineRule="exact"/>
              <w:ind w:left="0" w:right="0"/>
              <w:jc w:val="left"/>
              <w:textAlignment w:val="center"/>
              <w:rPr>
                <w:rFonts w:hint="default" w:ascii="宋体" w:hAnsi="宋体" w:eastAsia="宋体" w:cs="宋体"/>
                <w:color w:val="auto"/>
                <w:kern w:val="0"/>
                <w:sz w:val="22"/>
                <w:szCs w:val="20"/>
                <w:lang w:val="en-US" w:eastAsia="en-US" w:bidi="ar"/>
              </w:rPr>
            </w:pPr>
            <w:r>
              <w:rPr>
                <w:rFonts w:hint="default" w:ascii="宋体" w:hAnsi="宋体" w:eastAsia="宋体" w:cs="宋体"/>
                <w:color w:val="auto"/>
                <w:kern w:val="0"/>
                <w:sz w:val="22"/>
                <w:szCs w:val="20"/>
                <w:lang w:val="en-US" w:eastAsia="en-US" w:bidi="ar"/>
              </w:rPr>
              <w:t>管理部门：通防工区；存放地点：消防材料库；运输方式使用：车辆运输；</w:t>
            </w:r>
          </w:p>
          <w:p w14:paraId="73A87DB8">
            <w:pPr>
              <w:keepNext w:val="0"/>
              <w:keepLines w:val="0"/>
              <w:widowControl/>
              <w:suppressLineNumbers w:val="0"/>
              <w:spacing w:before="0" w:beforeAutospacing="0" w:after="0" w:afterAutospacing="0" w:line="240" w:lineRule="exact"/>
              <w:ind w:left="0" w:right="0"/>
              <w:jc w:val="left"/>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2"/>
                <w:szCs w:val="20"/>
                <w:lang w:val="en-US" w:eastAsia="en-US" w:bidi="ar"/>
              </w:rPr>
              <w:t>责任人：王晓功</w:t>
            </w:r>
            <w:r>
              <w:rPr>
                <w:rFonts w:hint="eastAsia" w:ascii="宋体" w:hAnsi="宋体" w:cs="宋体"/>
                <w:color w:val="auto"/>
                <w:kern w:val="0"/>
                <w:sz w:val="22"/>
                <w:szCs w:val="20"/>
                <w:lang w:val="en-US" w:eastAsia="zh-CN" w:bidi="ar"/>
              </w:rPr>
              <w:t xml:space="preserve">;  </w:t>
            </w:r>
            <w:r>
              <w:rPr>
                <w:rFonts w:hint="default" w:ascii="宋体" w:hAnsi="宋体" w:eastAsia="宋体" w:cs="宋体"/>
                <w:color w:val="auto"/>
                <w:kern w:val="0"/>
                <w:sz w:val="22"/>
                <w:szCs w:val="20"/>
                <w:lang w:val="en-US" w:eastAsia="en-US" w:bidi="ar"/>
              </w:rPr>
              <w:t xml:space="preserve">手机：18295493024  </w:t>
            </w:r>
            <w:r>
              <w:rPr>
                <w:rFonts w:hint="eastAsia" w:ascii="宋体" w:hAnsi="宋体" w:cs="宋体"/>
                <w:color w:val="auto"/>
                <w:kern w:val="0"/>
                <w:sz w:val="22"/>
                <w:szCs w:val="20"/>
                <w:lang w:val="en-US" w:eastAsia="zh-CN" w:bidi="ar"/>
              </w:rPr>
              <w:t xml:space="preserve"> </w:t>
            </w:r>
            <w:r>
              <w:rPr>
                <w:rFonts w:hint="default" w:ascii="宋体" w:hAnsi="宋体" w:eastAsia="宋体" w:cs="宋体"/>
                <w:color w:val="auto"/>
                <w:kern w:val="0"/>
                <w:sz w:val="22"/>
                <w:szCs w:val="20"/>
                <w:lang w:val="en-US" w:eastAsia="en-US" w:bidi="ar"/>
              </w:rPr>
              <w:t>办公电话：0477-7869281</w:t>
            </w:r>
            <w:r>
              <w:rPr>
                <w:rFonts w:hint="eastAsia" w:ascii="宋体" w:hAnsi="宋体" w:cs="宋体"/>
                <w:color w:val="auto"/>
                <w:kern w:val="0"/>
                <w:sz w:val="22"/>
                <w:szCs w:val="20"/>
                <w:lang w:val="en-US" w:eastAsia="zh-CN" w:bidi="ar"/>
              </w:rPr>
              <w:t>/</w:t>
            </w:r>
            <w:r>
              <w:rPr>
                <w:rFonts w:hint="default" w:ascii="宋体" w:hAnsi="宋体" w:eastAsia="宋体" w:cs="宋体"/>
                <w:color w:val="auto"/>
                <w:kern w:val="0"/>
                <w:sz w:val="22"/>
                <w:szCs w:val="20"/>
                <w:lang w:val="en-US" w:eastAsia="en-US" w:bidi="ar"/>
              </w:rPr>
              <w:t>0477-999256；</w:t>
            </w:r>
          </w:p>
        </w:tc>
      </w:tr>
    </w:tbl>
    <w:p w14:paraId="11BB066C">
      <w:pPr>
        <w:pStyle w:val="44"/>
        <w:spacing w:line="360" w:lineRule="auto"/>
        <w:jc w:val="center"/>
        <w:outlineLvl w:val="3"/>
        <w:rPr>
          <w:rFonts w:hint="eastAsia" w:ascii="仿宋_GB2312" w:hAnsi="仿宋_GB2312" w:eastAsia="仿宋_GB2312" w:cs="仿宋_GB2312"/>
          <w:b/>
          <w:color w:val="auto"/>
          <w:kern w:val="2"/>
          <w:sz w:val="32"/>
          <w:szCs w:val="32"/>
          <w:highlight w:val="none"/>
        </w:rPr>
      </w:pPr>
    </w:p>
    <w:p w14:paraId="7204E3AF">
      <w:pPr>
        <w:pStyle w:val="44"/>
        <w:spacing w:line="360" w:lineRule="auto"/>
        <w:jc w:val="center"/>
        <w:outlineLvl w:val="3"/>
        <w:rPr>
          <w:rFonts w:hint="eastAsia" w:ascii="仿宋_GB2312" w:hAnsi="仿宋_GB2312" w:eastAsia="仿宋_GB2312" w:cs="仿宋_GB2312"/>
          <w:b/>
          <w:color w:val="auto"/>
          <w:kern w:val="2"/>
          <w:sz w:val="32"/>
          <w:szCs w:val="32"/>
          <w:highlight w:val="none"/>
        </w:rPr>
      </w:pPr>
    </w:p>
    <w:p w14:paraId="10D67059">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表2 地面防洪物资库明细表</w:t>
      </w:r>
      <w:bookmarkEnd w:id="585"/>
    </w:p>
    <w:tbl>
      <w:tblPr>
        <w:tblStyle w:val="28"/>
        <w:tblW w:w="5093" w:type="pct"/>
        <w:tblInd w:w="0" w:type="dxa"/>
        <w:tblLayout w:type="fixed"/>
        <w:tblCellMar>
          <w:top w:w="0" w:type="dxa"/>
          <w:left w:w="108" w:type="dxa"/>
          <w:bottom w:w="0" w:type="dxa"/>
          <w:right w:w="108" w:type="dxa"/>
        </w:tblCellMar>
      </w:tblPr>
      <w:tblGrid>
        <w:gridCol w:w="703"/>
        <w:gridCol w:w="2445"/>
        <w:gridCol w:w="719"/>
        <w:gridCol w:w="740"/>
        <w:gridCol w:w="1397"/>
        <w:gridCol w:w="1747"/>
        <w:gridCol w:w="760"/>
        <w:gridCol w:w="719"/>
      </w:tblGrid>
      <w:tr w14:paraId="0A30E617">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5D5804C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6C704E4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b/>
                <w:bCs/>
                <w:color w:val="auto"/>
                <w:sz w:val="24"/>
                <w:highlight w:val="none"/>
              </w:rPr>
            </w:pPr>
            <w:r>
              <w:rPr>
                <w:rFonts w:hint="default" w:ascii="宋体" w:hAnsi="宋体" w:eastAsia="宋体" w:cs="宋体"/>
                <w:color w:val="auto"/>
                <w:kern w:val="0"/>
                <w:sz w:val="24"/>
                <w:lang w:val="en-US" w:eastAsia="en-US" w:bidi="ar"/>
              </w:rPr>
              <w:t>序号</w:t>
            </w:r>
          </w:p>
        </w:tc>
        <w:tc>
          <w:tcPr>
            <w:tcW w:w="2445" w:type="dxa"/>
            <w:tcBorders>
              <w:top w:val="single" w:color="000000" w:sz="8" w:space="0"/>
              <w:left w:val="single" w:color="000000" w:sz="8" w:space="0"/>
              <w:bottom w:val="single" w:color="000000" w:sz="8" w:space="0"/>
              <w:right w:val="single" w:color="000000" w:sz="8" w:space="0"/>
            </w:tcBorders>
            <w:vAlign w:val="center"/>
          </w:tcPr>
          <w:p w14:paraId="3BD4F8E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12CEABE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b/>
                <w:bCs/>
                <w:color w:val="auto"/>
                <w:sz w:val="24"/>
                <w:highlight w:val="none"/>
              </w:rPr>
            </w:pPr>
            <w:r>
              <w:rPr>
                <w:rFonts w:hint="default" w:ascii="宋体" w:hAnsi="宋体" w:eastAsia="宋体" w:cs="宋体"/>
                <w:color w:val="auto"/>
                <w:kern w:val="0"/>
                <w:sz w:val="24"/>
                <w:lang w:val="en-US" w:eastAsia="en-US" w:bidi="ar"/>
              </w:rPr>
              <w:t>材料名称</w:t>
            </w:r>
          </w:p>
        </w:tc>
        <w:tc>
          <w:tcPr>
            <w:tcW w:w="719" w:type="dxa"/>
            <w:tcBorders>
              <w:top w:val="single" w:color="000000" w:sz="8" w:space="0"/>
              <w:left w:val="single" w:color="000000" w:sz="8" w:space="0"/>
              <w:bottom w:val="single" w:color="000000" w:sz="8" w:space="0"/>
              <w:right w:val="single" w:color="000000" w:sz="8" w:space="0"/>
            </w:tcBorders>
            <w:textDirection w:val="tbRlV"/>
            <w:vAlign w:val="center"/>
          </w:tcPr>
          <w:p w14:paraId="65D7CD5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b/>
                <w:bCs/>
                <w:color w:val="auto"/>
                <w:sz w:val="24"/>
                <w:highlight w:val="none"/>
              </w:rPr>
            </w:pPr>
            <w:r>
              <w:rPr>
                <w:rFonts w:hint="default" w:ascii="宋体" w:hAnsi="宋体" w:eastAsia="宋体" w:cs="宋体"/>
                <w:color w:val="auto"/>
                <w:kern w:val="0"/>
                <w:sz w:val="24"/>
                <w:lang w:val="en-US" w:eastAsia="en-US" w:bidi="ar"/>
              </w:rPr>
              <w:t>单位</w:t>
            </w:r>
          </w:p>
        </w:tc>
        <w:tc>
          <w:tcPr>
            <w:tcW w:w="740" w:type="dxa"/>
            <w:tcBorders>
              <w:top w:val="single" w:color="000000" w:sz="8" w:space="0"/>
              <w:left w:val="single" w:color="000000" w:sz="8" w:space="0"/>
              <w:bottom w:val="single" w:color="000000" w:sz="8" w:space="0"/>
              <w:right w:val="single" w:color="000000" w:sz="8" w:space="0"/>
            </w:tcBorders>
            <w:vAlign w:val="center"/>
          </w:tcPr>
          <w:p w14:paraId="63209E0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4499004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b/>
                <w:bCs/>
                <w:color w:val="auto"/>
                <w:sz w:val="24"/>
                <w:highlight w:val="none"/>
              </w:rPr>
            </w:pPr>
            <w:r>
              <w:rPr>
                <w:rFonts w:hint="default" w:ascii="宋体" w:hAnsi="宋体" w:eastAsia="宋体" w:cs="宋体"/>
                <w:color w:val="auto"/>
                <w:kern w:val="0"/>
                <w:sz w:val="24"/>
                <w:lang w:val="en-US" w:eastAsia="en-US" w:bidi="ar"/>
              </w:rPr>
              <w:t>数量</w:t>
            </w:r>
          </w:p>
        </w:tc>
        <w:tc>
          <w:tcPr>
            <w:tcW w:w="1397" w:type="dxa"/>
            <w:tcBorders>
              <w:top w:val="single" w:color="000000" w:sz="8" w:space="0"/>
              <w:left w:val="single" w:color="000000" w:sz="8" w:space="0"/>
              <w:bottom w:val="single" w:color="000000" w:sz="8" w:space="0"/>
              <w:right w:val="single" w:color="000000" w:sz="8" w:space="0"/>
            </w:tcBorders>
            <w:vAlign w:val="center"/>
          </w:tcPr>
          <w:p w14:paraId="08C17F7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1A1644A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b/>
                <w:bCs/>
                <w:color w:val="auto"/>
                <w:sz w:val="24"/>
                <w:highlight w:val="none"/>
              </w:rPr>
            </w:pPr>
            <w:r>
              <w:rPr>
                <w:rFonts w:hint="default" w:ascii="宋体" w:hAnsi="宋体" w:eastAsia="宋体" w:cs="宋体"/>
                <w:color w:val="auto"/>
                <w:kern w:val="0"/>
                <w:sz w:val="24"/>
                <w:lang w:val="en-US" w:eastAsia="en-US" w:bidi="ar"/>
              </w:rPr>
              <w:t>规格</w:t>
            </w:r>
          </w:p>
        </w:tc>
        <w:tc>
          <w:tcPr>
            <w:tcW w:w="1747" w:type="dxa"/>
            <w:tcBorders>
              <w:top w:val="single" w:color="000000" w:sz="8" w:space="0"/>
              <w:left w:val="single" w:color="000000" w:sz="8" w:space="0"/>
              <w:bottom w:val="single" w:color="000000" w:sz="8" w:space="0"/>
              <w:right w:val="single" w:color="000000" w:sz="8" w:space="0"/>
            </w:tcBorders>
            <w:vAlign w:val="center"/>
          </w:tcPr>
          <w:p w14:paraId="40332E7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4947241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b/>
                <w:bCs/>
                <w:color w:val="auto"/>
                <w:kern w:val="0"/>
                <w:sz w:val="24"/>
                <w:highlight w:val="none"/>
                <w:lang w:bidi="ar"/>
              </w:rPr>
            </w:pPr>
            <w:r>
              <w:rPr>
                <w:rFonts w:hint="default" w:ascii="宋体" w:hAnsi="宋体" w:eastAsia="宋体" w:cs="宋体"/>
                <w:color w:val="auto"/>
                <w:kern w:val="0"/>
                <w:sz w:val="24"/>
                <w:lang w:val="en-US" w:eastAsia="en-US" w:bidi="ar"/>
              </w:rPr>
              <w:t>存放地点</w:t>
            </w:r>
          </w:p>
        </w:tc>
        <w:tc>
          <w:tcPr>
            <w:tcW w:w="760" w:type="dxa"/>
            <w:tcBorders>
              <w:top w:val="single" w:color="000000" w:sz="8" w:space="0"/>
              <w:left w:val="single" w:color="000000" w:sz="8" w:space="0"/>
              <w:bottom w:val="single" w:color="000000" w:sz="8" w:space="0"/>
              <w:right w:val="single" w:color="000000" w:sz="8" w:space="0"/>
            </w:tcBorders>
            <w:vAlign w:val="center"/>
          </w:tcPr>
          <w:p w14:paraId="413D608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运输使用条件</w:t>
            </w:r>
          </w:p>
        </w:tc>
        <w:tc>
          <w:tcPr>
            <w:tcW w:w="719" w:type="dxa"/>
            <w:tcBorders>
              <w:top w:val="single" w:color="000000" w:sz="8" w:space="0"/>
              <w:left w:val="single" w:color="000000" w:sz="8" w:space="0"/>
              <w:bottom w:val="single" w:color="000000" w:sz="8" w:space="0"/>
              <w:right w:val="single" w:color="000000" w:sz="8" w:space="0"/>
            </w:tcBorders>
            <w:vAlign w:val="center"/>
          </w:tcPr>
          <w:p w14:paraId="6488C89E">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更新及补充时间</w:t>
            </w:r>
          </w:p>
        </w:tc>
      </w:tr>
      <w:tr w14:paraId="006AEB14">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7C0C74B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w:t>
            </w:r>
          </w:p>
        </w:tc>
        <w:tc>
          <w:tcPr>
            <w:tcW w:w="2445" w:type="dxa"/>
            <w:tcBorders>
              <w:top w:val="single" w:color="000000" w:sz="8" w:space="0"/>
              <w:left w:val="single" w:color="000000" w:sz="8" w:space="0"/>
              <w:bottom w:val="single" w:color="000000" w:sz="8" w:space="0"/>
              <w:right w:val="single" w:color="000000" w:sz="8" w:space="0"/>
            </w:tcBorders>
            <w:vAlign w:val="center"/>
          </w:tcPr>
          <w:p w14:paraId="1F69F56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消防水龙带</w:t>
            </w:r>
          </w:p>
        </w:tc>
        <w:tc>
          <w:tcPr>
            <w:tcW w:w="719" w:type="dxa"/>
            <w:tcBorders>
              <w:top w:val="single" w:color="000000" w:sz="8" w:space="0"/>
              <w:left w:val="single" w:color="000000" w:sz="8" w:space="0"/>
              <w:bottom w:val="single" w:color="000000" w:sz="8" w:space="0"/>
              <w:right w:val="single" w:color="000000" w:sz="8" w:space="0"/>
            </w:tcBorders>
            <w:vAlign w:val="center"/>
          </w:tcPr>
          <w:p w14:paraId="4C7AC47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米</w:t>
            </w:r>
          </w:p>
        </w:tc>
        <w:tc>
          <w:tcPr>
            <w:tcW w:w="740" w:type="dxa"/>
            <w:tcBorders>
              <w:top w:val="single" w:color="000000" w:sz="8" w:space="0"/>
              <w:left w:val="single" w:color="000000" w:sz="8" w:space="0"/>
              <w:bottom w:val="single" w:color="000000" w:sz="8" w:space="0"/>
              <w:right w:val="single" w:color="000000" w:sz="8" w:space="0"/>
            </w:tcBorders>
            <w:vAlign w:val="center"/>
          </w:tcPr>
          <w:p w14:paraId="63DB6FB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300</w:t>
            </w:r>
          </w:p>
        </w:tc>
        <w:tc>
          <w:tcPr>
            <w:tcW w:w="1397" w:type="dxa"/>
            <w:tcBorders>
              <w:top w:val="single" w:color="000000" w:sz="8" w:space="0"/>
              <w:left w:val="single" w:color="000000" w:sz="8" w:space="0"/>
              <w:bottom w:val="single" w:color="000000" w:sz="8" w:space="0"/>
              <w:right w:val="single" w:color="000000" w:sz="8" w:space="0"/>
            </w:tcBorders>
            <w:vAlign w:val="center"/>
          </w:tcPr>
          <w:p w14:paraId="3FB399A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用铁丝捆</w:t>
            </w:r>
          </w:p>
        </w:tc>
        <w:tc>
          <w:tcPr>
            <w:tcW w:w="1747" w:type="dxa"/>
            <w:tcBorders>
              <w:top w:val="single" w:color="000000" w:sz="8" w:space="0"/>
              <w:left w:val="single" w:color="000000" w:sz="8" w:space="0"/>
              <w:bottom w:val="single" w:color="000000" w:sz="8" w:space="0"/>
              <w:right w:val="single" w:color="000000" w:sz="8" w:space="0"/>
            </w:tcBorders>
            <w:vAlign w:val="center"/>
          </w:tcPr>
          <w:p w14:paraId="14BA2CF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2385DF9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6667FF23">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zh-CN" w:bidi="ar"/>
              </w:rPr>
              <w:t>1年</w:t>
            </w:r>
          </w:p>
        </w:tc>
      </w:tr>
      <w:tr w14:paraId="178D07E0">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0A8D162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w:t>
            </w:r>
          </w:p>
        </w:tc>
        <w:tc>
          <w:tcPr>
            <w:tcW w:w="2445" w:type="dxa"/>
            <w:tcBorders>
              <w:top w:val="single" w:color="000000" w:sz="8" w:space="0"/>
              <w:left w:val="single" w:color="000000" w:sz="8" w:space="0"/>
              <w:bottom w:val="single" w:color="000000" w:sz="8" w:space="0"/>
              <w:right w:val="single" w:color="000000" w:sz="8" w:space="0"/>
            </w:tcBorders>
            <w:vAlign w:val="center"/>
          </w:tcPr>
          <w:p w14:paraId="1DCECCA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消防水龙带接头</w:t>
            </w:r>
          </w:p>
        </w:tc>
        <w:tc>
          <w:tcPr>
            <w:tcW w:w="719" w:type="dxa"/>
            <w:tcBorders>
              <w:top w:val="single" w:color="000000" w:sz="8" w:space="0"/>
              <w:left w:val="single" w:color="000000" w:sz="8" w:space="0"/>
              <w:bottom w:val="single" w:color="000000" w:sz="8" w:space="0"/>
              <w:right w:val="single" w:color="000000" w:sz="8" w:space="0"/>
            </w:tcBorders>
            <w:vAlign w:val="center"/>
          </w:tcPr>
          <w:p w14:paraId="7FF864D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对</w:t>
            </w:r>
          </w:p>
        </w:tc>
        <w:tc>
          <w:tcPr>
            <w:tcW w:w="740" w:type="dxa"/>
            <w:tcBorders>
              <w:top w:val="single" w:color="000000" w:sz="8" w:space="0"/>
              <w:left w:val="single" w:color="000000" w:sz="8" w:space="0"/>
              <w:bottom w:val="single" w:color="000000" w:sz="8" w:space="0"/>
              <w:right w:val="single" w:color="000000" w:sz="8" w:space="0"/>
            </w:tcBorders>
            <w:vAlign w:val="center"/>
          </w:tcPr>
          <w:p w14:paraId="6EBF4F9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5</w:t>
            </w:r>
          </w:p>
        </w:tc>
        <w:tc>
          <w:tcPr>
            <w:tcW w:w="1397" w:type="dxa"/>
            <w:tcBorders>
              <w:top w:val="single" w:color="000000" w:sz="8" w:space="0"/>
              <w:left w:val="single" w:color="000000" w:sz="8" w:space="0"/>
              <w:bottom w:val="single" w:color="000000" w:sz="8" w:space="0"/>
              <w:right w:val="single" w:color="000000" w:sz="8" w:space="0"/>
            </w:tcBorders>
            <w:vAlign w:val="center"/>
          </w:tcPr>
          <w:p w14:paraId="331EEC9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ф150mm×</w:t>
            </w:r>
          </w:p>
        </w:tc>
        <w:tc>
          <w:tcPr>
            <w:tcW w:w="1747" w:type="dxa"/>
            <w:tcBorders>
              <w:top w:val="single" w:color="000000" w:sz="8" w:space="0"/>
              <w:left w:val="single" w:color="000000" w:sz="8" w:space="0"/>
              <w:bottom w:val="single" w:color="000000" w:sz="8" w:space="0"/>
              <w:right w:val="single" w:color="000000" w:sz="8" w:space="0"/>
            </w:tcBorders>
            <w:vAlign w:val="center"/>
          </w:tcPr>
          <w:p w14:paraId="119F412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760D0C7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51AB469D">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5F5A289E">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015BF62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3</w:t>
            </w:r>
          </w:p>
        </w:tc>
        <w:tc>
          <w:tcPr>
            <w:tcW w:w="2445" w:type="dxa"/>
            <w:tcBorders>
              <w:top w:val="single" w:color="000000" w:sz="8" w:space="0"/>
              <w:left w:val="single" w:color="000000" w:sz="8" w:space="0"/>
              <w:bottom w:val="single" w:color="000000" w:sz="8" w:space="0"/>
              <w:right w:val="single" w:color="000000" w:sz="8" w:space="0"/>
            </w:tcBorders>
            <w:vAlign w:val="center"/>
          </w:tcPr>
          <w:p w14:paraId="02E7966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垫圈</w:t>
            </w:r>
          </w:p>
        </w:tc>
        <w:tc>
          <w:tcPr>
            <w:tcW w:w="719" w:type="dxa"/>
            <w:tcBorders>
              <w:top w:val="single" w:color="000000" w:sz="8" w:space="0"/>
              <w:left w:val="single" w:color="000000" w:sz="8" w:space="0"/>
              <w:bottom w:val="single" w:color="000000" w:sz="8" w:space="0"/>
              <w:right w:val="single" w:color="000000" w:sz="8" w:space="0"/>
            </w:tcBorders>
            <w:vAlign w:val="center"/>
          </w:tcPr>
          <w:p w14:paraId="7E134B4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块</w:t>
            </w:r>
          </w:p>
        </w:tc>
        <w:tc>
          <w:tcPr>
            <w:tcW w:w="740" w:type="dxa"/>
            <w:tcBorders>
              <w:top w:val="single" w:color="000000" w:sz="8" w:space="0"/>
              <w:left w:val="single" w:color="000000" w:sz="8" w:space="0"/>
              <w:bottom w:val="single" w:color="000000" w:sz="8" w:space="0"/>
              <w:right w:val="single" w:color="000000" w:sz="8" w:space="0"/>
            </w:tcBorders>
            <w:vAlign w:val="center"/>
          </w:tcPr>
          <w:p w14:paraId="39CD9F3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50</w:t>
            </w:r>
          </w:p>
        </w:tc>
        <w:tc>
          <w:tcPr>
            <w:tcW w:w="1397" w:type="dxa"/>
            <w:tcBorders>
              <w:top w:val="single" w:color="000000" w:sz="8" w:space="0"/>
              <w:left w:val="single" w:color="000000" w:sz="8" w:space="0"/>
              <w:bottom w:val="single" w:color="000000" w:sz="8" w:space="0"/>
              <w:right w:val="single" w:color="000000" w:sz="8" w:space="0"/>
            </w:tcBorders>
            <w:vAlign w:val="center"/>
          </w:tcPr>
          <w:p w14:paraId="1287F04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ф50mm×</w:t>
            </w:r>
          </w:p>
        </w:tc>
        <w:tc>
          <w:tcPr>
            <w:tcW w:w="1747" w:type="dxa"/>
            <w:tcBorders>
              <w:top w:val="single" w:color="000000" w:sz="8" w:space="0"/>
              <w:left w:val="single" w:color="000000" w:sz="8" w:space="0"/>
              <w:bottom w:val="single" w:color="000000" w:sz="8" w:space="0"/>
              <w:right w:val="single" w:color="000000" w:sz="8" w:space="0"/>
            </w:tcBorders>
            <w:vAlign w:val="center"/>
          </w:tcPr>
          <w:p w14:paraId="29F9F92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2C5A605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38E8440C">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11A4B96C">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63A24A6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4</w:t>
            </w:r>
          </w:p>
        </w:tc>
        <w:tc>
          <w:tcPr>
            <w:tcW w:w="2445" w:type="dxa"/>
            <w:tcBorders>
              <w:top w:val="single" w:color="000000" w:sz="8" w:space="0"/>
              <w:left w:val="single" w:color="000000" w:sz="8" w:space="0"/>
              <w:bottom w:val="single" w:color="000000" w:sz="8" w:space="0"/>
              <w:right w:val="single" w:color="000000" w:sz="8" w:space="0"/>
            </w:tcBorders>
            <w:vAlign w:val="center"/>
          </w:tcPr>
          <w:p w14:paraId="03E6816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喉箍</w:t>
            </w:r>
          </w:p>
        </w:tc>
        <w:tc>
          <w:tcPr>
            <w:tcW w:w="719" w:type="dxa"/>
            <w:tcBorders>
              <w:top w:val="single" w:color="000000" w:sz="8" w:space="0"/>
              <w:left w:val="single" w:color="000000" w:sz="8" w:space="0"/>
              <w:bottom w:val="single" w:color="000000" w:sz="8" w:space="0"/>
              <w:right w:val="single" w:color="000000" w:sz="8" w:space="0"/>
            </w:tcBorders>
            <w:vAlign w:val="center"/>
          </w:tcPr>
          <w:p w14:paraId="511267C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个</w:t>
            </w:r>
          </w:p>
        </w:tc>
        <w:tc>
          <w:tcPr>
            <w:tcW w:w="740" w:type="dxa"/>
            <w:tcBorders>
              <w:top w:val="single" w:color="000000" w:sz="8" w:space="0"/>
              <w:left w:val="single" w:color="000000" w:sz="8" w:space="0"/>
              <w:bottom w:val="single" w:color="000000" w:sz="8" w:space="0"/>
              <w:right w:val="single" w:color="000000" w:sz="8" w:space="0"/>
            </w:tcBorders>
            <w:vAlign w:val="center"/>
          </w:tcPr>
          <w:p w14:paraId="75BF87C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20</w:t>
            </w:r>
          </w:p>
        </w:tc>
        <w:tc>
          <w:tcPr>
            <w:tcW w:w="1397" w:type="dxa"/>
            <w:tcBorders>
              <w:top w:val="single" w:color="000000" w:sz="8" w:space="0"/>
              <w:left w:val="single" w:color="000000" w:sz="8" w:space="0"/>
              <w:bottom w:val="single" w:color="000000" w:sz="8" w:space="0"/>
              <w:right w:val="single" w:color="000000" w:sz="8" w:space="0"/>
            </w:tcBorders>
            <w:vAlign w:val="center"/>
          </w:tcPr>
          <w:p w14:paraId="326A02E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ф200mm×</w:t>
            </w:r>
          </w:p>
        </w:tc>
        <w:tc>
          <w:tcPr>
            <w:tcW w:w="1747" w:type="dxa"/>
            <w:tcBorders>
              <w:top w:val="single" w:color="000000" w:sz="8" w:space="0"/>
              <w:left w:val="single" w:color="000000" w:sz="8" w:space="0"/>
              <w:bottom w:val="single" w:color="000000" w:sz="8" w:space="0"/>
              <w:right w:val="single" w:color="000000" w:sz="8" w:space="0"/>
            </w:tcBorders>
            <w:vAlign w:val="center"/>
          </w:tcPr>
          <w:p w14:paraId="182D662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木厂</w:t>
            </w:r>
          </w:p>
        </w:tc>
        <w:tc>
          <w:tcPr>
            <w:tcW w:w="760" w:type="dxa"/>
            <w:tcBorders>
              <w:top w:val="single" w:color="000000" w:sz="8" w:space="0"/>
              <w:left w:val="single" w:color="000000" w:sz="8" w:space="0"/>
              <w:bottom w:val="single" w:color="000000" w:sz="8" w:space="0"/>
              <w:right w:val="single" w:color="000000" w:sz="8" w:space="0"/>
            </w:tcBorders>
            <w:vAlign w:val="center"/>
          </w:tcPr>
          <w:p w14:paraId="70AFFD6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467D32ED">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0AD977E8">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3BC9750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5</w:t>
            </w:r>
          </w:p>
        </w:tc>
        <w:tc>
          <w:tcPr>
            <w:tcW w:w="2445" w:type="dxa"/>
            <w:tcBorders>
              <w:top w:val="single" w:color="000000" w:sz="8" w:space="0"/>
              <w:left w:val="single" w:color="000000" w:sz="8" w:space="0"/>
              <w:bottom w:val="single" w:color="000000" w:sz="8" w:space="0"/>
              <w:right w:val="single" w:color="000000" w:sz="8" w:space="0"/>
            </w:tcBorders>
            <w:vAlign w:val="center"/>
          </w:tcPr>
          <w:p w14:paraId="61DB564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直流水枪</w:t>
            </w:r>
          </w:p>
        </w:tc>
        <w:tc>
          <w:tcPr>
            <w:tcW w:w="719" w:type="dxa"/>
            <w:tcBorders>
              <w:top w:val="single" w:color="000000" w:sz="8" w:space="0"/>
              <w:left w:val="single" w:color="000000" w:sz="8" w:space="0"/>
              <w:bottom w:val="single" w:color="000000" w:sz="8" w:space="0"/>
              <w:right w:val="single" w:color="000000" w:sz="8" w:space="0"/>
            </w:tcBorders>
            <w:vAlign w:val="center"/>
          </w:tcPr>
          <w:p w14:paraId="5E762EC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支</w:t>
            </w:r>
          </w:p>
        </w:tc>
        <w:tc>
          <w:tcPr>
            <w:tcW w:w="740" w:type="dxa"/>
            <w:tcBorders>
              <w:top w:val="single" w:color="000000" w:sz="8" w:space="0"/>
              <w:left w:val="single" w:color="000000" w:sz="8" w:space="0"/>
              <w:bottom w:val="single" w:color="000000" w:sz="8" w:space="0"/>
              <w:right w:val="single" w:color="000000" w:sz="8" w:space="0"/>
            </w:tcBorders>
            <w:vAlign w:val="center"/>
          </w:tcPr>
          <w:p w14:paraId="1437142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36B9F8E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ф52mm</w:t>
            </w:r>
          </w:p>
        </w:tc>
        <w:tc>
          <w:tcPr>
            <w:tcW w:w="1747" w:type="dxa"/>
            <w:tcBorders>
              <w:top w:val="single" w:color="000000" w:sz="8" w:space="0"/>
              <w:left w:val="single" w:color="000000" w:sz="8" w:space="0"/>
              <w:bottom w:val="single" w:color="000000" w:sz="8" w:space="0"/>
              <w:right w:val="single" w:color="000000" w:sz="8" w:space="0"/>
            </w:tcBorders>
            <w:vAlign w:val="center"/>
          </w:tcPr>
          <w:p w14:paraId="1F6B4C2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CCB385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2C051FD9">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8CBB3F9">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21ABBB2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6</w:t>
            </w:r>
          </w:p>
        </w:tc>
        <w:tc>
          <w:tcPr>
            <w:tcW w:w="2445" w:type="dxa"/>
            <w:tcBorders>
              <w:top w:val="single" w:color="000000" w:sz="8" w:space="0"/>
              <w:left w:val="single" w:color="000000" w:sz="8" w:space="0"/>
              <w:bottom w:val="single" w:color="000000" w:sz="8" w:space="0"/>
              <w:right w:val="single" w:color="000000" w:sz="8" w:space="0"/>
            </w:tcBorders>
            <w:vAlign w:val="center"/>
          </w:tcPr>
          <w:p w14:paraId="381F562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分水器</w:t>
            </w:r>
          </w:p>
        </w:tc>
        <w:tc>
          <w:tcPr>
            <w:tcW w:w="719" w:type="dxa"/>
            <w:tcBorders>
              <w:top w:val="single" w:color="000000" w:sz="8" w:space="0"/>
              <w:left w:val="single" w:color="000000" w:sz="8" w:space="0"/>
              <w:bottom w:val="single" w:color="000000" w:sz="8" w:space="0"/>
              <w:right w:val="single" w:color="000000" w:sz="8" w:space="0"/>
            </w:tcBorders>
            <w:vAlign w:val="center"/>
          </w:tcPr>
          <w:p w14:paraId="73FD23D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支</w:t>
            </w:r>
          </w:p>
        </w:tc>
        <w:tc>
          <w:tcPr>
            <w:tcW w:w="740" w:type="dxa"/>
            <w:tcBorders>
              <w:top w:val="single" w:color="000000" w:sz="8" w:space="0"/>
              <w:left w:val="single" w:color="000000" w:sz="8" w:space="0"/>
              <w:bottom w:val="single" w:color="000000" w:sz="8" w:space="0"/>
              <w:right w:val="single" w:color="000000" w:sz="8" w:space="0"/>
            </w:tcBorders>
            <w:vAlign w:val="center"/>
          </w:tcPr>
          <w:p w14:paraId="5D11F97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62696CE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ф52mm</w:t>
            </w:r>
          </w:p>
          <w:p w14:paraId="2BAD09D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安好把</w:t>
            </w:r>
          </w:p>
        </w:tc>
        <w:tc>
          <w:tcPr>
            <w:tcW w:w="1747" w:type="dxa"/>
            <w:tcBorders>
              <w:top w:val="single" w:color="000000" w:sz="8" w:space="0"/>
              <w:left w:val="single" w:color="000000" w:sz="8" w:space="0"/>
              <w:bottom w:val="single" w:color="000000" w:sz="8" w:space="0"/>
              <w:right w:val="single" w:color="000000" w:sz="8" w:space="0"/>
            </w:tcBorders>
            <w:vAlign w:val="center"/>
          </w:tcPr>
          <w:p w14:paraId="0638C02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45D081C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0A71B731">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5454BC4E">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711C42A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7</w:t>
            </w:r>
          </w:p>
        </w:tc>
        <w:tc>
          <w:tcPr>
            <w:tcW w:w="2445" w:type="dxa"/>
            <w:tcBorders>
              <w:top w:val="single" w:color="000000" w:sz="8" w:space="0"/>
              <w:left w:val="single" w:color="000000" w:sz="8" w:space="0"/>
              <w:bottom w:val="single" w:color="000000" w:sz="8" w:space="0"/>
              <w:right w:val="single" w:color="000000" w:sz="8" w:space="0"/>
            </w:tcBorders>
            <w:vAlign w:val="center"/>
          </w:tcPr>
          <w:p w14:paraId="144A462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消防三通</w:t>
            </w:r>
          </w:p>
        </w:tc>
        <w:tc>
          <w:tcPr>
            <w:tcW w:w="719" w:type="dxa"/>
            <w:tcBorders>
              <w:top w:val="single" w:color="000000" w:sz="8" w:space="0"/>
              <w:left w:val="single" w:color="000000" w:sz="8" w:space="0"/>
              <w:bottom w:val="single" w:color="000000" w:sz="8" w:space="0"/>
              <w:right w:val="single" w:color="000000" w:sz="8" w:space="0"/>
            </w:tcBorders>
            <w:vAlign w:val="center"/>
          </w:tcPr>
          <w:p w14:paraId="6287F54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个</w:t>
            </w:r>
          </w:p>
        </w:tc>
        <w:tc>
          <w:tcPr>
            <w:tcW w:w="740" w:type="dxa"/>
            <w:tcBorders>
              <w:top w:val="single" w:color="000000" w:sz="8" w:space="0"/>
              <w:left w:val="single" w:color="000000" w:sz="8" w:space="0"/>
              <w:bottom w:val="single" w:color="000000" w:sz="8" w:space="0"/>
              <w:right w:val="single" w:color="000000" w:sz="8" w:space="0"/>
            </w:tcBorders>
            <w:vAlign w:val="center"/>
          </w:tcPr>
          <w:p w14:paraId="75A57D2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59405EA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安好把</w:t>
            </w:r>
          </w:p>
        </w:tc>
        <w:tc>
          <w:tcPr>
            <w:tcW w:w="1747" w:type="dxa"/>
            <w:tcBorders>
              <w:top w:val="single" w:color="000000" w:sz="8" w:space="0"/>
              <w:left w:val="single" w:color="000000" w:sz="8" w:space="0"/>
              <w:bottom w:val="single" w:color="000000" w:sz="8" w:space="0"/>
              <w:right w:val="single" w:color="000000" w:sz="8" w:space="0"/>
            </w:tcBorders>
            <w:vAlign w:val="center"/>
          </w:tcPr>
          <w:p w14:paraId="4982F21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48F1DE3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62B4E86E">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5EC21483">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528F2D1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8</w:t>
            </w:r>
          </w:p>
        </w:tc>
        <w:tc>
          <w:tcPr>
            <w:tcW w:w="2445" w:type="dxa"/>
            <w:tcBorders>
              <w:top w:val="single" w:color="000000" w:sz="8" w:space="0"/>
              <w:left w:val="single" w:color="000000" w:sz="8" w:space="0"/>
              <w:bottom w:val="single" w:color="000000" w:sz="8" w:space="0"/>
              <w:right w:val="single" w:color="000000" w:sz="8" w:space="0"/>
            </w:tcBorders>
            <w:vAlign w:val="center"/>
          </w:tcPr>
          <w:p w14:paraId="14B3931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8kg通用干粉</w:t>
            </w:r>
            <w:r>
              <w:rPr>
                <w:rFonts w:hint="eastAsia" w:ascii="宋体" w:hAnsi="宋体" w:eastAsia="宋体" w:cs="宋体"/>
                <w:color w:val="auto"/>
                <w:kern w:val="0"/>
                <w:sz w:val="24"/>
                <w:lang w:val="en-US" w:eastAsia="zh-CN" w:bidi="ar"/>
              </w:rPr>
              <w:t>灭火器</w:t>
            </w:r>
          </w:p>
        </w:tc>
        <w:tc>
          <w:tcPr>
            <w:tcW w:w="719" w:type="dxa"/>
            <w:tcBorders>
              <w:top w:val="single" w:color="000000" w:sz="8" w:space="0"/>
              <w:left w:val="single" w:color="000000" w:sz="8" w:space="0"/>
              <w:bottom w:val="single" w:color="000000" w:sz="8" w:space="0"/>
              <w:right w:val="single" w:color="000000" w:sz="8" w:space="0"/>
            </w:tcBorders>
            <w:vAlign w:val="center"/>
          </w:tcPr>
          <w:p w14:paraId="0CF44F2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具</w:t>
            </w:r>
          </w:p>
        </w:tc>
        <w:tc>
          <w:tcPr>
            <w:tcW w:w="740" w:type="dxa"/>
            <w:tcBorders>
              <w:top w:val="single" w:color="000000" w:sz="8" w:space="0"/>
              <w:left w:val="single" w:color="000000" w:sz="8" w:space="0"/>
              <w:bottom w:val="single" w:color="000000" w:sz="8" w:space="0"/>
              <w:right w:val="single" w:color="000000" w:sz="8" w:space="0"/>
            </w:tcBorders>
            <w:vAlign w:val="center"/>
          </w:tcPr>
          <w:p w14:paraId="02451F7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20</w:t>
            </w:r>
          </w:p>
        </w:tc>
        <w:tc>
          <w:tcPr>
            <w:tcW w:w="1397" w:type="dxa"/>
            <w:tcBorders>
              <w:top w:val="single" w:color="000000" w:sz="8" w:space="0"/>
              <w:left w:val="single" w:color="000000" w:sz="8" w:space="0"/>
              <w:bottom w:val="single" w:color="000000" w:sz="8" w:space="0"/>
              <w:right w:val="single" w:color="000000" w:sz="8" w:space="0"/>
            </w:tcBorders>
            <w:vAlign w:val="center"/>
          </w:tcPr>
          <w:p w14:paraId="64A4F7F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Φ8mm</w:t>
            </w:r>
          </w:p>
        </w:tc>
        <w:tc>
          <w:tcPr>
            <w:tcW w:w="1747" w:type="dxa"/>
            <w:tcBorders>
              <w:top w:val="single" w:color="000000" w:sz="8" w:space="0"/>
              <w:left w:val="single" w:color="000000" w:sz="8" w:space="0"/>
              <w:bottom w:val="single" w:color="000000" w:sz="8" w:space="0"/>
              <w:right w:val="single" w:color="000000" w:sz="8" w:space="0"/>
            </w:tcBorders>
            <w:vAlign w:val="center"/>
          </w:tcPr>
          <w:p w14:paraId="58CF0B0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431D78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442A32D3">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48747CB4">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6554292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9</w:t>
            </w:r>
          </w:p>
        </w:tc>
        <w:tc>
          <w:tcPr>
            <w:tcW w:w="2445" w:type="dxa"/>
            <w:tcBorders>
              <w:top w:val="single" w:color="000000" w:sz="8" w:space="0"/>
              <w:left w:val="single" w:color="000000" w:sz="8" w:space="0"/>
              <w:bottom w:val="single" w:color="000000" w:sz="8" w:space="0"/>
              <w:right w:val="single" w:color="000000" w:sz="8" w:space="0"/>
            </w:tcBorders>
            <w:vAlign w:val="center"/>
          </w:tcPr>
          <w:p w14:paraId="01E62E8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3kg二氧化碳</w:t>
            </w:r>
            <w:r>
              <w:rPr>
                <w:rFonts w:hint="eastAsia" w:ascii="宋体" w:hAnsi="宋体" w:eastAsia="宋体" w:cs="宋体"/>
                <w:color w:val="auto"/>
                <w:kern w:val="0"/>
                <w:sz w:val="24"/>
                <w:lang w:val="en-US" w:eastAsia="zh-CN" w:bidi="ar"/>
              </w:rPr>
              <w:t>灭火器</w:t>
            </w:r>
          </w:p>
        </w:tc>
        <w:tc>
          <w:tcPr>
            <w:tcW w:w="719" w:type="dxa"/>
            <w:tcBorders>
              <w:top w:val="single" w:color="000000" w:sz="8" w:space="0"/>
              <w:left w:val="single" w:color="000000" w:sz="8" w:space="0"/>
              <w:bottom w:val="single" w:color="000000" w:sz="8" w:space="0"/>
              <w:right w:val="single" w:color="000000" w:sz="8" w:space="0"/>
            </w:tcBorders>
            <w:vAlign w:val="center"/>
          </w:tcPr>
          <w:p w14:paraId="6AC9DA7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具</w:t>
            </w:r>
          </w:p>
        </w:tc>
        <w:tc>
          <w:tcPr>
            <w:tcW w:w="740" w:type="dxa"/>
            <w:tcBorders>
              <w:top w:val="single" w:color="000000" w:sz="8" w:space="0"/>
              <w:left w:val="single" w:color="000000" w:sz="8" w:space="0"/>
              <w:bottom w:val="single" w:color="000000" w:sz="8" w:space="0"/>
              <w:right w:val="single" w:color="000000" w:sz="8" w:space="0"/>
            </w:tcBorders>
            <w:vAlign w:val="center"/>
          </w:tcPr>
          <w:p w14:paraId="68BCA49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10</w:t>
            </w:r>
          </w:p>
        </w:tc>
        <w:tc>
          <w:tcPr>
            <w:tcW w:w="1397" w:type="dxa"/>
            <w:tcBorders>
              <w:top w:val="single" w:color="000000" w:sz="8" w:space="0"/>
              <w:left w:val="single" w:color="000000" w:sz="8" w:space="0"/>
              <w:bottom w:val="single" w:color="000000" w:sz="8" w:space="0"/>
              <w:right w:val="single" w:color="000000" w:sz="8" w:space="0"/>
            </w:tcBorders>
            <w:vAlign w:val="center"/>
          </w:tcPr>
          <w:p w14:paraId="35EC1A8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4A905A8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3B5E59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6B1D83EF">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7639967D">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04CF2E0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10</w:t>
            </w:r>
          </w:p>
        </w:tc>
        <w:tc>
          <w:tcPr>
            <w:tcW w:w="2445" w:type="dxa"/>
            <w:tcBorders>
              <w:top w:val="single" w:color="000000" w:sz="8" w:space="0"/>
              <w:left w:val="single" w:color="000000" w:sz="8" w:space="0"/>
              <w:bottom w:val="single" w:color="000000" w:sz="8" w:space="0"/>
              <w:right w:val="single" w:color="000000" w:sz="8" w:space="0"/>
            </w:tcBorders>
            <w:vAlign w:val="center"/>
          </w:tcPr>
          <w:p w14:paraId="57E473F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救生绳</w:t>
            </w:r>
          </w:p>
        </w:tc>
        <w:tc>
          <w:tcPr>
            <w:tcW w:w="719" w:type="dxa"/>
            <w:tcBorders>
              <w:top w:val="single" w:color="000000" w:sz="8" w:space="0"/>
              <w:left w:val="single" w:color="000000" w:sz="8" w:space="0"/>
              <w:bottom w:val="single" w:color="000000" w:sz="8" w:space="0"/>
              <w:right w:val="single" w:color="000000" w:sz="8" w:space="0"/>
            </w:tcBorders>
            <w:vAlign w:val="center"/>
          </w:tcPr>
          <w:p w14:paraId="211F378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根</w:t>
            </w:r>
          </w:p>
        </w:tc>
        <w:tc>
          <w:tcPr>
            <w:tcW w:w="740" w:type="dxa"/>
            <w:tcBorders>
              <w:top w:val="single" w:color="000000" w:sz="8" w:space="0"/>
              <w:left w:val="single" w:color="000000" w:sz="8" w:space="0"/>
              <w:bottom w:val="single" w:color="000000" w:sz="8" w:space="0"/>
              <w:right w:val="single" w:color="000000" w:sz="8" w:space="0"/>
            </w:tcBorders>
            <w:vAlign w:val="center"/>
          </w:tcPr>
          <w:p w14:paraId="1164269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5</w:t>
            </w:r>
          </w:p>
        </w:tc>
        <w:tc>
          <w:tcPr>
            <w:tcW w:w="1397" w:type="dxa"/>
            <w:tcBorders>
              <w:top w:val="single" w:color="000000" w:sz="8" w:space="0"/>
              <w:left w:val="single" w:color="000000" w:sz="8" w:space="0"/>
              <w:bottom w:val="single" w:color="000000" w:sz="8" w:space="0"/>
              <w:right w:val="single" w:color="000000" w:sz="8" w:space="0"/>
            </w:tcBorders>
            <w:vAlign w:val="center"/>
          </w:tcPr>
          <w:p w14:paraId="57FB347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01BCD06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0491DC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71F1B805">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425C7E7D">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3D1AE83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11</w:t>
            </w:r>
          </w:p>
        </w:tc>
        <w:tc>
          <w:tcPr>
            <w:tcW w:w="2445" w:type="dxa"/>
            <w:tcBorders>
              <w:top w:val="single" w:color="000000" w:sz="8" w:space="0"/>
              <w:left w:val="single" w:color="000000" w:sz="8" w:space="0"/>
              <w:bottom w:val="single" w:color="000000" w:sz="8" w:space="0"/>
              <w:right w:val="single" w:color="000000" w:sz="8" w:space="0"/>
            </w:tcBorders>
            <w:vAlign w:val="center"/>
          </w:tcPr>
          <w:p w14:paraId="65F8E14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手斧</w:t>
            </w:r>
          </w:p>
        </w:tc>
        <w:tc>
          <w:tcPr>
            <w:tcW w:w="719" w:type="dxa"/>
            <w:tcBorders>
              <w:top w:val="single" w:color="000000" w:sz="8" w:space="0"/>
              <w:left w:val="single" w:color="000000" w:sz="8" w:space="0"/>
              <w:bottom w:val="single" w:color="000000" w:sz="8" w:space="0"/>
              <w:right w:val="single" w:color="000000" w:sz="8" w:space="0"/>
            </w:tcBorders>
            <w:vAlign w:val="center"/>
          </w:tcPr>
          <w:p w14:paraId="4F75C9E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把</w:t>
            </w:r>
          </w:p>
        </w:tc>
        <w:tc>
          <w:tcPr>
            <w:tcW w:w="740" w:type="dxa"/>
            <w:tcBorders>
              <w:top w:val="single" w:color="000000" w:sz="8" w:space="0"/>
              <w:left w:val="single" w:color="000000" w:sz="8" w:space="0"/>
              <w:bottom w:val="single" w:color="000000" w:sz="8" w:space="0"/>
              <w:right w:val="single" w:color="000000" w:sz="8" w:space="0"/>
            </w:tcBorders>
            <w:vAlign w:val="center"/>
          </w:tcPr>
          <w:p w14:paraId="01D23A6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5</w:t>
            </w:r>
          </w:p>
        </w:tc>
        <w:tc>
          <w:tcPr>
            <w:tcW w:w="1397" w:type="dxa"/>
            <w:tcBorders>
              <w:top w:val="single" w:color="000000" w:sz="8" w:space="0"/>
              <w:left w:val="single" w:color="000000" w:sz="8" w:space="0"/>
              <w:bottom w:val="single" w:color="000000" w:sz="8" w:space="0"/>
              <w:right w:val="single" w:color="000000" w:sz="8" w:space="0"/>
            </w:tcBorders>
            <w:vAlign w:val="center"/>
          </w:tcPr>
          <w:p w14:paraId="2148301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43E322C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1F94C9A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11318C2A">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075AC174">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64E9098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12</w:t>
            </w:r>
          </w:p>
        </w:tc>
        <w:tc>
          <w:tcPr>
            <w:tcW w:w="2445" w:type="dxa"/>
            <w:tcBorders>
              <w:top w:val="single" w:color="000000" w:sz="8" w:space="0"/>
              <w:left w:val="single" w:color="000000" w:sz="8" w:space="0"/>
              <w:bottom w:val="single" w:color="000000" w:sz="8" w:space="0"/>
              <w:right w:val="single" w:color="000000" w:sz="8" w:space="0"/>
            </w:tcBorders>
            <w:vAlign w:val="center"/>
          </w:tcPr>
          <w:p w14:paraId="463BE84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撬棍</w:t>
            </w:r>
          </w:p>
        </w:tc>
        <w:tc>
          <w:tcPr>
            <w:tcW w:w="719" w:type="dxa"/>
            <w:tcBorders>
              <w:top w:val="single" w:color="000000" w:sz="8" w:space="0"/>
              <w:left w:val="single" w:color="000000" w:sz="8" w:space="0"/>
              <w:bottom w:val="single" w:color="000000" w:sz="8" w:space="0"/>
              <w:right w:val="single" w:color="000000" w:sz="8" w:space="0"/>
            </w:tcBorders>
            <w:vAlign w:val="center"/>
          </w:tcPr>
          <w:p w14:paraId="0AAE361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根</w:t>
            </w:r>
          </w:p>
        </w:tc>
        <w:tc>
          <w:tcPr>
            <w:tcW w:w="740" w:type="dxa"/>
            <w:tcBorders>
              <w:top w:val="single" w:color="000000" w:sz="8" w:space="0"/>
              <w:left w:val="single" w:color="000000" w:sz="8" w:space="0"/>
              <w:bottom w:val="single" w:color="000000" w:sz="8" w:space="0"/>
              <w:right w:val="single" w:color="000000" w:sz="8" w:space="0"/>
            </w:tcBorders>
            <w:vAlign w:val="center"/>
          </w:tcPr>
          <w:p w14:paraId="38B36EA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5C3AA97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150</w:t>
            </w:r>
            <w:r>
              <w:rPr>
                <w:rFonts w:hint="eastAsia" w:ascii="宋体" w:hAnsi="宋体" w:eastAsia="宋体" w:cs="宋体"/>
                <w:color w:val="auto"/>
                <w:kern w:val="0"/>
                <w:sz w:val="24"/>
                <w:lang w:val="en-US" w:eastAsia="zh-CN" w:bidi="ar"/>
              </w:rPr>
              <w:t>—</w:t>
            </w:r>
            <w:r>
              <w:rPr>
                <w:rFonts w:hint="default" w:ascii="宋体" w:hAnsi="宋体" w:eastAsia="宋体" w:cs="宋体"/>
                <w:color w:val="auto"/>
                <w:kern w:val="0"/>
                <w:sz w:val="24"/>
                <w:lang w:val="en-US" w:eastAsia="en-US" w:bidi="ar"/>
              </w:rPr>
              <w:t>240m㎡</w:t>
            </w:r>
          </w:p>
        </w:tc>
        <w:tc>
          <w:tcPr>
            <w:tcW w:w="1747" w:type="dxa"/>
            <w:tcBorders>
              <w:top w:val="single" w:color="000000" w:sz="8" w:space="0"/>
              <w:left w:val="single" w:color="000000" w:sz="8" w:space="0"/>
              <w:bottom w:val="single" w:color="000000" w:sz="8" w:space="0"/>
              <w:right w:val="single" w:color="000000" w:sz="8" w:space="0"/>
            </w:tcBorders>
            <w:vAlign w:val="center"/>
          </w:tcPr>
          <w:p w14:paraId="076ABB4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3CC074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397487D0">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3A196B3C">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72AA1F7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23</w:t>
            </w:r>
          </w:p>
        </w:tc>
        <w:tc>
          <w:tcPr>
            <w:tcW w:w="2445" w:type="dxa"/>
            <w:tcBorders>
              <w:top w:val="single" w:color="000000" w:sz="8" w:space="0"/>
              <w:left w:val="single" w:color="000000" w:sz="8" w:space="0"/>
              <w:bottom w:val="single" w:color="000000" w:sz="8" w:space="0"/>
              <w:right w:val="single" w:color="000000" w:sz="8" w:space="0"/>
            </w:tcBorders>
            <w:vAlign w:val="center"/>
          </w:tcPr>
          <w:p w14:paraId="4420682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平板锹</w:t>
            </w:r>
          </w:p>
        </w:tc>
        <w:tc>
          <w:tcPr>
            <w:tcW w:w="719" w:type="dxa"/>
            <w:tcBorders>
              <w:top w:val="single" w:color="000000" w:sz="8" w:space="0"/>
              <w:left w:val="single" w:color="000000" w:sz="8" w:space="0"/>
              <w:bottom w:val="single" w:color="000000" w:sz="8" w:space="0"/>
              <w:right w:val="single" w:color="000000" w:sz="8" w:space="0"/>
            </w:tcBorders>
            <w:vAlign w:val="center"/>
          </w:tcPr>
          <w:p w14:paraId="0F95BC8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把</w:t>
            </w:r>
          </w:p>
        </w:tc>
        <w:tc>
          <w:tcPr>
            <w:tcW w:w="740" w:type="dxa"/>
            <w:tcBorders>
              <w:top w:val="single" w:color="000000" w:sz="8" w:space="0"/>
              <w:left w:val="single" w:color="000000" w:sz="8" w:space="0"/>
              <w:bottom w:val="single" w:color="000000" w:sz="8" w:space="0"/>
              <w:right w:val="single" w:color="000000" w:sz="8" w:space="0"/>
            </w:tcBorders>
            <w:vAlign w:val="center"/>
          </w:tcPr>
          <w:p w14:paraId="16072BE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4</w:t>
            </w:r>
          </w:p>
        </w:tc>
        <w:tc>
          <w:tcPr>
            <w:tcW w:w="1397" w:type="dxa"/>
            <w:tcBorders>
              <w:top w:val="single" w:color="000000" w:sz="8" w:space="0"/>
              <w:left w:val="single" w:color="000000" w:sz="8" w:space="0"/>
              <w:bottom w:val="single" w:color="000000" w:sz="8" w:space="0"/>
              <w:right w:val="single" w:color="000000" w:sz="8" w:space="0"/>
            </w:tcBorders>
            <w:vAlign w:val="center"/>
          </w:tcPr>
          <w:p w14:paraId="4953ACD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150</w:t>
            </w:r>
            <w:r>
              <w:rPr>
                <w:rFonts w:hint="eastAsia" w:ascii="宋体" w:hAnsi="宋体" w:eastAsia="宋体" w:cs="宋体"/>
                <w:color w:val="auto"/>
                <w:kern w:val="0"/>
                <w:sz w:val="24"/>
                <w:lang w:val="en-US" w:eastAsia="zh-CN" w:bidi="ar"/>
              </w:rPr>
              <w:t>—</w:t>
            </w:r>
            <w:r>
              <w:rPr>
                <w:rFonts w:hint="default" w:ascii="宋体" w:hAnsi="宋体" w:eastAsia="宋体" w:cs="宋体"/>
                <w:color w:val="auto"/>
                <w:kern w:val="0"/>
                <w:sz w:val="24"/>
                <w:lang w:val="en-US" w:eastAsia="en-US" w:bidi="ar"/>
              </w:rPr>
              <w:t>240m㎡</w:t>
            </w:r>
          </w:p>
        </w:tc>
        <w:tc>
          <w:tcPr>
            <w:tcW w:w="1747" w:type="dxa"/>
            <w:tcBorders>
              <w:top w:val="single" w:color="000000" w:sz="8" w:space="0"/>
              <w:left w:val="single" w:color="000000" w:sz="8" w:space="0"/>
              <w:bottom w:val="single" w:color="000000" w:sz="8" w:space="0"/>
              <w:right w:val="single" w:color="000000" w:sz="8" w:space="0"/>
            </w:tcBorders>
            <w:vAlign w:val="center"/>
          </w:tcPr>
          <w:p w14:paraId="447BA9C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9D79E0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1708565B">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C812F18">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27A7202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14</w:t>
            </w:r>
          </w:p>
        </w:tc>
        <w:tc>
          <w:tcPr>
            <w:tcW w:w="2445" w:type="dxa"/>
            <w:tcBorders>
              <w:top w:val="single" w:color="000000" w:sz="8" w:space="0"/>
              <w:left w:val="single" w:color="000000" w:sz="8" w:space="0"/>
              <w:bottom w:val="single" w:color="000000" w:sz="8" w:space="0"/>
              <w:right w:val="single" w:color="000000" w:sz="8" w:space="0"/>
            </w:tcBorders>
            <w:vAlign w:val="center"/>
          </w:tcPr>
          <w:p w14:paraId="1CAFE99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木锯</w:t>
            </w:r>
          </w:p>
        </w:tc>
        <w:tc>
          <w:tcPr>
            <w:tcW w:w="719" w:type="dxa"/>
            <w:tcBorders>
              <w:top w:val="single" w:color="000000" w:sz="8" w:space="0"/>
              <w:left w:val="single" w:color="000000" w:sz="8" w:space="0"/>
              <w:bottom w:val="single" w:color="000000" w:sz="8" w:space="0"/>
              <w:right w:val="single" w:color="000000" w:sz="8" w:space="0"/>
            </w:tcBorders>
            <w:vAlign w:val="center"/>
          </w:tcPr>
          <w:p w14:paraId="7541C00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把</w:t>
            </w:r>
          </w:p>
        </w:tc>
        <w:tc>
          <w:tcPr>
            <w:tcW w:w="740" w:type="dxa"/>
            <w:tcBorders>
              <w:top w:val="single" w:color="000000" w:sz="8" w:space="0"/>
              <w:left w:val="single" w:color="000000" w:sz="8" w:space="0"/>
              <w:bottom w:val="single" w:color="000000" w:sz="8" w:space="0"/>
              <w:right w:val="single" w:color="000000" w:sz="8" w:space="0"/>
            </w:tcBorders>
            <w:vAlign w:val="center"/>
          </w:tcPr>
          <w:p w14:paraId="007AFC2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35E5069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70</w:t>
            </w:r>
            <w:r>
              <w:rPr>
                <w:rFonts w:hint="eastAsia" w:ascii="宋体" w:hAnsi="宋体" w:eastAsia="宋体" w:cs="宋体"/>
                <w:color w:val="auto"/>
                <w:kern w:val="0"/>
                <w:sz w:val="24"/>
                <w:lang w:val="en-US" w:eastAsia="zh-CN" w:bidi="ar"/>
              </w:rPr>
              <w:t>—</w:t>
            </w:r>
            <w:r>
              <w:rPr>
                <w:rFonts w:hint="default" w:ascii="宋体" w:hAnsi="宋体" w:eastAsia="宋体" w:cs="宋体"/>
                <w:color w:val="auto"/>
                <w:kern w:val="0"/>
                <w:sz w:val="24"/>
                <w:lang w:val="en-US" w:eastAsia="en-US" w:bidi="ar"/>
              </w:rPr>
              <w:t>120m㎡</w:t>
            </w:r>
          </w:p>
        </w:tc>
        <w:tc>
          <w:tcPr>
            <w:tcW w:w="1747" w:type="dxa"/>
            <w:tcBorders>
              <w:top w:val="single" w:color="000000" w:sz="8" w:space="0"/>
              <w:left w:val="single" w:color="000000" w:sz="8" w:space="0"/>
              <w:bottom w:val="single" w:color="000000" w:sz="8" w:space="0"/>
              <w:right w:val="single" w:color="000000" w:sz="8" w:space="0"/>
            </w:tcBorders>
            <w:vAlign w:val="center"/>
          </w:tcPr>
          <w:p w14:paraId="3A73067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4EB185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38058584">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C5E748A">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6872EC2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15</w:t>
            </w:r>
          </w:p>
        </w:tc>
        <w:tc>
          <w:tcPr>
            <w:tcW w:w="2445" w:type="dxa"/>
            <w:tcBorders>
              <w:top w:val="single" w:color="000000" w:sz="8" w:space="0"/>
              <w:left w:val="single" w:color="000000" w:sz="8" w:space="0"/>
              <w:bottom w:val="single" w:color="000000" w:sz="8" w:space="0"/>
              <w:right w:val="single" w:color="000000" w:sz="8" w:space="0"/>
            </w:tcBorders>
            <w:vAlign w:val="center"/>
          </w:tcPr>
          <w:p w14:paraId="67410BD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管钳</w:t>
            </w:r>
          </w:p>
        </w:tc>
        <w:tc>
          <w:tcPr>
            <w:tcW w:w="719" w:type="dxa"/>
            <w:tcBorders>
              <w:top w:val="single" w:color="000000" w:sz="8" w:space="0"/>
              <w:left w:val="single" w:color="000000" w:sz="8" w:space="0"/>
              <w:bottom w:val="single" w:color="000000" w:sz="8" w:space="0"/>
              <w:right w:val="single" w:color="000000" w:sz="8" w:space="0"/>
            </w:tcBorders>
            <w:vAlign w:val="center"/>
          </w:tcPr>
          <w:p w14:paraId="49DB30E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把</w:t>
            </w:r>
          </w:p>
        </w:tc>
        <w:tc>
          <w:tcPr>
            <w:tcW w:w="740" w:type="dxa"/>
            <w:tcBorders>
              <w:top w:val="single" w:color="000000" w:sz="8" w:space="0"/>
              <w:left w:val="single" w:color="000000" w:sz="8" w:space="0"/>
              <w:bottom w:val="single" w:color="000000" w:sz="8" w:space="0"/>
              <w:right w:val="single" w:color="000000" w:sz="8" w:space="0"/>
            </w:tcBorders>
            <w:vAlign w:val="center"/>
          </w:tcPr>
          <w:p w14:paraId="5F0D51B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4</w:t>
            </w:r>
          </w:p>
        </w:tc>
        <w:tc>
          <w:tcPr>
            <w:tcW w:w="1397" w:type="dxa"/>
            <w:tcBorders>
              <w:top w:val="single" w:color="000000" w:sz="8" w:space="0"/>
              <w:left w:val="single" w:color="000000" w:sz="8" w:space="0"/>
              <w:bottom w:val="single" w:color="000000" w:sz="8" w:space="0"/>
              <w:right w:val="single" w:color="000000" w:sz="8" w:space="0"/>
            </w:tcBorders>
            <w:vAlign w:val="center"/>
          </w:tcPr>
          <w:p w14:paraId="712E9CA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70</w:t>
            </w:r>
            <w:r>
              <w:rPr>
                <w:rFonts w:hint="eastAsia" w:ascii="宋体" w:hAnsi="宋体" w:eastAsia="宋体" w:cs="宋体"/>
                <w:color w:val="auto"/>
                <w:kern w:val="0"/>
                <w:sz w:val="24"/>
                <w:lang w:val="en-US" w:eastAsia="zh-CN" w:bidi="ar"/>
              </w:rPr>
              <w:t>—</w:t>
            </w:r>
            <w:r>
              <w:rPr>
                <w:rFonts w:hint="default" w:ascii="宋体" w:hAnsi="宋体" w:eastAsia="宋体" w:cs="宋体"/>
                <w:color w:val="auto"/>
                <w:kern w:val="0"/>
                <w:sz w:val="24"/>
                <w:lang w:val="en-US" w:eastAsia="en-US" w:bidi="ar"/>
              </w:rPr>
              <w:t>120m㎡</w:t>
            </w:r>
          </w:p>
        </w:tc>
        <w:tc>
          <w:tcPr>
            <w:tcW w:w="1747" w:type="dxa"/>
            <w:tcBorders>
              <w:top w:val="single" w:color="000000" w:sz="8" w:space="0"/>
              <w:left w:val="single" w:color="000000" w:sz="8" w:space="0"/>
              <w:bottom w:val="single" w:color="000000" w:sz="8" w:space="0"/>
              <w:right w:val="single" w:color="000000" w:sz="8" w:space="0"/>
            </w:tcBorders>
            <w:vAlign w:val="center"/>
          </w:tcPr>
          <w:p w14:paraId="44F35D4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A58CD9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03B5464A">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024FE83C">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729FE88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16</w:t>
            </w:r>
          </w:p>
        </w:tc>
        <w:tc>
          <w:tcPr>
            <w:tcW w:w="2445" w:type="dxa"/>
            <w:tcBorders>
              <w:top w:val="single" w:color="000000" w:sz="8" w:space="0"/>
              <w:left w:val="single" w:color="000000" w:sz="8" w:space="0"/>
              <w:bottom w:val="single" w:color="000000" w:sz="8" w:space="0"/>
              <w:right w:val="single" w:color="000000" w:sz="8" w:space="0"/>
            </w:tcBorders>
            <w:vAlign w:val="center"/>
          </w:tcPr>
          <w:p w14:paraId="436ADBE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伸缩梯</w:t>
            </w:r>
          </w:p>
        </w:tc>
        <w:tc>
          <w:tcPr>
            <w:tcW w:w="719" w:type="dxa"/>
            <w:tcBorders>
              <w:top w:val="single" w:color="000000" w:sz="8" w:space="0"/>
              <w:left w:val="single" w:color="000000" w:sz="8" w:space="0"/>
              <w:bottom w:val="single" w:color="000000" w:sz="8" w:space="0"/>
              <w:right w:val="single" w:color="000000" w:sz="8" w:space="0"/>
            </w:tcBorders>
            <w:vAlign w:val="center"/>
          </w:tcPr>
          <w:p w14:paraId="6EBE826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副</w:t>
            </w:r>
          </w:p>
        </w:tc>
        <w:tc>
          <w:tcPr>
            <w:tcW w:w="740" w:type="dxa"/>
            <w:tcBorders>
              <w:top w:val="single" w:color="000000" w:sz="8" w:space="0"/>
              <w:left w:val="single" w:color="000000" w:sz="8" w:space="0"/>
              <w:bottom w:val="single" w:color="000000" w:sz="8" w:space="0"/>
              <w:right w:val="single" w:color="000000" w:sz="8" w:space="0"/>
            </w:tcBorders>
            <w:vAlign w:val="center"/>
          </w:tcPr>
          <w:p w14:paraId="635EBE2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w:t>
            </w:r>
          </w:p>
        </w:tc>
        <w:tc>
          <w:tcPr>
            <w:tcW w:w="1397" w:type="dxa"/>
            <w:tcBorders>
              <w:top w:val="single" w:color="000000" w:sz="8" w:space="0"/>
              <w:left w:val="single" w:color="000000" w:sz="8" w:space="0"/>
              <w:bottom w:val="single" w:color="000000" w:sz="8" w:space="0"/>
              <w:right w:val="single" w:color="000000" w:sz="8" w:space="0"/>
            </w:tcBorders>
            <w:vAlign w:val="center"/>
          </w:tcPr>
          <w:p w14:paraId="54BA6FD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25</w:t>
            </w:r>
            <w:r>
              <w:rPr>
                <w:rFonts w:hint="eastAsia" w:ascii="宋体" w:hAnsi="宋体" w:eastAsia="宋体" w:cs="宋体"/>
                <w:color w:val="auto"/>
                <w:kern w:val="0"/>
                <w:sz w:val="24"/>
                <w:lang w:val="en-US" w:eastAsia="zh-CN" w:bidi="ar"/>
              </w:rPr>
              <w:t>—</w:t>
            </w:r>
            <w:r>
              <w:rPr>
                <w:rFonts w:hint="default" w:ascii="宋体" w:hAnsi="宋体" w:eastAsia="宋体" w:cs="宋体"/>
                <w:color w:val="auto"/>
                <w:kern w:val="0"/>
                <w:sz w:val="24"/>
                <w:lang w:val="en-US" w:eastAsia="en-US" w:bidi="ar"/>
              </w:rPr>
              <w:t>50m㎡</w:t>
            </w:r>
          </w:p>
        </w:tc>
        <w:tc>
          <w:tcPr>
            <w:tcW w:w="1747" w:type="dxa"/>
            <w:tcBorders>
              <w:top w:val="single" w:color="000000" w:sz="8" w:space="0"/>
              <w:left w:val="single" w:color="000000" w:sz="8" w:space="0"/>
              <w:bottom w:val="single" w:color="000000" w:sz="8" w:space="0"/>
              <w:right w:val="single" w:color="000000" w:sz="8" w:space="0"/>
            </w:tcBorders>
            <w:vAlign w:val="center"/>
          </w:tcPr>
          <w:p w14:paraId="1C52E88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2EF6147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02B8B64E">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A1CB11B">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5785DC0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17</w:t>
            </w:r>
          </w:p>
        </w:tc>
        <w:tc>
          <w:tcPr>
            <w:tcW w:w="2445" w:type="dxa"/>
            <w:tcBorders>
              <w:top w:val="single" w:color="000000" w:sz="8" w:space="0"/>
              <w:left w:val="single" w:color="000000" w:sz="8" w:space="0"/>
              <w:bottom w:val="single" w:color="000000" w:sz="8" w:space="0"/>
              <w:right w:val="single" w:color="000000" w:sz="8" w:space="0"/>
            </w:tcBorders>
            <w:vAlign w:val="center"/>
          </w:tcPr>
          <w:p w14:paraId="04182C7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消防桶</w:t>
            </w:r>
          </w:p>
        </w:tc>
        <w:tc>
          <w:tcPr>
            <w:tcW w:w="719" w:type="dxa"/>
            <w:tcBorders>
              <w:top w:val="single" w:color="000000" w:sz="8" w:space="0"/>
              <w:left w:val="single" w:color="000000" w:sz="8" w:space="0"/>
              <w:bottom w:val="single" w:color="000000" w:sz="8" w:space="0"/>
              <w:right w:val="single" w:color="000000" w:sz="8" w:space="0"/>
            </w:tcBorders>
            <w:vAlign w:val="center"/>
          </w:tcPr>
          <w:p w14:paraId="74BCD38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只</w:t>
            </w:r>
          </w:p>
        </w:tc>
        <w:tc>
          <w:tcPr>
            <w:tcW w:w="740" w:type="dxa"/>
            <w:tcBorders>
              <w:top w:val="single" w:color="000000" w:sz="8" w:space="0"/>
              <w:left w:val="single" w:color="000000" w:sz="8" w:space="0"/>
              <w:bottom w:val="single" w:color="000000" w:sz="8" w:space="0"/>
              <w:right w:val="single" w:color="000000" w:sz="8" w:space="0"/>
            </w:tcBorders>
            <w:vAlign w:val="center"/>
          </w:tcPr>
          <w:p w14:paraId="39ACE54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4</w:t>
            </w:r>
          </w:p>
        </w:tc>
        <w:tc>
          <w:tcPr>
            <w:tcW w:w="1397" w:type="dxa"/>
            <w:tcBorders>
              <w:top w:val="single" w:color="000000" w:sz="8" w:space="0"/>
              <w:left w:val="single" w:color="000000" w:sz="8" w:space="0"/>
              <w:bottom w:val="single" w:color="000000" w:sz="8" w:space="0"/>
              <w:right w:val="single" w:color="000000" w:sz="8" w:space="0"/>
            </w:tcBorders>
            <w:vAlign w:val="center"/>
          </w:tcPr>
          <w:p w14:paraId="5A81324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25</w:t>
            </w:r>
            <w:r>
              <w:rPr>
                <w:rFonts w:hint="eastAsia" w:ascii="宋体" w:hAnsi="宋体" w:eastAsia="宋体" w:cs="宋体"/>
                <w:color w:val="auto"/>
                <w:kern w:val="0"/>
                <w:sz w:val="24"/>
                <w:lang w:val="en-US" w:eastAsia="zh-CN" w:bidi="ar"/>
              </w:rPr>
              <w:t>—</w:t>
            </w:r>
            <w:r>
              <w:rPr>
                <w:rFonts w:hint="default" w:ascii="宋体" w:hAnsi="宋体" w:eastAsia="宋体" w:cs="宋体"/>
                <w:color w:val="auto"/>
                <w:kern w:val="0"/>
                <w:sz w:val="24"/>
                <w:lang w:val="en-US" w:eastAsia="en-US" w:bidi="ar"/>
              </w:rPr>
              <w:t>50m㎡</w:t>
            </w:r>
          </w:p>
        </w:tc>
        <w:tc>
          <w:tcPr>
            <w:tcW w:w="1747" w:type="dxa"/>
            <w:tcBorders>
              <w:top w:val="single" w:color="000000" w:sz="8" w:space="0"/>
              <w:left w:val="single" w:color="000000" w:sz="8" w:space="0"/>
              <w:bottom w:val="single" w:color="000000" w:sz="8" w:space="0"/>
              <w:right w:val="single" w:color="000000" w:sz="8" w:space="0"/>
            </w:tcBorders>
            <w:vAlign w:val="center"/>
          </w:tcPr>
          <w:p w14:paraId="7C022DF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4ADCF8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10E7925F">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039924E5">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51AD3C9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18</w:t>
            </w:r>
          </w:p>
        </w:tc>
        <w:tc>
          <w:tcPr>
            <w:tcW w:w="2445" w:type="dxa"/>
            <w:tcBorders>
              <w:top w:val="single" w:color="000000" w:sz="8" w:space="0"/>
              <w:left w:val="single" w:color="000000" w:sz="8" w:space="0"/>
              <w:bottom w:val="single" w:color="000000" w:sz="8" w:space="0"/>
              <w:right w:val="single" w:color="000000" w:sz="8" w:space="0"/>
            </w:tcBorders>
            <w:vAlign w:val="center"/>
          </w:tcPr>
          <w:p w14:paraId="5D797F3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6A3DB05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付</w:t>
            </w:r>
          </w:p>
        </w:tc>
        <w:tc>
          <w:tcPr>
            <w:tcW w:w="740" w:type="dxa"/>
            <w:tcBorders>
              <w:top w:val="single" w:color="000000" w:sz="8" w:space="0"/>
              <w:left w:val="single" w:color="000000" w:sz="8" w:space="0"/>
              <w:bottom w:val="single" w:color="000000" w:sz="8" w:space="0"/>
              <w:right w:val="single" w:color="000000" w:sz="8" w:space="0"/>
            </w:tcBorders>
            <w:vAlign w:val="center"/>
          </w:tcPr>
          <w:p w14:paraId="0DAA3DC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5</w:t>
            </w:r>
          </w:p>
        </w:tc>
        <w:tc>
          <w:tcPr>
            <w:tcW w:w="1397" w:type="dxa"/>
            <w:tcBorders>
              <w:top w:val="single" w:color="000000" w:sz="8" w:space="0"/>
              <w:left w:val="single" w:color="000000" w:sz="8" w:space="0"/>
              <w:bottom w:val="single" w:color="000000" w:sz="8" w:space="0"/>
              <w:right w:val="single" w:color="000000" w:sz="8" w:space="0"/>
            </w:tcBorders>
            <w:vAlign w:val="center"/>
          </w:tcPr>
          <w:p w14:paraId="7431901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240m㎡2</w:t>
            </w:r>
          </w:p>
        </w:tc>
        <w:tc>
          <w:tcPr>
            <w:tcW w:w="1747" w:type="dxa"/>
            <w:tcBorders>
              <w:top w:val="single" w:color="000000" w:sz="8" w:space="0"/>
              <w:left w:val="single" w:color="000000" w:sz="8" w:space="0"/>
              <w:bottom w:val="single" w:color="000000" w:sz="8" w:space="0"/>
              <w:right w:val="single" w:color="000000" w:sz="8" w:space="0"/>
            </w:tcBorders>
            <w:vAlign w:val="center"/>
          </w:tcPr>
          <w:p w14:paraId="3A5E1E3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7C29EC7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26F26B9A">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4644CF42">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0C3D890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19</w:t>
            </w:r>
          </w:p>
        </w:tc>
        <w:tc>
          <w:tcPr>
            <w:tcW w:w="2445" w:type="dxa"/>
            <w:tcBorders>
              <w:top w:val="single" w:color="000000" w:sz="8" w:space="0"/>
              <w:left w:val="single" w:color="000000" w:sz="8" w:space="0"/>
              <w:bottom w:val="single" w:color="000000" w:sz="8" w:space="0"/>
              <w:right w:val="single" w:color="000000" w:sz="8" w:space="0"/>
            </w:tcBorders>
            <w:vAlign w:val="center"/>
          </w:tcPr>
          <w:p w14:paraId="6CE6070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01A5075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付</w:t>
            </w:r>
          </w:p>
        </w:tc>
        <w:tc>
          <w:tcPr>
            <w:tcW w:w="740" w:type="dxa"/>
            <w:tcBorders>
              <w:top w:val="single" w:color="000000" w:sz="8" w:space="0"/>
              <w:left w:val="single" w:color="000000" w:sz="8" w:space="0"/>
              <w:bottom w:val="single" w:color="000000" w:sz="8" w:space="0"/>
              <w:right w:val="single" w:color="000000" w:sz="8" w:space="0"/>
            </w:tcBorders>
            <w:vAlign w:val="center"/>
          </w:tcPr>
          <w:p w14:paraId="30CFAFE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5</w:t>
            </w:r>
          </w:p>
        </w:tc>
        <w:tc>
          <w:tcPr>
            <w:tcW w:w="1397" w:type="dxa"/>
            <w:tcBorders>
              <w:top w:val="single" w:color="000000" w:sz="8" w:space="0"/>
              <w:left w:val="single" w:color="000000" w:sz="8" w:space="0"/>
              <w:bottom w:val="single" w:color="000000" w:sz="8" w:space="0"/>
              <w:right w:val="single" w:color="000000" w:sz="8" w:space="0"/>
            </w:tcBorders>
            <w:vAlign w:val="center"/>
          </w:tcPr>
          <w:p w14:paraId="1BA3468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185m㎡</w:t>
            </w:r>
          </w:p>
        </w:tc>
        <w:tc>
          <w:tcPr>
            <w:tcW w:w="1747" w:type="dxa"/>
            <w:tcBorders>
              <w:top w:val="single" w:color="000000" w:sz="8" w:space="0"/>
              <w:left w:val="single" w:color="000000" w:sz="8" w:space="0"/>
              <w:bottom w:val="single" w:color="000000" w:sz="8" w:space="0"/>
              <w:right w:val="single" w:color="000000" w:sz="8" w:space="0"/>
            </w:tcBorders>
            <w:vAlign w:val="center"/>
          </w:tcPr>
          <w:p w14:paraId="1C2D86F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1A150BA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7EE0B87E">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71AA6F97">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5651343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20</w:t>
            </w:r>
          </w:p>
        </w:tc>
        <w:tc>
          <w:tcPr>
            <w:tcW w:w="2445" w:type="dxa"/>
            <w:tcBorders>
              <w:top w:val="single" w:color="000000" w:sz="8" w:space="0"/>
              <w:left w:val="single" w:color="000000" w:sz="8" w:space="0"/>
              <w:bottom w:val="single" w:color="000000" w:sz="8" w:space="0"/>
              <w:right w:val="single" w:color="000000" w:sz="8" w:space="0"/>
            </w:tcBorders>
            <w:vAlign w:val="center"/>
          </w:tcPr>
          <w:p w14:paraId="453C182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2A132B8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套</w:t>
            </w:r>
          </w:p>
        </w:tc>
        <w:tc>
          <w:tcPr>
            <w:tcW w:w="740" w:type="dxa"/>
            <w:tcBorders>
              <w:top w:val="single" w:color="000000" w:sz="8" w:space="0"/>
              <w:left w:val="single" w:color="000000" w:sz="8" w:space="0"/>
              <w:bottom w:val="single" w:color="000000" w:sz="8" w:space="0"/>
              <w:right w:val="single" w:color="000000" w:sz="8" w:space="0"/>
            </w:tcBorders>
            <w:vAlign w:val="center"/>
          </w:tcPr>
          <w:p w14:paraId="23C3C15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1ED5460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150m㎡</w:t>
            </w:r>
          </w:p>
        </w:tc>
        <w:tc>
          <w:tcPr>
            <w:tcW w:w="1747" w:type="dxa"/>
            <w:tcBorders>
              <w:top w:val="single" w:color="000000" w:sz="8" w:space="0"/>
              <w:left w:val="single" w:color="000000" w:sz="8" w:space="0"/>
              <w:bottom w:val="single" w:color="000000" w:sz="8" w:space="0"/>
              <w:right w:val="single" w:color="000000" w:sz="8" w:space="0"/>
            </w:tcBorders>
            <w:vAlign w:val="center"/>
          </w:tcPr>
          <w:p w14:paraId="6C6CA6B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3A3DFD7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73DAA83C">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BC9CF3F">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1B25B2F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21</w:t>
            </w:r>
          </w:p>
        </w:tc>
        <w:tc>
          <w:tcPr>
            <w:tcW w:w="2445" w:type="dxa"/>
            <w:tcBorders>
              <w:top w:val="single" w:color="000000" w:sz="8" w:space="0"/>
              <w:left w:val="single" w:color="000000" w:sz="8" w:space="0"/>
              <w:bottom w:val="single" w:color="000000" w:sz="8" w:space="0"/>
              <w:right w:val="single" w:color="000000" w:sz="8" w:space="0"/>
            </w:tcBorders>
            <w:vAlign w:val="center"/>
          </w:tcPr>
          <w:p w14:paraId="2575BF9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18C43F1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套</w:t>
            </w:r>
          </w:p>
        </w:tc>
        <w:tc>
          <w:tcPr>
            <w:tcW w:w="740" w:type="dxa"/>
            <w:tcBorders>
              <w:top w:val="single" w:color="000000" w:sz="8" w:space="0"/>
              <w:left w:val="single" w:color="000000" w:sz="8" w:space="0"/>
              <w:bottom w:val="single" w:color="000000" w:sz="8" w:space="0"/>
              <w:right w:val="single" w:color="000000" w:sz="8" w:space="0"/>
            </w:tcBorders>
            <w:vAlign w:val="center"/>
          </w:tcPr>
          <w:p w14:paraId="2727079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115D24C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120m㎡</w:t>
            </w:r>
          </w:p>
        </w:tc>
        <w:tc>
          <w:tcPr>
            <w:tcW w:w="1747" w:type="dxa"/>
            <w:tcBorders>
              <w:top w:val="single" w:color="000000" w:sz="8" w:space="0"/>
              <w:left w:val="single" w:color="000000" w:sz="8" w:space="0"/>
              <w:bottom w:val="single" w:color="000000" w:sz="8" w:space="0"/>
              <w:right w:val="single" w:color="000000" w:sz="8" w:space="0"/>
            </w:tcBorders>
            <w:vAlign w:val="center"/>
          </w:tcPr>
          <w:p w14:paraId="17B9FEE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3ED244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220C3950">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7EA66687">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791CF23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22</w:t>
            </w:r>
          </w:p>
        </w:tc>
        <w:tc>
          <w:tcPr>
            <w:tcW w:w="2445" w:type="dxa"/>
            <w:tcBorders>
              <w:top w:val="single" w:color="000000" w:sz="8" w:space="0"/>
              <w:left w:val="single" w:color="000000" w:sz="8" w:space="0"/>
              <w:bottom w:val="single" w:color="000000" w:sz="8" w:space="0"/>
              <w:right w:val="single" w:color="000000" w:sz="8" w:space="0"/>
            </w:tcBorders>
            <w:vAlign w:val="center"/>
          </w:tcPr>
          <w:p w14:paraId="26FA656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46676B6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个</w:t>
            </w:r>
          </w:p>
        </w:tc>
        <w:tc>
          <w:tcPr>
            <w:tcW w:w="740" w:type="dxa"/>
            <w:tcBorders>
              <w:top w:val="single" w:color="000000" w:sz="8" w:space="0"/>
              <w:left w:val="single" w:color="000000" w:sz="8" w:space="0"/>
              <w:bottom w:val="single" w:color="000000" w:sz="8" w:space="0"/>
              <w:right w:val="single" w:color="000000" w:sz="8" w:space="0"/>
            </w:tcBorders>
            <w:vAlign w:val="center"/>
          </w:tcPr>
          <w:p w14:paraId="77F0706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800</w:t>
            </w:r>
          </w:p>
        </w:tc>
        <w:tc>
          <w:tcPr>
            <w:tcW w:w="1397" w:type="dxa"/>
            <w:tcBorders>
              <w:top w:val="single" w:color="000000" w:sz="8" w:space="0"/>
              <w:left w:val="single" w:color="000000" w:sz="8" w:space="0"/>
              <w:bottom w:val="single" w:color="000000" w:sz="8" w:space="0"/>
              <w:right w:val="single" w:color="000000" w:sz="8" w:space="0"/>
            </w:tcBorders>
            <w:vAlign w:val="center"/>
          </w:tcPr>
          <w:p w14:paraId="556A8A1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95m㎡</w:t>
            </w:r>
          </w:p>
        </w:tc>
        <w:tc>
          <w:tcPr>
            <w:tcW w:w="1747" w:type="dxa"/>
            <w:tcBorders>
              <w:top w:val="single" w:color="000000" w:sz="8" w:space="0"/>
              <w:left w:val="single" w:color="000000" w:sz="8" w:space="0"/>
              <w:bottom w:val="single" w:color="000000" w:sz="8" w:space="0"/>
              <w:right w:val="single" w:color="000000" w:sz="8" w:space="0"/>
            </w:tcBorders>
            <w:vAlign w:val="center"/>
          </w:tcPr>
          <w:p w14:paraId="2DAC738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7983D0E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2A402D02">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75F1D84">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18C26AD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23</w:t>
            </w:r>
          </w:p>
        </w:tc>
        <w:tc>
          <w:tcPr>
            <w:tcW w:w="2445" w:type="dxa"/>
            <w:tcBorders>
              <w:top w:val="single" w:color="000000" w:sz="8" w:space="0"/>
              <w:left w:val="single" w:color="000000" w:sz="8" w:space="0"/>
              <w:bottom w:val="single" w:color="000000" w:sz="8" w:space="0"/>
              <w:right w:val="single" w:color="000000" w:sz="8" w:space="0"/>
            </w:tcBorders>
            <w:vAlign w:val="center"/>
          </w:tcPr>
          <w:p w14:paraId="71C580C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15A86DA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米</w:t>
            </w:r>
          </w:p>
        </w:tc>
        <w:tc>
          <w:tcPr>
            <w:tcW w:w="740" w:type="dxa"/>
            <w:tcBorders>
              <w:top w:val="single" w:color="000000" w:sz="8" w:space="0"/>
              <w:left w:val="single" w:color="000000" w:sz="8" w:space="0"/>
              <w:bottom w:val="single" w:color="000000" w:sz="8" w:space="0"/>
              <w:right w:val="single" w:color="000000" w:sz="8" w:space="0"/>
            </w:tcBorders>
            <w:vAlign w:val="center"/>
          </w:tcPr>
          <w:p w14:paraId="061E9D7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300</w:t>
            </w:r>
          </w:p>
        </w:tc>
        <w:tc>
          <w:tcPr>
            <w:tcW w:w="1397" w:type="dxa"/>
            <w:tcBorders>
              <w:top w:val="single" w:color="000000" w:sz="8" w:space="0"/>
              <w:left w:val="single" w:color="000000" w:sz="8" w:space="0"/>
              <w:bottom w:val="single" w:color="000000" w:sz="8" w:space="0"/>
              <w:right w:val="single" w:color="000000" w:sz="8" w:space="0"/>
            </w:tcBorders>
            <w:vAlign w:val="center"/>
          </w:tcPr>
          <w:p w14:paraId="4F3CD51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70m㎡</w:t>
            </w:r>
          </w:p>
        </w:tc>
        <w:tc>
          <w:tcPr>
            <w:tcW w:w="1747" w:type="dxa"/>
            <w:tcBorders>
              <w:top w:val="single" w:color="000000" w:sz="8" w:space="0"/>
              <w:left w:val="single" w:color="000000" w:sz="8" w:space="0"/>
              <w:bottom w:val="single" w:color="000000" w:sz="8" w:space="0"/>
              <w:right w:val="single" w:color="000000" w:sz="8" w:space="0"/>
            </w:tcBorders>
            <w:vAlign w:val="center"/>
          </w:tcPr>
          <w:p w14:paraId="441FBEF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0CEA0F9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560DB39D">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7CC9FFDB">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730E055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24</w:t>
            </w:r>
          </w:p>
        </w:tc>
        <w:tc>
          <w:tcPr>
            <w:tcW w:w="2445" w:type="dxa"/>
            <w:tcBorders>
              <w:top w:val="single" w:color="000000" w:sz="8" w:space="0"/>
              <w:left w:val="single" w:color="000000" w:sz="8" w:space="0"/>
              <w:bottom w:val="single" w:color="000000" w:sz="8" w:space="0"/>
              <w:right w:val="single" w:color="000000" w:sz="8" w:space="0"/>
            </w:tcBorders>
            <w:vAlign w:val="center"/>
          </w:tcPr>
          <w:p w14:paraId="2FE1D42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铜接线管</w:t>
            </w:r>
          </w:p>
        </w:tc>
        <w:tc>
          <w:tcPr>
            <w:tcW w:w="719" w:type="dxa"/>
            <w:tcBorders>
              <w:top w:val="single" w:color="000000" w:sz="8" w:space="0"/>
              <w:left w:val="single" w:color="000000" w:sz="8" w:space="0"/>
              <w:bottom w:val="single" w:color="000000" w:sz="8" w:space="0"/>
              <w:right w:val="single" w:color="000000" w:sz="8" w:space="0"/>
            </w:tcBorders>
            <w:vAlign w:val="center"/>
          </w:tcPr>
          <w:p w14:paraId="0C95317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米</w:t>
            </w:r>
          </w:p>
        </w:tc>
        <w:tc>
          <w:tcPr>
            <w:tcW w:w="740" w:type="dxa"/>
            <w:tcBorders>
              <w:top w:val="single" w:color="000000" w:sz="8" w:space="0"/>
              <w:left w:val="single" w:color="000000" w:sz="8" w:space="0"/>
              <w:bottom w:val="single" w:color="000000" w:sz="8" w:space="0"/>
              <w:right w:val="single" w:color="000000" w:sz="8" w:space="0"/>
            </w:tcBorders>
            <w:vAlign w:val="center"/>
          </w:tcPr>
          <w:p w14:paraId="6C62F18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300</w:t>
            </w:r>
          </w:p>
        </w:tc>
        <w:tc>
          <w:tcPr>
            <w:tcW w:w="1397" w:type="dxa"/>
            <w:tcBorders>
              <w:top w:val="single" w:color="000000" w:sz="8" w:space="0"/>
              <w:left w:val="single" w:color="000000" w:sz="8" w:space="0"/>
              <w:bottom w:val="single" w:color="000000" w:sz="8" w:space="0"/>
              <w:right w:val="single" w:color="000000" w:sz="8" w:space="0"/>
            </w:tcBorders>
            <w:vAlign w:val="center"/>
          </w:tcPr>
          <w:p w14:paraId="39B20EA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50m㎡</w:t>
            </w:r>
          </w:p>
        </w:tc>
        <w:tc>
          <w:tcPr>
            <w:tcW w:w="1747" w:type="dxa"/>
            <w:tcBorders>
              <w:top w:val="single" w:color="000000" w:sz="8" w:space="0"/>
              <w:left w:val="single" w:color="000000" w:sz="8" w:space="0"/>
              <w:bottom w:val="single" w:color="000000" w:sz="8" w:space="0"/>
              <w:right w:val="single" w:color="000000" w:sz="8" w:space="0"/>
            </w:tcBorders>
            <w:vAlign w:val="center"/>
          </w:tcPr>
          <w:p w14:paraId="5E345DB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3EFC3A4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7CC458A5">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184B1FFD">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1089E4C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25</w:t>
            </w:r>
          </w:p>
        </w:tc>
        <w:tc>
          <w:tcPr>
            <w:tcW w:w="2445" w:type="dxa"/>
            <w:tcBorders>
              <w:top w:val="single" w:color="000000" w:sz="8" w:space="0"/>
              <w:left w:val="single" w:color="000000" w:sz="8" w:space="0"/>
              <w:bottom w:val="single" w:color="000000" w:sz="8" w:space="0"/>
              <w:right w:val="single" w:color="000000" w:sz="8" w:space="0"/>
            </w:tcBorders>
            <w:vAlign w:val="center"/>
          </w:tcPr>
          <w:p w14:paraId="29305C2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风雨线</w:t>
            </w:r>
          </w:p>
        </w:tc>
        <w:tc>
          <w:tcPr>
            <w:tcW w:w="719" w:type="dxa"/>
            <w:tcBorders>
              <w:top w:val="single" w:color="000000" w:sz="8" w:space="0"/>
              <w:left w:val="single" w:color="000000" w:sz="8" w:space="0"/>
              <w:bottom w:val="single" w:color="000000" w:sz="8" w:space="0"/>
              <w:right w:val="single" w:color="000000" w:sz="8" w:space="0"/>
            </w:tcBorders>
            <w:vAlign w:val="center"/>
          </w:tcPr>
          <w:p w14:paraId="3C8E428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台</w:t>
            </w:r>
          </w:p>
        </w:tc>
        <w:tc>
          <w:tcPr>
            <w:tcW w:w="740" w:type="dxa"/>
            <w:tcBorders>
              <w:top w:val="single" w:color="000000" w:sz="8" w:space="0"/>
              <w:left w:val="single" w:color="000000" w:sz="8" w:space="0"/>
              <w:bottom w:val="single" w:color="000000" w:sz="8" w:space="0"/>
              <w:right w:val="single" w:color="000000" w:sz="8" w:space="0"/>
            </w:tcBorders>
            <w:vAlign w:val="center"/>
          </w:tcPr>
          <w:p w14:paraId="5CD9F76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25627E9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粗</w:t>
            </w:r>
          </w:p>
        </w:tc>
        <w:tc>
          <w:tcPr>
            <w:tcW w:w="1747" w:type="dxa"/>
            <w:tcBorders>
              <w:top w:val="single" w:color="000000" w:sz="8" w:space="0"/>
              <w:left w:val="single" w:color="000000" w:sz="8" w:space="0"/>
              <w:bottom w:val="single" w:color="000000" w:sz="8" w:space="0"/>
              <w:right w:val="single" w:color="000000" w:sz="8" w:space="0"/>
            </w:tcBorders>
            <w:vAlign w:val="center"/>
          </w:tcPr>
          <w:p w14:paraId="644EE79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73305EA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10B9B44A">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09DCE9AD">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5A60FB0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26</w:t>
            </w:r>
          </w:p>
        </w:tc>
        <w:tc>
          <w:tcPr>
            <w:tcW w:w="2445" w:type="dxa"/>
            <w:tcBorders>
              <w:top w:val="single" w:color="000000" w:sz="8" w:space="0"/>
              <w:left w:val="single" w:color="000000" w:sz="8" w:space="0"/>
              <w:bottom w:val="single" w:color="000000" w:sz="8" w:space="0"/>
              <w:right w:val="single" w:color="000000" w:sz="8" w:space="0"/>
            </w:tcBorders>
            <w:vAlign w:val="center"/>
          </w:tcPr>
          <w:p w14:paraId="1BE3970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并沟线夹</w:t>
            </w:r>
          </w:p>
        </w:tc>
        <w:tc>
          <w:tcPr>
            <w:tcW w:w="719" w:type="dxa"/>
            <w:tcBorders>
              <w:top w:val="single" w:color="000000" w:sz="8" w:space="0"/>
              <w:left w:val="single" w:color="000000" w:sz="8" w:space="0"/>
              <w:bottom w:val="single" w:color="000000" w:sz="8" w:space="0"/>
              <w:right w:val="single" w:color="000000" w:sz="8" w:space="0"/>
            </w:tcBorders>
            <w:vAlign w:val="center"/>
          </w:tcPr>
          <w:p w14:paraId="40D7F2B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米</w:t>
            </w:r>
          </w:p>
        </w:tc>
        <w:tc>
          <w:tcPr>
            <w:tcW w:w="740" w:type="dxa"/>
            <w:tcBorders>
              <w:top w:val="single" w:color="000000" w:sz="8" w:space="0"/>
              <w:left w:val="single" w:color="000000" w:sz="8" w:space="0"/>
              <w:bottom w:val="single" w:color="000000" w:sz="8" w:space="0"/>
              <w:right w:val="single" w:color="000000" w:sz="8" w:space="0"/>
            </w:tcBorders>
            <w:vAlign w:val="center"/>
          </w:tcPr>
          <w:p w14:paraId="2D435FF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300</w:t>
            </w:r>
          </w:p>
        </w:tc>
        <w:tc>
          <w:tcPr>
            <w:tcW w:w="1397" w:type="dxa"/>
            <w:tcBorders>
              <w:top w:val="single" w:color="000000" w:sz="8" w:space="0"/>
              <w:left w:val="single" w:color="000000" w:sz="8" w:space="0"/>
              <w:bottom w:val="single" w:color="000000" w:sz="8" w:space="0"/>
              <w:right w:val="single" w:color="000000" w:sz="8" w:space="0"/>
            </w:tcBorders>
            <w:vAlign w:val="center"/>
          </w:tcPr>
          <w:p w14:paraId="0BE4608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2CAD728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902B89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5DE73534">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0CD09774">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31C8972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27</w:t>
            </w:r>
          </w:p>
        </w:tc>
        <w:tc>
          <w:tcPr>
            <w:tcW w:w="2445" w:type="dxa"/>
            <w:tcBorders>
              <w:top w:val="single" w:color="000000" w:sz="8" w:space="0"/>
              <w:left w:val="single" w:color="000000" w:sz="8" w:space="0"/>
              <w:bottom w:val="single" w:color="000000" w:sz="8" w:space="0"/>
              <w:right w:val="single" w:color="000000" w:sz="8" w:space="0"/>
            </w:tcBorders>
            <w:vAlign w:val="center"/>
          </w:tcPr>
          <w:p w14:paraId="593D7EB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并沟线夹</w:t>
            </w:r>
          </w:p>
        </w:tc>
        <w:tc>
          <w:tcPr>
            <w:tcW w:w="719" w:type="dxa"/>
            <w:tcBorders>
              <w:top w:val="single" w:color="000000" w:sz="8" w:space="0"/>
              <w:left w:val="single" w:color="000000" w:sz="8" w:space="0"/>
              <w:bottom w:val="single" w:color="000000" w:sz="8" w:space="0"/>
              <w:right w:val="single" w:color="000000" w:sz="8" w:space="0"/>
            </w:tcBorders>
            <w:vAlign w:val="center"/>
          </w:tcPr>
          <w:p w14:paraId="79C2B91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台</w:t>
            </w:r>
          </w:p>
        </w:tc>
        <w:tc>
          <w:tcPr>
            <w:tcW w:w="740" w:type="dxa"/>
            <w:tcBorders>
              <w:top w:val="single" w:color="000000" w:sz="8" w:space="0"/>
              <w:left w:val="single" w:color="000000" w:sz="8" w:space="0"/>
              <w:bottom w:val="single" w:color="000000" w:sz="8" w:space="0"/>
              <w:right w:val="single" w:color="000000" w:sz="8" w:space="0"/>
            </w:tcBorders>
            <w:vAlign w:val="center"/>
          </w:tcPr>
          <w:p w14:paraId="2E71B7E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4FE8EAA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5754BE1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12B5C6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06ABA099">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713D394B">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3AB24BC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28</w:t>
            </w:r>
          </w:p>
        </w:tc>
        <w:tc>
          <w:tcPr>
            <w:tcW w:w="2445" w:type="dxa"/>
            <w:tcBorders>
              <w:top w:val="single" w:color="000000" w:sz="8" w:space="0"/>
              <w:left w:val="single" w:color="000000" w:sz="8" w:space="0"/>
              <w:bottom w:val="single" w:color="000000" w:sz="8" w:space="0"/>
              <w:right w:val="single" w:color="000000" w:sz="8" w:space="0"/>
            </w:tcBorders>
            <w:vAlign w:val="center"/>
          </w:tcPr>
          <w:p w14:paraId="5726320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断线钳</w:t>
            </w:r>
          </w:p>
        </w:tc>
        <w:tc>
          <w:tcPr>
            <w:tcW w:w="719" w:type="dxa"/>
            <w:tcBorders>
              <w:top w:val="single" w:color="000000" w:sz="8" w:space="0"/>
              <w:left w:val="single" w:color="000000" w:sz="8" w:space="0"/>
              <w:bottom w:val="single" w:color="000000" w:sz="8" w:space="0"/>
              <w:right w:val="single" w:color="000000" w:sz="8" w:space="0"/>
            </w:tcBorders>
            <w:vAlign w:val="center"/>
          </w:tcPr>
          <w:p w14:paraId="089ED93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米</w:t>
            </w:r>
          </w:p>
        </w:tc>
        <w:tc>
          <w:tcPr>
            <w:tcW w:w="740" w:type="dxa"/>
            <w:tcBorders>
              <w:top w:val="single" w:color="000000" w:sz="8" w:space="0"/>
              <w:left w:val="single" w:color="000000" w:sz="8" w:space="0"/>
              <w:bottom w:val="single" w:color="000000" w:sz="8" w:space="0"/>
              <w:right w:val="single" w:color="000000" w:sz="8" w:space="0"/>
            </w:tcBorders>
            <w:vAlign w:val="center"/>
          </w:tcPr>
          <w:p w14:paraId="626B799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100</w:t>
            </w:r>
          </w:p>
        </w:tc>
        <w:tc>
          <w:tcPr>
            <w:tcW w:w="1397" w:type="dxa"/>
            <w:tcBorders>
              <w:top w:val="single" w:color="000000" w:sz="8" w:space="0"/>
              <w:left w:val="single" w:color="000000" w:sz="8" w:space="0"/>
              <w:bottom w:val="single" w:color="000000" w:sz="8" w:space="0"/>
              <w:right w:val="single" w:color="000000" w:sz="8" w:space="0"/>
            </w:tcBorders>
            <w:vAlign w:val="center"/>
          </w:tcPr>
          <w:p w14:paraId="17ABF61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16BFC2C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45A31F8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22E3E3F5">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D333730">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1A09FD1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29</w:t>
            </w:r>
          </w:p>
        </w:tc>
        <w:tc>
          <w:tcPr>
            <w:tcW w:w="2445" w:type="dxa"/>
            <w:tcBorders>
              <w:top w:val="single" w:color="000000" w:sz="8" w:space="0"/>
              <w:left w:val="single" w:color="000000" w:sz="8" w:space="0"/>
              <w:bottom w:val="single" w:color="000000" w:sz="8" w:space="0"/>
              <w:right w:val="single" w:color="000000" w:sz="8" w:space="0"/>
            </w:tcBorders>
            <w:vAlign w:val="center"/>
          </w:tcPr>
          <w:p w14:paraId="418A6CF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压线钳</w:t>
            </w:r>
          </w:p>
        </w:tc>
        <w:tc>
          <w:tcPr>
            <w:tcW w:w="719" w:type="dxa"/>
            <w:tcBorders>
              <w:top w:val="single" w:color="000000" w:sz="8" w:space="0"/>
              <w:left w:val="single" w:color="000000" w:sz="8" w:space="0"/>
              <w:bottom w:val="single" w:color="000000" w:sz="8" w:space="0"/>
              <w:right w:val="single" w:color="000000" w:sz="8" w:space="0"/>
            </w:tcBorders>
            <w:vAlign w:val="center"/>
          </w:tcPr>
          <w:p w14:paraId="7C878D4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台</w:t>
            </w:r>
          </w:p>
        </w:tc>
        <w:tc>
          <w:tcPr>
            <w:tcW w:w="740" w:type="dxa"/>
            <w:tcBorders>
              <w:top w:val="single" w:color="000000" w:sz="8" w:space="0"/>
              <w:left w:val="single" w:color="000000" w:sz="8" w:space="0"/>
              <w:bottom w:val="single" w:color="000000" w:sz="8" w:space="0"/>
              <w:right w:val="single" w:color="000000" w:sz="8" w:space="0"/>
            </w:tcBorders>
            <w:vAlign w:val="center"/>
          </w:tcPr>
          <w:p w14:paraId="23057B8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03DCC19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7044553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5D3CF24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7B61C5A4">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23E486E7">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4397AD4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30</w:t>
            </w:r>
          </w:p>
        </w:tc>
        <w:tc>
          <w:tcPr>
            <w:tcW w:w="2445" w:type="dxa"/>
            <w:tcBorders>
              <w:top w:val="single" w:color="000000" w:sz="8" w:space="0"/>
              <w:left w:val="single" w:color="000000" w:sz="8" w:space="0"/>
              <w:bottom w:val="single" w:color="000000" w:sz="8" w:space="0"/>
              <w:right w:val="single" w:color="000000" w:sz="8" w:space="0"/>
            </w:tcBorders>
            <w:vAlign w:val="center"/>
          </w:tcPr>
          <w:p w14:paraId="3E80E75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紧线器</w:t>
            </w:r>
          </w:p>
        </w:tc>
        <w:tc>
          <w:tcPr>
            <w:tcW w:w="719" w:type="dxa"/>
            <w:tcBorders>
              <w:top w:val="single" w:color="000000" w:sz="8" w:space="0"/>
              <w:left w:val="single" w:color="000000" w:sz="8" w:space="0"/>
              <w:bottom w:val="single" w:color="000000" w:sz="8" w:space="0"/>
              <w:right w:val="single" w:color="000000" w:sz="8" w:space="0"/>
            </w:tcBorders>
            <w:vAlign w:val="center"/>
          </w:tcPr>
          <w:p w14:paraId="2DAF345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台</w:t>
            </w:r>
          </w:p>
        </w:tc>
        <w:tc>
          <w:tcPr>
            <w:tcW w:w="740" w:type="dxa"/>
            <w:tcBorders>
              <w:top w:val="single" w:color="000000" w:sz="8" w:space="0"/>
              <w:left w:val="single" w:color="000000" w:sz="8" w:space="0"/>
              <w:bottom w:val="single" w:color="000000" w:sz="8" w:space="0"/>
              <w:right w:val="single" w:color="000000" w:sz="8" w:space="0"/>
            </w:tcBorders>
            <w:vAlign w:val="center"/>
          </w:tcPr>
          <w:p w14:paraId="40C355F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1</w:t>
            </w:r>
          </w:p>
        </w:tc>
        <w:tc>
          <w:tcPr>
            <w:tcW w:w="1397" w:type="dxa"/>
            <w:tcBorders>
              <w:top w:val="single" w:color="000000" w:sz="8" w:space="0"/>
              <w:left w:val="single" w:color="000000" w:sz="8" w:space="0"/>
              <w:bottom w:val="single" w:color="000000" w:sz="8" w:space="0"/>
              <w:right w:val="single" w:color="000000" w:sz="8" w:space="0"/>
            </w:tcBorders>
            <w:vAlign w:val="center"/>
          </w:tcPr>
          <w:p w14:paraId="519B7FE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6936AEF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056923C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7E053C6F">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6C09A94D">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3082773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31</w:t>
            </w:r>
          </w:p>
        </w:tc>
        <w:tc>
          <w:tcPr>
            <w:tcW w:w="2445" w:type="dxa"/>
            <w:tcBorders>
              <w:top w:val="single" w:color="000000" w:sz="8" w:space="0"/>
              <w:left w:val="single" w:color="000000" w:sz="8" w:space="0"/>
              <w:bottom w:val="single" w:color="000000" w:sz="8" w:space="0"/>
              <w:right w:val="single" w:color="000000" w:sz="8" w:space="0"/>
            </w:tcBorders>
            <w:vAlign w:val="center"/>
          </w:tcPr>
          <w:p w14:paraId="3B7CB69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铁鞋</w:t>
            </w:r>
          </w:p>
        </w:tc>
        <w:tc>
          <w:tcPr>
            <w:tcW w:w="719" w:type="dxa"/>
            <w:tcBorders>
              <w:top w:val="single" w:color="000000" w:sz="8" w:space="0"/>
              <w:left w:val="single" w:color="000000" w:sz="8" w:space="0"/>
              <w:bottom w:val="single" w:color="000000" w:sz="8" w:space="0"/>
              <w:right w:val="single" w:color="000000" w:sz="8" w:space="0"/>
            </w:tcBorders>
            <w:vAlign w:val="center"/>
          </w:tcPr>
          <w:p w14:paraId="43BE81D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根</w:t>
            </w:r>
          </w:p>
        </w:tc>
        <w:tc>
          <w:tcPr>
            <w:tcW w:w="740" w:type="dxa"/>
            <w:tcBorders>
              <w:top w:val="single" w:color="000000" w:sz="8" w:space="0"/>
              <w:left w:val="single" w:color="000000" w:sz="8" w:space="0"/>
              <w:bottom w:val="single" w:color="000000" w:sz="8" w:space="0"/>
              <w:right w:val="single" w:color="000000" w:sz="8" w:space="0"/>
            </w:tcBorders>
            <w:vAlign w:val="center"/>
          </w:tcPr>
          <w:p w14:paraId="13A5CE7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20</w:t>
            </w:r>
          </w:p>
        </w:tc>
        <w:tc>
          <w:tcPr>
            <w:tcW w:w="1397" w:type="dxa"/>
            <w:tcBorders>
              <w:top w:val="single" w:color="000000" w:sz="8" w:space="0"/>
              <w:left w:val="single" w:color="000000" w:sz="8" w:space="0"/>
              <w:bottom w:val="single" w:color="000000" w:sz="8" w:space="0"/>
              <w:right w:val="single" w:color="000000" w:sz="8" w:space="0"/>
            </w:tcBorders>
            <w:vAlign w:val="center"/>
          </w:tcPr>
          <w:p w14:paraId="1BE05C7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13CC677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4B7B7B2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19E6E99E">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380C6F58">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27043B3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32</w:t>
            </w:r>
          </w:p>
        </w:tc>
        <w:tc>
          <w:tcPr>
            <w:tcW w:w="2445" w:type="dxa"/>
            <w:tcBorders>
              <w:top w:val="single" w:color="000000" w:sz="8" w:space="0"/>
              <w:left w:val="single" w:color="000000" w:sz="8" w:space="0"/>
              <w:bottom w:val="single" w:color="000000" w:sz="8" w:space="0"/>
              <w:right w:val="single" w:color="000000" w:sz="8" w:space="0"/>
            </w:tcBorders>
            <w:vAlign w:val="center"/>
          </w:tcPr>
          <w:p w14:paraId="293E8D4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保险带</w:t>
            </w:r>
          </w:p>
        </w:tc>
        <w:tc>
          <w:tcPr>
            <w:tcW w:w="719" w:type="dxa"/>
            <w:tcBorders>
              <w:top w:val="single" w:color="000000" w:sz="8" w:space="0"/>
              <w:left w:val="single" w:color="000000" w:sz="8" w:space="0"/>
              <w:bottom w:val="single" w:color="000000" w:sz="8" w:space="0"/>
              <w:right w:val="single" w:color="000000" w:sz="8" w:space="0"/>
            </w:tcBorders>
            <w:vAlign w:val="center"/>
          </w:tcPr>
          <w:p w14:paraId="7345D1E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块</w:t>
            </w:r>
          </w:p>
        </w:tc>
        <w:tc>
          <w:tcPr>
            <w:tcW w:w="740" w:type="dxa"/>
            <w:tcBorders>
              <w:top w:val="single" w:color="000000" w:sz="8" w:space="0"/>
              <w:left w:val="single" w:color="000000" w:sz="8" w:space="0"/>
              <w:bottom w:val="single" w:color="000000" w:sz="8" w:space="0"/>
              <w:right w:val="single" w:color="000000" w:sz="8" w:space="0"/>
            </w:tcBorders>
            <w:vAlign w:val="center"/>
          </w:tcPr>
          <w:p w14:paraId="77CFD27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50</w:t>
            </w:r>
          </w:p>
        </w:tc>
        <w:tc>
          <w:tcPr>
            <w:tcW w:w="1397" w:type="dxa"/>
            <w:tcBorders>
              <w:top w:val="single" w:color="000000" w:sz="8" w:space="0"/>
              <w:left w:val="single" w:color="000000" w:sz="8" w:space="0"/>
              <w:bottom w:val="single" w:color="000000" w:sz="8" w:space="0"/>
              <w:right w:val="single" w:color="000000" w:sz="8" w:space="0"/>
            </w:tcBorders>
            <w:vAlign w:val="center"/>
          </w:tcPr>
          <w:p w14:paraId="22EAC75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4BBCED8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6AB7EB0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68261E70">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3E378962">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4FFD91D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33</w:t>
            </w:r>
          </w:p>
        </w:tc>
        <w:tc>
          <w:tcPr>
            <w:tcW w:w="2445" w:type="dxa"/>
            <w:tcBorders>
              <w:top w:val="single" w:color="000000" w:sz="8" w:space="0"/>
              <w:left w:val="single" w:color="000000" w:sz="8" w:space="0"/>
              <w:bottom w:val="single" w:color="000000" w:sz="8" w:space="0"/>
              <w:right w:val="single" w:color="000000" w:sz="8" w:space="0"/>
            </w:tcBorders>
            <w:vAlign w:val="center"/>
          </w:tcPr>
          <w:p w14:paraId="623DD17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角铁</w:t>
            </w:r>
          </w:p>
        </w:tc>
        <w:tc>
          <w:tcPr>
            <w:tcW w:w="719" w:type="dxa"/>
            <w:tcBorders>
              <w:top w:val="single" w:color="000000" w:sz="8" w:space="0"/>
              <w:left w:val="single" w:color="000000" w:sz="8" w:space="0"/>
              <w:bottom w:val="single" w:color="000000" w:sz="8" w:space="0"/>
              <w:right w:val="single" w:color="000000" w:sz="8" w:space="0"/>
            </w:tcBorders>
            <w:vAlign w:val="center"/>
          </w:tcPr>
          <w:p w14:paraId="46D2D52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kg</w:t>
            </w:r>
          </w:p>
        </w:tc>
        <w:tc>
          <w:tcPr>
            <w:tcW w:w="740" w:type="dxa"/>
            <w:tcBorders>
              <w:top w:val="single" w:color="000000" w:sz="8" w:space="0"/>
              <w:left w:val="single" w:color="000000" w:sz="8" w:space="0"/>
              <w:bottom w:val="single" w:color="000000" w:sz="8" w:space="0"/>
              <w:right w:val="single" w:color="000000" w:sz="8" w:space="0"/>
            </w:tcBorders>
            <w:vAlign w:val="center"/>
          </w:tcPr>
          <w:p w14:paraId="1E90540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30</w:t>
            </w:r>
          </w:p>
        </w:tc>
        <w:tc>
          <w:tcPr>
            <w:tcW w:w="1397" w:type="dxa"/>
            <w:tcBorders>
              <w:top w:val="single" w:color="000000" w:sz="8" w:space="0"/>
              <w:left w:val="single" w:color="000000" w:sz="8" w:space="0"/>
              <w:bottom w:val="single" w:color="000000" w:sz="8" w:space="0"/>
              <w:right w:val="single" w:color="000000" w:sz="8" w:space="0"/>
            </w:tcBorders>
            <w:vAlign w:val="center"/>
          </w:tcPr>
          <w:p w14:paraId="3B0FFEF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63×6</w:t>
            </w:r>
          </w:p>
        </w:tc>
        <w:tc>
          <w:tcPr>
            <w:tcW w:w="1747" w:type="dxa"/>
            <w:tcBorders>
              <w:top w:val="single" w:color="000000" w:sz="8" w:space="0"/>
              <w:left w:val="single" w:color="000000" w:sz="8" w:space="0"/>
              <w:bottom w:val="single" w:color="000000" w:sz="8" w:space="0"/>
              <w:right w:val="single" w:color="000000" w:sz="8" w:space="0"/>
            </w:tcBorders>
            <w:vAlign w:val="center"/>
          </w:tcPr>
          <w:p w14:paraId="72A665B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499DE47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1A8E7F9B">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3625F4D8">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6AF3E89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34</w:t>
            </w:r>
          </w:p>
        </w:tc>
        <w:tc>
          <w:tcPr>
            <w:tcW w:w="2445" w:type="dxa"/>
            <w:tcBorders>
              <w:top w:val="single" w:color="000000" w:sz="8" w:space="0"/>
              <w:left w:val="single" w:color="000000" w:sz="8" w:space="0"/>
              <w:bottom w:val="single" w:color="000000" w:sz="8" w:space="0"/>
              <w:right w:val="single" w:color="000000" w:sz="8" w:space="0"/>
            </w:tcBorders>
            <w:vAlign w:val="center"/>
          </w:tcPr>
          <w:p w14:paraId="5E18E33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圆钢</w:t>
            </w:r>
          </w:p>
        </w:tc>
        <w:tc>
          <w:tcPr>
            <w:tcW w:w="719" w:type="dxa"/>
            <w:tcBorders>
              <w:top w:val="single" w:color="000000" w:sz="8" w:space="0"/>
              <w:left w:val="single" w:color="000000" w:sz="8" w:space="0"/>
              <w:bottom w:val="single" w:color="000000" w:sz="8" w:space="0"/>
              <w:right w:val="single" w:color="000000" w:sz="8" w:space="0"/>
            </w:tcBorders>
            <w:vAlign w:val="center"/>
          </w:tcPr>
          <w:p w14:paraId="234401D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立方米</w:t>
            </w:r>
          </w:p>
        </w:tc>
        <w:tc>
          <w:tcPr>
            <w:tcW w:w="740" w:type="dxa"/>
            <w:tcBorders>
              <w:top w:val="single" w:color="000000" w:sz="8" w:space="0"/>
              <w:left w:val="single" w:color="000000" w:sz="8" w:space="0"/>
              <w:bottom w:val="single" w:color="000000" w:sz="8" w:space="0"/>
              <w:right w:val="single" w:color="000000" w:sz="8" w:space="0"/>
            </w:tcBorders>
            <w:vAlign w:val="center"/>
          </w:tcPr>
          <w:p w14:paraId="610FAB5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w:t>
            </w:r>
          </w:p>
        </w:tc>
        <w:tc>
          <w:tcPr>
            <w:tcW w:w="1397" w:type="dxa"/>
            <w:tcBorders>
              <w:top w:val="single" w:color="000000" w:sz="8" w:space="0"/>
              <w:left w:val="single" w:color="000000" w:sz="8" w:space="0"/>
              <w:bottom w:val="single" w:color="000000" w:sz="8" w:space="0"/>
              <w:right w:val="single" w:color="000000" w:sz="8" w:space="0"/>
            </w:tcBorders>
            <w:vAlign w:val="center"/>
          </w:tcPr>
          <w:p w14:paraId="527EA465">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ф16</w:t>
            </w:r>
          </w:p>
        </w:tc>
        <w:tc>
          <w:tcPr>
            <w:tcW w:w="1747" w:type="dxa"/>
            <w:tcBorders>
              <w:top w:val="single" w:color="000000" w:sz="8" w:space="0"/>
              <w:left w:val="single" w:color="000000" w:sz="8" w:space="0"/>
              <w:bottom w:val="single" w:color="000000" w:sz="8" w:space="0"/>
              <w:right w:val="single" w:color="000000" w:sz="8" w:space="0"/>
            </w:tcBorders>
            <w:vAlign w:val="center"/>
          </w:tcPr>
          <w:p w14:paraId="2C974480">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4406526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00B5E83B">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354F4092">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15CC041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35</w:t>
            </w:r>
          </w:p>
        </w:tc>
        <w:tc>
          <w:tcPr>
            <w:tcW w:w="2445" w:type="dxa"/>
            <w:tcBorders>
              <w:top w:val="single" w:color="000000" w:sz="8" w:space="0"/>
              <w:left w:val="single" w:color="000000" w:sz="8" w:space="0"/>
              <w:bottom w:val="single" w:color="000000" w:sz="8" w:space="0"/>
              <w:right w:val="single" w:color="000000" w:sz="8" w:space="0"/>
            </w:tcBorders>
            <w:vAlign w:val="center"/>
          </w:tcPr>
          <w:p w14:paraId="307B9C9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圆钢</w:t>
            </w:r>
          </w:p>
        </w:tc>
        <w:tc>
          <w:tcPr>
            <w:tcW w:w="719" w:type="dxa"/>
            <w:tcBorders>
              <w:top w:val="single" w:color="000000" w:sz="8" w:space="0"/>
              <w:left w:val="single" w:color="000000" w:sz="8" w:space="0"/>
              <w:bottom w:val="single" w:color="000000" w:sz="8" w:space="0"/>
              <w:right w:val="single" w:color="000000" w:sz="8" w:space="0"/>
            </w:tcBorders>
            <w:vAlign w:val="center"/>
          </w:tcPr>
          <w:p w14:paraId="34D08EA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吨</w:t>
            </w:r>
          </w:p>
        </w:tc>
        <w:tc>
          <w:tcPr>
            <w:tcW w:w="740" w:type="dxa"/>
            <w:tcBorders>
              <w:top w:val="single" w:color="000000" w:sz="8" w:space="0"/>
              <w:left w:val="single" w:color="000000" w:sz="8" w:space="0"/>
              <w:bottom w:val="single" w:color="000000" w:sz="8" w:space="0"/>
              <w:right w:val="single" w:color="000000" w:sz="8" w:space="0"/>
            </w:tcBorders>
            <w:vAlign w:val="center"/>
          </w:tcPr>
          <w:p w14:paraId="6D3A27B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62FCC39E">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ф20</w:t>
            </w:r>
          </w:p>
        </w:tc>
        <w:tc>
          <w:tcPr>
            <w:tcW w:w="1747" w:type="dxa"/>
            <w:tcBorders>
              <w:top w:val="single" w:color="000000" w:sz="8" w:space="0"/>
              <w:left w:val="single" w:color="000000" w:sz="8" w:space="0"/>
              <w:bottom w:val="single" w:color="000000" w:sz="8" w:space="0"/>
              <w:right w:val="single" w:color="000000" w:sz="8" w:space="0"/>
            </w:tcBorders>
            <w:vAlign w:val="center"/>
          </w:tcPr>
          <w:p w14:paraId="4C222459">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防洪物资仓库</w:t>
            </w:r>
          </w:p>
        </w:tc>
        <w:tc>
          <w:tcPr>
            <w:tcW w:w="760" w:type="dxa"/>
            <w:tcBorders>
              <w:top w:val="single" w:color="000000" w:sz="8" w:space="0"/>
              <w:left w:val="single" w:color="000000" w:sz="8" w:space="0"/>
              <w:bottom w:val="single" w:color="000000" w:sz="8" w:space="0"/>
              <w:right w:val="single" w:color="000000" w:sz="8" w:space="0"/>
            </w:tcBorders>
            <w:vAlign w:val="center"/>
          </w:tcPr>
          <w:p w14:paraId="1B320EB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2595062E">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53D6E355">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1C23F56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36</w:t>
            </w:r>
          </w:p>
        </w:tc>
        <w:tc>
          <w:tcPr>
            <w:tcW w:w="2445" w:type="dxa"/>
            <w:tcBorders>
              <w:top w:val="single" w:color="000000" w:sz="8" w:space="0"/>
              <w:left w:val="single" w:color="000000" w:sz="8" w:space="0"/>
              <w:bottom w:val="single" w:color="000000" w:sz="8" w:space="0"/>
              <w:right w:val="single" w:color="000000" w:sz="8" w:space="0"/>
            </w:tcBorders>
            <w:vAlign w:val="center"/>
          </w:tcPr>
          <w:p w14:paraId="139EFDE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尼龙袋、沙</w:t>
            </w:r>
          </w:p>
        </w:tc>
        <w:tc>
          <w:tcPr>
            <w:tcW w:w="719" w:type="dxa"/>
            <w:tcBorders>
              <w:top w:val="single" w:color="000000" w:sz="8" w:space="0"/>
              <w:left w:val="single" w:color="000000" w:sz="8" w:space="0"/>
              <w:bottom w:val="single" w:color="000000" w:sz="8" w:space="0"/>
              <w:right w:val="single" w:color="000000" w:sz="8" w:space="0"/>
            </w:tcBorders>
            <w:vAlign w:val="center"/>
          </w:tcPr>
          <w:p w14:paraId="43DE58E1">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立方米</w:t>
            </w:r>
          </w:p>
        </w:tc>
        <w:tc>
          <w:tcPr>
            <w:tcW w:w="740" w:type="dxa"/>
            <w:tcBorders>
              <w:top w:val="single" w:color="000000" w:sz="8" w:space="0"/>
              <w:left w:val="single" w:color="000000" w:sz="8" w:space="0"/>
              <w:bottom w:val="single" w:color="000000" w:sz="8" w:space="0"/>
              <w:right w:val="single" w:color="000000" w:sz="8" w:space="0"/>
            </w:tcBorders>
            <w:vAlign w:val="center"/>
          </w:tcPr>
          <w:p w14:paraId="6A6F408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2</w:t>
            </w:r>
          </w:p>
        </w:tc>
        <w:tc>
          <w:tcPr>
            <w:tcW w:w="1397" w:type="dxa"/>
            <w:tcBorders>
              <w:top w:val="single" w:color="000000" w:sz="8" w:space="0"/>
              <w:left w:val="single" w:color="000000" w:sz="8" w:space="0"/>
              <w:bottom w:val="single" w:color="000000" w:sz="8" w:space="0"/>
              <w:right w:val="single" w:color="000000" w:sz="8" w:space="0"/>
            </w:tcBorders>
            <w:vAlign w:val="center"/>
          </w:tcPr>
          <w:p w14:paraId="3D86049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1747" w:type="dxa"/>
            <w:tcBorders>
              <w:top w:val="single" w:color="000000" w:sz="8" w:space="0"/>
              <w:left w:val="single" w:color="000000" w:sz="8" w:space="0"/>
              <w:bottom w:val="single" w:color="000000" w:sz="8" w:space="0"/>
              <w:right w:val="single" w:color="000000" w:sz="8" w:space="0"/>
            </w:tcBorders>
            <w:vAlign w:val="center"/>
          </w:tcPr>
          <w:p w14:paraId="4AF2689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-300、-50泵房</w:t>
            </w:r>
          </w:p>
        </w:tc>
        <w:tc>
          <w:tcPr>
            <w:tcW w:w="760" w:type="dxa"/>
            <w:tcBorders>
              <w:top w:val="single" w:color="000000" w:sz="8" w:space="0"/>
              <w:left w:val="single" w:color="000000" w:sz="8" w:space="0"/>
              <w:bottom w:val="single" w:color="000000" w:sz="8" w:space="0"/>
              <w:right w:val="single" w:color="000000" w:sz="8" w:space="0"/>
            </w:tcBorders>
            <w:vAlign w:val="center"/>
          </w:tcPr>
          <w:p w14:paraId="1D963B7C">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车辆</w:t>
            </w:r>
          </w:p>
        </w:tc>
        <w:tc>
          <w:tcPr>
            <w:tcW w:w="719" w:type="dxa"/>
            <w:tcBorders>
              <w:top w:val="single" w:color="000000" w:sz="8" w:space="0"/>
              <w:left w:val="single" w:color="000000" w:sz="8" w:space="0"/>
              <w:bottom w:val="single" w:color="000000" w:sz="8" w:space="0"/>
              <w:right w:val="single" w:color="000000" w:sz="8" w:space="0"/>
            </w:tcBorders>
            <w:vAlign w:val="center"/>
          </w:tcPr>
          <w:p w14:paraId="0AEB88D2">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1年</w:t>
            </w:r>
          </w:p>
        </w:tc>
      </w:tr>
      <w:tr w14:paraId="22DD858F">
        <w:tblPrEx>
          <w:tblCellMar>
            <w:top w:w="0" w:type="dxa"/>
            <w:left w:w="108" w:type="dxa"/>
            <w:bottom w:w="0" w:type="dxa"/>
            <w:right w:w="108" w:type="dxa"/>
          </w:tblCellMar>
        </w:tblPrEx>
        <w:trPr>
          <w:trHeight w:val="454" w:hRule="atLeast"/>
        </w:trPr>
        <w:tc>
          <w:tcPr>
            <w:tcW w:w="703" w:type="dxa"/>
            <w:tcBorders>
              <w:top w:val="single" w:color="000000" w:sz="8" w:space="0"/>
              <w:left w:val="single" w:color="000000" w:sz="8" w:space="0"/>
              <w:bottom w:val="single" w:color="000000" w:sz="8" w:space="0"/>
              <w:right w:val="single" w:color="000000" w:sz="8" w:space="0"/>
            </w:tcBorders>
            <w:vAlign w:val="center"/>
          </w:tcPr>
          <w:p w14:paraId="03E5B806">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37</w:t>
            </w:r>
          </w:p>
        </w:tc>
        <w:tc>
          <w:tcPr>
            <w:tcW w:w="2445" w:type="dxa"/>
            <w:tcBorders>
              <w:top w:val="single" w:color="000000" w:sz="8" w:space="0"/>
              <w:left w:val="single" w:color="000000" w:sz="8" w:space="0"/>
              <w:bottom w:val="single" w:color="000000" w:sz="8" w:space="0"/>
              <w:right w:val="single" w:color="000000" w:sz="8" w:space="0"/>
            </w:tcBorders>
            <w:vAlign w:val="center"/>
          </w:tcPr>
          <w:p w14:paraId="239B9E9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7C7E1FE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194B138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钢管变径接头</w:t>
            </w:r>
          </w:p>
        </w:tc>
        <w:tc>
          <w:tcPr>
            <w:tcW w:w="719" w:type="dxa"/>
            <w:tcBorders>
              <w:top w:val="single" w:color="000000" w:sz="8" w:space="0"/>
              <w:left w:val="single" w:color="000000" w:sz="8" w:space="0"/>
              <w:bottom w:val="single" w:color="000000" w:sz="8" w:space="0"/>
              <w:right w:val="single" w:color="000000" w:sz="8" w:space="0"/>
            </w:tcBorders>
            <w:vAlign w:val="center"/>
          </w:tcPr>
          <w:p w14:paraId="0953F38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1430B33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5DADEC2A">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个</w:t>
            </w:r>
          </w:p>
        </w:tc>
        <w:tc>
          <w:tcPr>
            <w:tcW w:w="740" w:type="dxa"/>
            <w:tcBorders>
              <w:top w:val="single" w:color="000000" w:sz="8" w:space="0"/>
              <w:left w:val="single" w:color="000000" w:sz="8" w:space="0"/>
              <w:bottom w:val="single" w:color="000000" w:sz="8" w:space="0"/>
              <w:right w:val="single" w:color="000000" w:sz="8" w:space="0"/>
            </w:tcBorders>
            <w:vAlign w:val="center"/>
          </w:tcPr>
          <w:p w14:paraId="5C76C0F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540EF6C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p>
          <w:p w14:paraId="0B4F17FB">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10</w:t>
            </w:r>
          </w:p>
        </w:tc>
        <w:tc>
          <w:tcPr>
            <w:tcW w:w="1397" w:type="dxa"/>
            <w:tcBorders>
              <w:top w:val="single" w:color="000000" w:sz="8" w:space="0"/>
              <w:left w:val="single" w:color="000000" w:sz="8" w:space="0"/>
              <w:bottom w:val="single" w:color="000000" w:sz="8" w:space="0"/>
              <w:right w:val="single" w:color="000000" w:sz="8" w:space="0"/>
            </w:tcBorders>
            <w:vAlign w:val="center"/>
          </w:tcPr>
          <w:p w14:paraId="5250D240">
            <w:pPr>
              <w:keepNext w:val="0"/>
              <w:keepLines w:val="0"/>
              <w:widowControl/>
              <w:suppressLineNumbers w:val="0"/>
              <w:spacing w:before="0" w:beforeAutospacing="0" w:after="0" w:afterAutospacing="0" w:line="240" w:lineRule="exact"/>
              <w:ind w:left="0" w:right="0"/>
              <w:jc w:val="left"/>
              <w:textAlignment w:val="center"/>
              <w:rPr>
                <w:rFonts w:ascii="仿宋" w:hAnsi="仿宋" w:eastAsia="仿宋" w:cs="宋体"/>
                <w:color w:val="auto"/>
                <w:sz w:val="24"/>
                <w:highlight w:val="none"/>
              </w:rPr>
            </w:pPr>
            <w:r>
              <w:rPr>
                <w:rFonts w:hint="default" w:ascii="宋体" w:hAnsi="宋体" w:eastAsia="宋体" w:cs="宋体"/>
                <w:color w:val="auto"/>
                <w:kern w:val="0"/>
                <w:sz w:val="24"/>
                <w:lang w:val="en-US" w:eastAsia="en-US" w:bidi="ar"/>
              </w:rPr>
              <w:t>与井下不同管径的消防管路和消防水龙带能连接的焊制接头</w:t>
            </w:r>
          </w:p>
        </w:tc>
        <w:tc>
          <w:tcPr>
            <w:tcW w:w="1747" w:type="dxa"/>
            <w:tcBorders>
              <w:top w:val="single" w:color="000000" w:sz="8" w:space="0"/>
              <w:left w:val="single" w:color="000000" w:sz="8" w:space="0"/>
              <w:bottom w:val="single" w:color="000000" w:sz="8" w:space="0"/>
              <w:right w:val="single" w:color="000000" w:sz="8" w:space="0"/>
            </w:tcBorders>
            <w:vAlign w:val="center"/>
          </w:tcPr>
          <w:p w14:paraId="75FF0122">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760" w:type="dxa"/>
            <w:tcBorders>
              <w:top w:val="single" w:color="000000" w:sz="8" w:space="0"/>
              <w:left w:val="single" w:color="000000" w:sz="8" w:space="0"/>
              <w:bottom w:val="single" w:color="000000" w:sz="8" w:space="0"/>
              <w:right w:val="single" w:color="000000" w:sz="8" w:space="0"/>
            </w:tcBorders>
            <w:vAlign w:val="center"/>
          </w:tcPr>
          <w:p w14:paraId="6364931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c>
          <w:tcPr>
            <w:tcW w:w="719" w:type="dxa"/>
            <w:tcBorders>
              <w:top w:val="single" w:color="000000" w:sz="8" w:space="0"/>
              <w:left w:val="single" w:color="000000" w:sz="8" w:space="0"/>
              <w:bottom w:val="single" w:color="000000" w:sz="8" w:space="0"/>
              <w:right w:val="single" w:color="000000" w:sz="8" w:space="0"/>
            </w:tcBorders>
            <w:vAlign w:val="center"/>
          </w:tcPr>
          <w:p w14:paraId="112876BD">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sz w:val="24"/>
                <w:highlight w:val="none"/>
              </w:rPr>
            </w:pPr>
          </w:p>
        </w:tc>
      </w:tr>
      <w:tr w14:paraId="7B97C616">
        <w:tblPrEx>
          <w:tblCellMar>
            <w:top w:w="0" w:type="dxa"/>
            <w:left w:w="108" w:type="dxa"/>
            <w:bottom w:w="0" w:type="dxa"/>
            <w:right w:w="108" w:type="dxa"/>
          </w:tblCellMar>
        </w:tblPrEx>
        <w:trPr>
          <w:trHeight w:val="454" w:hRule="atLeast"/>
        </w:trPr>
        <w:tc>
          <w:tcPr>
            <w:tcW w:w="9230" w:type="dxa"/>
            <w:gridSpan w:val="8"/>
            <w:tcBorders>
              <w:top w:val="single" w:color="000000" w:sz="8" w:space="0"/>
              <w:left w:val="single" w:color="000000" w:sz="8" w:space="0"/>
              <w:bottom w:val="single" w:color="000000" w:sz="8" w:space="0"/>
              <w:right w:val="single" w:color="000000" w:sz="8" w:space="0"/>
            </w:tcBorders>
            <w:vAlign w:val="center"/>
          </w:tcPr>
          <w:p w14:paraId="798DB302">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auto"/>
                <w:kern w:val="0"/>
                <w:sz w:val="24"/>
                <w:lang w:val="en-US" w:eastAsia="en-US" w:bidi="ar"/>
              </w:rPr>
            </w:pPr>
            <w:r>
              <w:rPr>
                <w:rFonts w:hint="eastAsia" w:ascii="宋体" w:hAnsi="宋体" w:eastAsia="宋体" w:cs="宋体"/>
                <w:color w:val="auto"/>
                <w:kern w:val="0"/>
                <w:sz w:val="24"/>
                <w:lang w:val="en-US" w:eastAsia="en-US" w:bidi="ar"/>
              </w:rPr>
              <w:t>管理部门：通防工区；存放地点：消防材料库；运输方式使用：车辆运输；</w:t>
            </w:r>
          </w:p>
          <w:p w14:paraId="03B8ED71">
            <w:pPr>
              <w:keepNext w:val="0"/>
              <w:keepLines w:val="0"/>
              <w:widowControl/>
              <w:suppressLineNumbers w:val="0"/>
              <w:spacing w:before="0" w:beforeAutospacing="0" w:after="0" w:afterAutospacing="0" w:line="240" w:lineRule="exact"/>
              <w:ind w:left="0" w:leftChars="0" w:right="0" w:rightChars="0"/>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管理</w:t>
            </w:r>
            <w:r>
              <w:rPr>
                <w:rFonts w:hint="eastAsia" w:ascii="宋体" w:hAnsi="宋体" w:eastAsia="宋体" w:cs="宋体"/>
                <w:color w:val="auto"/>
                <w:kern w:val="0"/>
                <w:sz w:val="24"/>
                <w:lang w:val="en-US" w:eastAsia="en-US" w:bidi="ar"/>
              </w:rPr>
              <w:t>责任人：</w:t>
            </w:r>
            <w:r>
              <w:rPr>
                <w:rFonts w:hint="eastAsia" w:ascii="宋体" w:hAnsi="宋体" w:eastAsia="宋体" w:cs="宋体"/>
                <w:color w:val="auto"/>
                <w:kern w:val="0"/>
                <w:sz w:val="24"/>
                <w:lang w:val="en-US" w:eastAsia="zh-CN" w:bidi="ar"/>
              </w:rPr>
              <w:t>王晓功</w:t>
            </w:r>
            <w:r>
              <w:rPr>
                <w:rFonts w:hint="eastAsia" w:ascii="宋体" w:hAnsi="宋体" w:eastAsia="宋体" w:cs="宋体"/>
                <w:color w:val="auto"/>
                <w:kern w:val="0"/>
                <w:sz w:val="24"/>
                <w:lang w:val="en-US" w:eastAsia="en-US" w:bidi="ar"/>
              </w:rPr>
              <w:t>； 手机：</w:t>
            </w:r>
            <w:r>
              <w:rPr>
                <w:rFonts w:hint="eastAsia" w:ascii="宋体" w:hAnsi="宋体" w:eastAsia="宋体" w:cs="宋体"/>
                <w:color w:val="auto"/>
                <w:kern w:val="0"/>
                <w:sz w:val="24"/>
                <w:lang w:val="en-US" w:eastAsia="zh-CN" w:bidi="ar"/>
              </w:rPr>
              <w:t xml:space="preserve">18295493024 </w:t>
            </w:r>
            <w:r>
              <w:rPr>
                <w:rFonts w:hint="eastAsia" w:ascii="宋体" w:hAnsi="宋体" w:eastAsia="宋体" w:cs="宋体"/>
                <w:color w:val="auto"/>
                <w:kern w:val="0"/>
                <w:sz w:val="24"/>
                <w:lang w:val="en-US" w:eastAsia="en-US" w:bidi="ar"/>
              </w:rPr>
              <w:t xml:space="preserve"> 办公电话：</w:t>
            </w:r>
            <w:r>
              <w:rPr>
                <w:rFonts w:hint="eastAsia" w:ascii="宋体" w:hAnsi="宋体" w:eastAsia="宋体" w:cs="宋体"/>
                <w:color w:val="auto"/>
                <w:kern w:val="0"/>
                <w:sz w:val="24"/>
                <w:lang w:val="en-US" w:eastAsia="zh-CN" w:bidi="ar"/>
              </w:rPr>
              <w:t>0477-999256/</w:t>
            </w:r>
            <w:r>
              <w:rPr>
                <w:rFonts w:hint="default" w:ascii="宋体" w:hAnsi="宋体" w:eastAsia="宋体" w:cs="宋体"/>
                <w:color w:val="auto"/>
                <w:kern w:val="0"/>
                <w:sz w:val="24"/>
                <w:lang w:val="en-US" w:eastAsia="zh-CN" w:bidi="ar"/>
              </w:rPr>
              <w:t>1136687</w:t>
            </w:r>
            <w:r>
              <w:rPr>
                <w:rFonts w:hint="eastAsia" w:ascii="宋体" w:hAnsi="宋体" w:eastAsia="宋体" w:cs="宋体"/>
                <w:color w:val="auto"/>
                <w:kern w:val="0"/>
                <w:sz w:val="24"/>
                <w:lang w:val="en-US" w:eastAsia="en-US" w:bidi="ar"/>
              </w:rPr>
              <w:t>；</w:t>
            </w:r>
          </w:p>
        </w:tc>
      </w:tr>
    </w:tbl>
    <w:p w14:paraId="2E2C2106">
      <w:pPr>
        <w:pStyle w:val="44"/>
        <w:spacing w:line="360" w:lineRule="auto"/>
        <w:jc w:val="center"/>
        <w:outlineLvl w:val="3"/>
        <w:rPr>
          <w:rFonts w:ascii="仿宋_GB2312" w:hAnsi="仿宋_GB2312" w:eastAsia="仿宋_GB2312" w:cs="仿宋_GB2312"/>
          <w:b/>
          <w:color w:val="auto"/>
          <w:kern w:val="2"/>
          <w:sz w:val="32"/>
          <w:szCs w:val="32"/>
          <w:highlight w:val="none"/>
        </w:rPr>
      </w:pPr>
      <w:bookmarkStart w:id="586" w:name="_Toc18627"/>
      <w:r>
        <w:rPr>
          <w:rFonts w:hint="eastAsia" w:ascii="仿宋_GB2312" w:hAnsi="仿宋_GB2312" w:eastAsia="仿宋_GB2312" w:cs="仿宋_GB2312"/>
          <w:b/>
          <w:color w:val="auto"/>
          <w:kern w:val="2"/>
          <w:sz w:val="32"/>
          <w:szCs w:val="32"/>
          <w:highlight w:val="none"/>
        </w:rPr>
        <w:t>表3 井下消防器材库物资明细表</w:t>
      </w:r>
      <w:bookmarkEnd w:id="586"/>
    </w:p>
    <w:tbl>
      <w:tblPr>
        <w:tblStyle w:val="28"/>
        <w:tblW w:w="5093" w:type="pct"/>
        <w:tblInd w:w="0" w:type="dxa"/>
        <w:tblLayout w:type="fixed"/>
        <w:tblCellMar>
          <w:top w:w="0" w:type="dxa"/>
          <w:left w:w="108" w:type="dxa"/>
          <w:bottom w:w="0" w:type="dxa"/>
          <w:right w:w="108" w:type="dxa"/>
        </w:tblCellMar>
      </w:tblPr>
      <w:tblGrid>
        <w:gridCol w:w="456"/>
        <w:gridCol w:w="1768"/>
        <w:gridCol w:w="3245"/>
        <w:gridCol w:w="658"/>
        <w:gridCol w:w="616"/>
        <w:gridCol w:w="1623"/>
        <w:gridCol w:w="864"/>
      </w:tblGrid>
      <w:tr w14:paraId="7BCD2E03">
        <w:tblPrEx>
          <w:tblCellMar>
            <w:top w:w="0" w:type="dxa"/>
            <w:left w:w="108" w:type="dxa"/>
            <w:bottom w:w="0" w:type="dxa"/>
            <w:right w:w="108" w:type="dxa"/>
          </w:tblCellMar>
        </w:tblPrEx>
        <w:trPr>
          <w:trHeight w:val="454" w:hRule="atLeast"/>
          <w:tblHeader/>
        </w:trPr>
        <w:tc>
          <w:tcPr>
            <w:tcW w:w="456" w:type="dxa"/>
            <w:tcBorders>
              <w:top w:val="single" w:color="000000" w:sz="8" w:space="0"/>
              <w:left w:val="single" w:color="000000" w:sz="8" w:space="0"/>
              <w:bottom w:val="single" w:color="000000" w:sz="8" w:space="0"/>
              <w:right w:val="single" w:color="000000" w:sz="8" w:space="0"/>
            </w:tcBorders>
            <w:vAlign w:val="center"/>
          </w:tcPr>
          <w:p w14:paraId="05C9AA47">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序号</w:t>
            </w:r>
          </w:p>
        </w:tc>
        <w:tc>
          <w:tcPr>
            <w:tcW w:w="1768" w:type="dxa"/>
            <w:tcBorders>
              <w:top w:val="single" w:color="000000" w:sz="8" w:space="0"/>
              <w:left w:val="single" w:color="000000" w:sz="8" w:space="0"/>
              <w:bottom w:val="single" w:color="000000" w:sz="8" w:space="0"/>
              <w:right w:val="single" w:color="000000" w:sz="8" w:space="0"/>
            </w:tcBorders>
            <w:vAlign w:val="center"/>
          </w:tcPr>
          <w:p w14:paraId="515C094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器材名称</w:t>
            </w:r>
          </w:p>
        </w:tc>
        <w:tc>
          <w:tcPr>
            <w:tcW w:w="3245" w:type="dxa"/>
            <w:tcBorders>
              <w:top w:val="single" w:color="000000" w:sz="8" w:space="0"/>
              <w:left w:val="single" w:color="000000" w:sz="8" w:space="0"/>
              <w:bottom w:val="single" w:color="000000" w:sz="8" w:space="0"/>
              <w:right w:val="single" w:color="000000" w:sz="8" w:space="0"/>
            </w:tcBorders>
            <w:vAlign w:val="center"/>
          </w:tcPr>
          <w:p w14:paraId="6E53E554">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规格</w:t>
            </w:r>
          </w:p>
        </w:tc>
        <w:tc>
          <w:tcPr>
            <w:tcW w:w="658" w:type="dxa"/>
            <w:tcBorders>
              <w:top w:val="single" w:color="000000" w:sz="8" w:space="0"/>
              <w:left w:val="single" w:color="000000" w:sz="8" w:space="0"/>
              <w:bottom w:val="single" w:color="000000" w:sz="8" w:space="0"/>
              <w:right w:val="single" w:color="000000" w:sz="8" w:space="0"/>
            </w:tcBorders>
            <w:vAlign w:val="center"/>
          </w:tcPr>
          <w:p w14:paraId="67CE26D8">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单位</w:t>
            </w:r>
          </w:p>
        </w:tc>
        <w:tc>
          <w:tcPr>
            <w:tcW w:w="616" w:type="dxa"/>
            <w:tcBorders>
              <w:top w:val="single" w:color="000000" w:sz="8" w:space="0"/>
              <w:left w:val="single" w:color="000000" w:sz="8" w:space="0"/>
              <w:bottom w:val="single" w:color="000000" w:sz="8" w:space="0"/>
              <w:right w:val="single" w:color="000000" w:sz="8" w:space="0"/>
            </w:tcBorders>
            <w:vAlign w:val="center"/>
          </w:tcPr>
          <w:p w14:paraId="7953D4CF">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数量</w:t>
            </w:r>
          </w:p>
        </w:tc>
        <w:tc>
          <w:tcPr>
            <w:tcW w:w="1623" w:type="dxa"/>
            <w:tcBorders>
              <w:top w:val="single" w:color="000000" w:sz="8" w:space="0"/>
              <w:left w:val="single" w:color="000000" w:sz="8" w:space="0"/>
              <w:bottom w:val="single" w:color="000000" w:sz="8" w:space="0"/>
              <w:right w:val="single" w:color="000000" w:sz="8" w:space="0"/>
            </w:tcBorders>
            <w:vAlign w:val="center"/>
          </w:tcPr>
          <w:p w14:paraId="4D213993">
            <w:pPr>
              <w:keepNext w:val="0"/>
              <w:keepLines w:val="0"/>
              <w:widowControl/>
              <w:suppressLineNumbers w:val="0"/>
              <w:spacing w:before="0" w:beforeAutospacing="0" w:after="0" w:afterAutospacing="0" w:line="240" w:lineRule="exact"/>
              <w:ind w:left="0" w:leftChars="0" w:right="0" w:rightChars="0"/>
              <w:jc w:val="center"/>
              <w:textAlignment w:val="center"/>
              <w:rPr>
                <w:rFonts w:ascii="仿宋" w:hAnsi="仿宋" w:eastAsia="仿宋" w:cs="宋体"/>
                <w:color w:val="auto"/>
                <w:kern w:val="0"/>
                <w:sz w:val="24"/>
                <w:highlight w:val="none"/>
                <w:lang w:bidi="ar"/>
              </w:rPr>
            </w:pPr>
            <w:r>
              <w:rPr>
                <w:rFonts w:hint="default" w:ascii="宋体" w:hAnsi="宋体" w:eastAsia="宋体" w:cs="宋体"/>
                <w:color w:val="auto"/>
                <w:kern w:val="0"/>
                <w:sz w:val="24"/>
                <w:lang w:val="en-US" w:eastAsia="en-US" w:bidi="ar"/>
              </w:rPr>
              <w:t>储存地点</w:t>
            </w:r>
          </w:p>
        </w:tc>
        <w:tc>
          <w:tcPr>
            <w:tcW w:w="86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9F12B0">
            <w:pPr>
              <w:keepNext w:val="0"/>
              <w:keepLines w:val="0"/>
              <w:widowControl/>
              <w:suppressLineNumbers w:val="0"/>
              <w:spacing w:before="0" w:beforeAutospacing="0" w:after="0" w:afterAutospacing="0" w:line="240" w:lineRule="exact"/>
              <w:ind w:left="0" w:leftChars="0" w:right="0" w:rightChars="0"/>
              <w:jc w:val="center"/>
              <w:textAlignment w:val="center"/>
              <w:rPr>
                <w:rFonts w:hint="default" w:ascii="宋体" w:hAnsi="宋体" w:eastAsia="宋体" w:cs="宋体"/>
                <w:color w:val="auto"/>
                <w:kern w:val="0"/>
                <w:sz w:val="24"/>
                <w:szCs w:val="24"/>
                <w:lang w:val="en-US" w:eastAsia="en-US" w:bidi="ar"/>
              </w:rPr>
            </w:pPr>
            <w:r>
              <w:rPr>
                <w:rFonts w:hint="default" w:ascii="宋体" w:hAnsi="宋体" w:eastAsia="宋体" w:cs="宋体"/>
                <w:color w:val="auto"/>
                <w:kern w:val="0"/>
                <w:sz w:val="24"/>
                <w:lang w:val="en-US" w:eastAsia="en-US" w:bidi="ar"/>
              </w:rPr>
              <w:t>备注</w:t>
            </w:r>
          </w:p>
        </w:tc>
      </w:tr>
      <w:tr w14:paraId="2DF8DE23">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2760BCC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1768" w:type="dxa"/>
            <w:tcBorders>
              <w:top w:val="single" w:color="000000" w:sz="8" w:space="0"/>
              <w:left w:val="single" w:color="000000" w:sz="8" w:space="0"/>
              <w:bottom w:val="single" w:color="000000" w:sz="8" w:space="0"/>
              <w:right w:val="single" w:color="000000" w:sz="8" w:space="0"/>
            </w:tcBorders>
            <w:vAlign w:val="center"/>
          </w:tcPr>
          <w:p w14:paraId="4A51563A">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消火栓阀门立柱</w:t>
            </w:r>
          </w:p>
        </w:tc>
        <w:tc>
          <w:tcPr>
            <w:tcW w:w="3245" w:type="dxa"/>
            <w:tcBorders>
              <w:top w:val="single" w:color="000000" w:sz="8" w:space="0"/>
              <w:left w:val="single" w:color="000000" w:sz="8" w:space="0"/>
              <w:bottom w:val="single" w:color="000000" w:sz="8" w:space="0"/>
              <w:right w:val="single" w:color="000000" w:sz="8" w:space="0"/>
            </w:tcBorders>
            <w:vAlign w:val="center"/>
          </w:tcPr>
          <w:p w14:paraId="2917BDB0">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接口与井下洒水管快速接头匹配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4F945AAA">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51BD1C0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w:t>
            </w:r>
          </w:p>
        </w:tc>
        <w:tc>
          <w:tcPr>
            <w:tcW w:w="1623" w:type="dxa"/>
            <w:tcBorders>
              <w:top w:val="single" w:color="000000" w:sz="8" w:space="0"/>
              <w:left w:val="single" w:color="000000" w:sz="8" w:space="0"/>
              <w:bottom w:val="single" w:color="000000" w:sz="8" w:space="0"/>
              <w:right w:val="single" w:color="000000" w:sz="8" w:space="0"/>
            </w:tcBorders>
            <w:vAlign w:val="center"/>
          </w:tcPr>
          <w:p w14:paraId="3921C649">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2ACB6A">
            <w:pPr>
              <w:adjustRightInd w:val="0"/>
              <w:snapToGrid w:val="0"/>
              <w:jc w:val="center"/>
              <w:textAlignment w:val="center"/>
              <w:rPr>
                <w:rFonts w:hint="eastAsia" w:ascii="宋体" w:hAnsi="宋体" w:eastAsia="宋体" w:cs="宋体"/>
                <w:color w:val="auto"/>
                <w:kern w:val="0"/>
                <w:sz w:val="24"/>
                <w:szCs w:val="24"/>
                <w:lang w:val="en-US" w:eastAsia="zh-CN" w:bidi="ar"/>
              </w:rPr>
            </w:pPr>
            <w:r>
              <w:rPr>
                <w:rFonts w:hint="eastAsia" w:ascii="仿宋" w:hAnsi="仿宋" w:eastAsia="仿宋" w:cs="宋体"/>
                <w:color w:val="auto"/>
                <w:kern w:val="0"/>
                <w:sz w:val="24"/>
                <w:lang w:bidi="ar"/>
              </w:rPr>
              <w:t>完好</w:t>
            </w:r>
          </w:p>
        </w:tc>
      </w:tr>
      <w:tr w14:paraId="27A90848">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59DAB01F">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768" w:type="dxa"/>
            <w:tcBorders>
              <w:top w:val="single" w:color="000000" w:sz="8" w:space="0"/>
              <w:left w:val="single" w:color="000000" w:sz="8" w:space="0"/>
              <w:bottom w:val="single" w:color="000000" w:sz="8" w:space="0"/>
              <w:right w:val="single" w:color="000000" w:sz="8" w:space="0"/>
            </w:tcBorders>
            <w:vAlign w:val="center"/>
          </w:tcPr>
          <w:p w14:paraId="78E3FC5A">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消火栓水龙带</w:t>
            </w:r>
          </w:p>
        </w:tc>
        <w:tc>
          <w:tcPr>
            <w:tcW w:w="3245" w:type="dxa"/>
            <w:tcBorders>
              <w:top w:val="single" w:color="000000" w:sz="8" w:space="0"/>
              <w:left w:val="single" w:color="000000" w:sz="8" w:space="0"/>
              <w:bottom w:val="single" w:color="000000" w:sz="8" w:space="0"/>
              <w:right w:val="single" w:color="000000" w:sz="8" w:space="0"/>
            </w:tcBorders>
            <w:vAlign w:val="center"/>
          </w:tcPr>
          <w:p w14:paraId="07E43CC9">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接口与消火栓阀门立柱出口匹配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33D68B5D">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m</w:t>
            </w:r>
          </w:p>
        </w:tc>
        <w:tc>
          <w:tcPr>
            <w:tcW w:w="616" w:type="dxa"/>
            <w:tcBorders>
              <w:top w:val="single" w:color="000000" w:sz="8" w:space="0"/>
              <w:left w:val="single" w:color="000000" w:sz="8" w:space="0"/>
              <w:bottom w:val="single" w:color="000000" w:sz="8" w:space="0"/>
              <w:right w:val="single" w:color="000000" w:sz="8" w:space="0"/>
            </w:tcBorders>
            <w:vAlign w:val="center"/>
          </w:tcPr>
          <w:p w14:paraId="3E06741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800</w:t>
            </w:r>
          </w:p>
        </w:tc>
        <w:tc>
          <w:tcPr>
            <w:tcW w:w="1623" w:type="dxa"/>
            <w:tcBorders>
              <w:top w:val="single" w:color="000000" w:sz="8" w:space="0"/>
              <w:left w:val="single" w:color="000000" w:sz="8" w:space="0"/>
              <w:bottom w:val="single" w:color="000000" w:sz="8" w:space="0"/>
              <w:right w:val="single" w:color="000000" w:sz="8" w:space="0"/>
            </w:tcBorders>
            <w:vAlign w:val="center"/>
          </w:tcPr>
          <w:p w14:paraId="1C6E5C08">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092169D7">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8D1C56A">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D7C3A38">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3</w:t>
            </w:r>
          </w:p>
        </w:tc>
        <w:tc>
          <w:tcPr>
            <w:tcW w:w="1768" w:type="dxa"/>
            <w:tcBorders>
              <w:top w:val="single" w:color="000000" w:sz="8" w:space="0"/>
              <w:left w:val="single" w:color="000000" w:sz="8" w:space="0"/>
              <w:bottom w:val="single" w:color="000000" w:sz="8" w:space="0"/>
              <w:right w:val="single" w:color="000000" w:sz="8" w:space="0"/>
            </w:tcBorders>
            <w:vAlign w:val="center"/>
          </w:tcPr>
          <w:p w14:paraId="537EA924">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多用消火栓枪</w:t>
            </w:r>
          </w:p>
        </w:tc>
        <w:tc>
          <w:tcPr>
            <w:tcW w:w="3245" w:type="dxa"/>
            <w:tcBorders>
              <w:top w:val="single" w:color="000000" w:sz="8" w:space="0"/>
              <w:left w:val="single" w:color="000000" w:sz="8" w:space="0"/>
              <w:bottom w:val="single" w:color="000000" w:sz="8" w:space="0"/>
              <w:right w:val="single" w:color="000000" w:sz="8" w:space="0"/>
            </w:tcBorders>
            <w:vAlign w:val="center"/>
          </w:tcPr>
          <w:p w14:paraId="5A9AA226">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接口与消火栓水龙带口径匹配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37382914">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支</w:t>
            </w:r>
          </w:p>
        </w:tc>
        <w:tc>
          <w:tcPr>
            <w:tcW w:w="616" w:type="dxa"/>
            <w:tcBorders>
              <w:top w:val="single" w:color="000000" w:sz="8" w:space="0"/>
              <w:left w:val="single" w:color="000000" w:sz="8" w:space="0"/>
              <w:bottom w:val="single" w:color="000000" w:sz="8" w:space="0"/>
              <w:right w:val="single" w:color="000000" w:sz="8" w:space="0"/>
            </w:tcBorders>
            <w:vAlign w:val="center"/>
          </w:tcPr>
          <w:p w14:paraId="42D7576E">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w:t>
            </w:r>
          </w:p>
        </w:tc>
        <w:tc>
          <w:tcPr>
            <w:tcW w:w="1623" w:type="dxa"/>
            <w:tcBorders>
              <w:top w:val="single" w:color="000000" w:sz="8" w:space="0"/>
              <w:left w:val="single" w:color="000000" w:sz="8" w:space="0"/>
              <w:bottom w:val="single" w:color="000000" w:sz="8" w:space="0"/>
              <w:right w:val="single" w:color="000000" w:sz="8" w:space="0"/>
            </w:tcBorders>
            <w:vAlign w:val="center"/>
          </w:tcPr>
          <w:p w14:paraId="0FAF9902">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64E0AB2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575BAE23">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110DA7A7">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w:t>
            </w:r>
          </w:p>
        </w:tc>
        <w:tc>
          <w:tcPr>
            <w:tcW w:w="1768" w:type="dxa"/>
            <w:tcBorders>
              <w:top w:val="single" w:color="000000" w:sz="8" w:space="0"/>
              <w:left w:val="single" w:color="000000" w:sz="8" w:space="0"/>
              <w:bottom w:val="single" w:color="000000" w:sz="8" w:space="0"/>
              <w:right w:val="single" w:color="000000" w:sz="8" w:space="0"/>
            </w:tcBorders>
            <w:vAlign w:val="center"/>
          </w:tcPr>
          <w:p w14:paraId="15AAD9A3">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变径管节</w:t>
            </w:r>
          </w:p>
        </w:tc>
        <w:tc>
          <w:tcPr>
            <w:tcW w:w="3245" w:type="dxa"/>
            <w:tcBorders>
              <w:top w:val="single" w:color="000000" w:sz="8" w:space="0"/>
              <w:left w:val="single" w:color="000000" w:sz="8" w:space="0"/>
              <w:bottom w:val="single" w:color="000000" w:sz="8" w:space="0"/>
              <w:right w:val="single" w:color="000000" w:sz="8" w:space="0"/>
            </w:tcBorders>
            <w:vAlign w:val="center"/>
          </w:tcPr>
          <w:p w14:paraId="00FA79EE">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w:t>
            </w:r>
          </w:p>
        </w:tc>
        <w:tc>
          <w:tcPr>
            <w:tcW w:w="658" w:type="dxa"/>
            <w:tcBorders>
              <w:top w:val="single" w:color="000000" w:sz="8" w:space="0"/>
              <w:left w:val="single" w:color="000000" w:sz="8" w:space="0"/>
              <w:bottom w:val="single" w:color="000000" w:sz="8" w:space="0"/>
              <w:right w:val="single" w:color="000000" w:sz="8" w:space="0"/>
            </w:tcBorders>
            <w:vAlign w:val="center"/>
          </w:tcPr>
          <w:p w14:paraId="436C47A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30662E6F">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623" w:type="dxa"/>
            <w:tcBorders>
              <w:top w:val="single" w:color="000000" w:sz="8" w:space="0"/>
              <w:left w:val="single" w:color="000000" w:sz="8" w:space="0"/>
              <w:bottom w:val="single" w:color="000000" w:sz="8" w:space="0"/>
              <w:right w:val="single" w:color="000000" w:sz="8" w:space="0"/>
            </w:tcBorders>
            <w:vAlign w:val="center"/>
          </w:tcPr>
          <w:p w14:paraId="458941A3">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0C22CD5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5B46BF27">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2B94327">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w:t>
            </w:r>
          </w:p>
        </w:tc>
        <w:tc>
          <w:tcPr>
            <w:tcW w:w="1768" w:type="dxa"/>
            <w:tcBorders>
              <w:top w:val="single" w:color="000000" w:sz="8" w:space="0"/>
              <w:left w:val="single" w:color="000000" w:sz="8" w:space="0"/>
              <w:bottom w:val="single" w:color="000000" w:sz="8" w:space="0"/>
              <w:right w:val="single" w:color="000000" w:sz="8" w:space="0"/>
            </w:tcBorders>
            <w:vAlign w:val="center"/>
          </w:tcPr>
          <w:p w14:paraId="3B4426D9">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喷嘴</w:t>
            </w:r>
          </w:p>
        </w:tc>
        <w:tc>
          <w:tcPr>
            <w:tcW w:w="3245" w:type="dxa"/>
            <w:tcBorders>
              <w:top w:val="single" w:color="000000" w:sz="8" w:space="0"/>
              <w:left w:val="single" w:color="000000" w:sz="8" w:space="0"/>
              <w:bottom w:val="single" w:color="000000" w:sz="8" w:space="0"/>
              <w:right w:val="single" w:color="000000" w:sz="8" w:space="0"/>
            </w:tcBorders>
            <w:vAlign w:val="center"/>
          </w:tcPr>
          <w:p w14:paraId="2507E92F">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与井下洒水管快速接头匹配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4BE8A1C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2BAD60D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623" w:type="dxa"/>
            <w:tcBorders>
              <w:top w:val="single" w:color="000000" w:sz="8" w:space="0"/>
              <w:left w:val="single" w:color="000000" w:sz="8" w:space="0"/>
              <w:bottom w:val="single" w:color="000000" w:sz="8" w:space="0"/>
              <w:right w:val="single" w:color="000000" w:sz="8" w:space="0"/>
            </w:tcBorders>
            <w:vAlign w:val="center"/>
          </w:tcPr>
          <w:p w14:paraId="32A65A26">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5D1840DA">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297E5670">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D833BD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6</w:t>
            </w:r>
          </w:p>
        </w:tc>
        <w:tc>
          <w:tcPr>
            <w:tcW w:w="1768" w:type="dxa"/>
            <w:tcBorders>
              <w:top w:val="single" w:color="000000" w:sz="8" w:space="0"/>
              <w:left w:val="single" w:color="000000" w:sz="8" w:space="0"/>
              <w:bottom w:val="single" w:color="000000" w:sz="8" w:space="0"/>
              <w:right w:val="single" w:color="000000" w:sz="8" w:space="0"/>
            </w:tcBorders>
            <w:vAlign w:val="center"/>
          </w:tcPr>
          <w:p w14:paraId="52D8AE1C">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分流管</w:t>
            </w:r>
          </w:p>
        </w:tc>
        <w:tc>
          <w:tcPr>
            <w:tcW w:w="3245" w:type="dxa"/>
            <w:tcBorders>
              <w:top w:val="single" w:color="000000" w:sz="8" w:space="0"/>
              <w:left w:val="single" w:color="000000" w:sz="8" w:space="0"/>
              <w:bottom w:val="single" w:color="000000" w:sz="8" w:space="0"/>
              <w:right w:val="single" w:color="000000" w:sz="8" w:space="0"/>
            </w:tcBorders>
            <w:vAlign w:val="center"/>
          </w:tcPr>
          <w:p w14:paraId="4F319CE8">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与井下洒水管快速接头匹配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769643E6">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4539006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3</w:t>
            </w:r>
          </w:p>
        </w:tc>
        <w:tc>
          <w:tcPr>
            <w:tcW w:w="1623" w:type="dxa"/>
            <w:tcBorders>
              <w:top w:val="single" w:color="000000" w:sz="8" w:space="0"/>
              <w:left w:val="single" w:color="000000" w:sz="8" w:space="0"/>
              <w:bottom w:val="single" w:color="000000" w:sz="8" w:space="0"/>
              <w:right w:val="single" w:color="000000" w:sz="8" w:space="0"/>
            </w:tcBorders>
            <w:vAlign w:val="center"/>
          </w:tcPr>
          <w:p w14:paraId="1D232C63">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5CE8522F">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39F5AE2F">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E74C16E">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7</w:t>
            </w:r>
          </w:p>
        </w:tc>
        <w:tc>
          <w:tcPr>
            <w:tcW w:w="1768" w:type="dxa"/>
            <w:tcBorders>
              <w:top w:val="single" w:color="000000" w:sz="8" w:space="0"/>
              <w:left w:val="single" w:color="000000" w:sz="8" w:space="0"/>
              <w:bottom w:val="single" w:color="000000" w:sz="8" w:space="0"/>
              <w:right w:val="single" w:color="000000" w:sz="8" w:space="0"/>
            </w:tcBorders>
            <w:vAlign w:val="center"/>
          </w:tcPr>
          <w:p w14:paraId="309362EC">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集流管</w:t>
            </w:r>
          </w:p>
        </w:tc>
        <w:tc>
          <w:tcPr>
            <w:tcW w:w="3245" w:type="dxa"/>
            <w:tcBorders>
              <w:top w:val="single" w:color="000000" w:sz="8" w:space="0"/>
              <w:left w:val="single" w:color="000000" w:sz="8" w:space="0"/>
              <w:bottom w:val="single" w:color="000000" w:sz="8" w:space="0"/>
              <w:right w:val="single" w:color="000000" w:sz="8" w:space="0"/>
            </w:tcBorders>
            <w:vAlign w:val="center"/>
          </w:tcPr>
          <w:p w14:paraId="2FB790BF">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与井下洒水管快速接头匹配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722D732C">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6363E70E">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68C3B0D3">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7245C0F1">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3B0E47F6">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24FDA586">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8</w:t>
            </w:r>
          </w:p>
        </w:tc>
        <w:tc>
          <w:tcPr>
            <w:tcW w:w="1768" w:type="dxa"/>
            <w:tcBorders>
              <w:top w:val="single" w:color="000000" w:sz="8" w:space="0"/>
              <w:left w:val="single" w:color="000000" w:sz="8" w:space="0"/>
              <w:bottom w:val="single" w:color="000000" w:sz="8" w:space="0"/>
              <w:right w:val="single" w:color="000000" w:sz="8" w:space="0"/>
            </w:tcBorders>
            <w:vAlign w:val="center"/>
          </w:tcPr>
          <w:p w14:paraId="753B2B46">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垫圈</w:t>
            </w:r>
          </w:p>
        </w:tc>
        <w:tc>
          <w:tcPr>
            <w:tcW w:w="3245" w:type="dxa"/>
            <w:tcBorders>
              <w:top w:val="single" w:color="000000" w:sz="8" w:space="0"/>
              <w:left w:val="single" w:color="000000" w:sz="8" w:space="0"/>
              <w:bottom w:val="single" w:color="000000" w:sz="8" w:space="0"/>
              <w:right w:val="single" w:color="000000" w:sz="8" w:space="0"/>
            </w:tcBorders>
            <w:vAlign w:val="center"/>
          </w:tcPr>
          <w:p w14:paraId="02A47C7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w:t>
            </w:r>
          </w:p>
        </w:tc>
        <w:tc>
          <w:tcPr>
            <w:tcW w:w="658" w:type="dxa"/>
            <w:tcBorders>
              <w:top w:val="single" w:color="000000" w:sz="8" w:space="0"/>
              <w:left w:val="single" w:color="000000" w:sz="8" w:space="0"/>
              <w:bottom w:val="single" w:color="000000" w:sz="8" w:space="0"/>
              <w:right w:val="single" w:color="000000" w:sz="8" w:space="0"/>
            </w:tcBorders>
            <w:vAlign w:val="center"/>
          </w:tcPr>
          <w:p w14:paraId="3FC029DF">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616" w:type="dxa"/>
            <w:tcBorders>
              <w:top w:val="single" w:color="000000" w:sz="8" w:space="0"/>
              <w:left w:val="single" w:color="000000" w:sz="8" w:space="0"/>
              <w:bottom w:val="single" w:color="000000" w:sz="8" w:space="0"/>
              <w:right w:val="single" w:color="000000" w:sz="8" w:space="0"/>
            </w:tcBorders>
            <w:vAlign w:val="center"/>
          </w:tcPr>
          <w:p w14:paraId="47C1AC0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70</w:t>
            </w:r>
          </w:p>
        </w:tc>
        <w:tc>
          <w:tcPr>
            <w:tcW w:w="1623" w:type="dxa"/>
            <w:tcBorders>
              <w:top w:val="single" w:color="000000" w:sz="8" w:space="0"/>
              <w:left w:val="single" w:color="000000" w:sz="8" w:space="0"/>
              <w:bottom w:val="single" w:color="000000" w:sz="8" w:space="0"/>
              <w:right w:val="single" w:color="000000" w:sz="8" w:space="0"/>
            </w:tcBorders>
            <w:vAlign w:val="center"/>
          </w:tcPr>
          <w:p w14:paraId="4A07C00A">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7D6EC2E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7C79E932">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128431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9</w:t>
            </w:r>
          </w:p>
        </w:tc>
        <w:tc>
          <w:tcPr>
            <w:tcW w:w="1768" w:type="dxa"/>
            <w:tcBorders>
              <w:top w:val="single" w:color="000000" w:sz="8" w:space="0"/>
              <w:left w:val="single" w:color="000000" w:sz="8" w:space="0"/>
              <w:bottom w:val="single" w:color="000000" w:sz="8" w:space="0"/>
              <w:right w:val="single" w:color="000000" w:sz="8" w:space="0"/>
            </w:tcBorders>
            <w:vAlign w:val="center"/>
          </w:tcPr>
          <w:p w14:paraId="5EAC9C21">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钢管</w:t>
            </w:r>
          </w:p>
        </w:tc>
        <w:tc>
          <w:tcPr>
            <w:tcW w:w="3245" w:type="dxa"/>
            <w:tcBorders>
              <w:top w:val="single" w:color="000000" w:sz="8" w:space="0"/>
              <w:left w:val="single" w:color="000000" w:sz="8" w:space="0"/>
              <w:bottom w:val="single" w:color="000000" w:sz="8" w:space="0"/>
              <w:right w:val="single" w:color="000000" w:sz="8" w:space="0"/>
            </w:tcBorders>
            <w:vAlign w:val="center"/>
          </w:tcPr>
          <w:p w14:paraId="03188D9C">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w:t>
            </w:r>
          </w:p>
        </w:tc>
        <w:tc>
          <w:tcPr>
            <w:tcW w:w="658" w:type="dxa"/>
            <w:tcBorders>
              <w:top w:val="single" w:color="000000" w:sz="8" w:space="0"/>
              <w:left w:val="single" w:color="000000" w:sz="8" w:space="0"/>
              <w:bottom w:val="single" w:color="000000" w:sz="8" w:space="0"/>
              <w:right w:val="single" w:color="000000" w:sz="8" w:space="0"/>
            </w:tcBorders>
            <w:vAlign w:val="center"/>
          </w:tcPr>
          <w:p w14:paraId="11AA09E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m</w:t>
            </w:r>
          </w:p>
        </w:tc>
        <w:tc>
          <w:tcPr>
            <w:tcW w:w="616" w:type="dxa"/>
            <w:tcBorders>
              <w:top w:val="single" w:color="000000" w:sz="8" w:space="0"/>
              <w:left w:val="single" w:color="000000" w:sz="8" w:space="0"/>
              <w:bottom w:val="single" w:color="000000" w:sz="8" w:space="0"/>
              <w:right w:val="single" w:color="000000" w:sz="8" w:space="0"/>
            </w:tcBorders>
            <w:vAlign w:val="center"/>
          </w:tcPr>
          <w:p w14:paraId="3E521F19">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800</w:t>
            </w:r>
          </w:p>
        </w:tc>
        <w:tc>
          <w:tcPr>
            <w:tcW w:w="1623" w:type="dxa"/>
            <w:tcBorders>
              <w:top w:val="single" w:color="000000" w:sz="8" w:space="0"/>
              <w:left w:val="single" w:color="000000" w:sz="8" w:space="0"/>
              <w:bottom w:val="single" w:color="000000" w:sz="8" w:space="0"/>
              <w:right w:val="single" w:color="000000" w:sz="8" w:space="0"/>
            </w:tcBorders>
            <w:vAlign w:val="center"/>
          </w:tcPr>
          <w:p w14:paraId="66AF6D5B">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A92E810">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15D0566F">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908E72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768" w:type="dxa"/>
            <w:tcBorders>
              <w:top w:val="single" w:color="000000" w:sz="8" w:space="0"/>
              <w:left w:val="single" w:color="000000" w:sz="8" w:space="0"/>
              <w:bottom w:val="single" w:color="000000" w:sz="8" w:space="0"/>
              <w:right w:val="single" w:color="000000" w:sz="8" w:space="0"/>
            </w:tcBorders>
            <w:vAlign w:val="center"/>
          </w:tcPr>
          <w:p w14:paraId="5922C1C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胶管</w:t>
            </w:r>
          </w:p>
        </w:tc>
        <w:tc>
          <w:tcPr>
            <w:tcW w:w="3245" w:type="dxa"/>
            <w:tcBorders>
              <w:top w:val="single" w:color="000000" w:sz="8" w:space="0"/>
              <w:left w:val="single" w:color="000000" w:sz="8" w:space="0"/>
              <w:bottom w:val="single" w:color="000000" w:sz="8" w:space="0"/>
              <w:right w:val="single" w:color="000000" w:sz="8" w:space="0"/>
            </w:tcBorders>
            <w:vAlign w:val="center"/>
          </w:tcPr>
          <w:p w14:paraId="7A36126C">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w:t>
            </w:r>
          </w:p>
        </w:tc>
        <w:tc>
          <w:tcPr>
            <w:tcW w:w="658" w:type="dxa"/>
            <w:tcBorders>
              <w:top w:val="single" w:color="000000" w:sz="8" w:space="0"/>
              <w:left w:val="single" w:color="000000" w:sz="8" w:space="0"/>
              <w:bottom w:val="single" w:color="000000" w:sz="8" w:space="0"/>
              <w:right w:val="single" w:color="000000" w:sz="8" w:space="0"/>
            </w:tcBorders>
            <w:vAlign w:val="center"/>
          </w:tcPr>
          <w:p w14:paraId="6390D83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m</w:t>
            </w:r>
          </w:p>
        </w:tc>
        <w:tc>
          <w:tcPr>
            <w:tcW w:w="616" w:type="dxa"/>
            <w:tcBorders>
              <w:top w:val="single" w:color="000000" w:sz="8" w:space="0"/>
              <w:left w:val="single" w:color="000000" w:sz="8" w:space="0"/>
              <w:bottom w:val="single" w:color="000000" w:sz="8" w:space="0"/>
              <w:right w:val="single" w:color="000000" w:sz="8" w:space="0"/>
            </w:tcBorders>
            <w:vAlign w:val="center"/>
          </w:tcPr>
          <w:p w14:paraId="7508CDA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800</w:t>
            </w:r>
          </w:p>
        </w:tc>
        <w:tc>
          <w:tcPr>
            <w:tcW w:w="1623" w:type="dxa"/>
            <w:tcBorders>
              <w:top w:val="single" w:color="000000" w:sz="8" w:space="0"/>
              <w:left w:val="single" w:color="000000" w:sz="8" w:space="0"/>
              <w:bottom w:val="single" w:color="000000" w:sz="8" w:space="0"/>
              <w:right w:val="single" w:color="000000" w:sz="8" w:space="0"/>
            </w:tcBorders>
            <w:vAlign w:val="center"/>
          </w:tcPr>
          <w:p w14:paraId="2538A09C">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3524E092">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0169CBA2">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6427BC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768" w:type="dxa"/>
            <w:tcBorders>
              <w:top w:val="single" w:color="000000" w:sz="8" w:space="0"/>
              <w:left w:val="single" w:color="000000" w:sz="8" w:space="0"/>
              <w:bottom w:val="single" w:color="000000" w:sz="8" w:space="0"/>
              <w:right w:val="single" w:color="000000" w:sz="8" w:space="0"/>
            </w:tcBorders>
            <w:vAlign w:val="center"/>
          </w:tcPr>
          <w:p w14:paraId="435ED30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管钳子</w:t>
            </w:r>
          </w:p>
        </w:tc>
        <w:tc>
          <w:tcPr>
            <w:tcW w:w="3245" w:type="dxa"/>
            <w:tcBorders>
              <w:top w:val="single" w:color="000000" w:sz="8" w:space="0"/>
              <w:left w:val="single" w:color="000000" w:sz="8" w:space="0"/>
              <w:bottom w:val="single" w:color="000000" w:sz="8" w:space="0"/>
              <w:right w:val="single" w:color="000000" w:sz="8" w:space="0"/>
            </w:tcBorders>
            <w:vAlign w:val="center"/>
          </w:tcPr>
          <w:p w14:paraId="766DACAF">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适用于井下各种消防管路</w:t>
            </w:r>
          </w:p>
        </w:tc>
        <w:tc>
          <w:tcPr>
            <w:tcW w:w="658" w:type="dxa"/>
            <w:tcBorders>
              <w:top w:val="single" w:color="000000" w:sz="8" w:space="0"/>
              <w:left w:val="single" w:color="000000" w:sz="8" w:space="0"/>
              <w:bottom w:val="single" w:color="000000" w:sz="8" w:space="0"/>
              <w:right w:val="single" w:color="000000" w:sz="8" w:space="0"/>
            </w:tcBorders>
            <w:vAlign w:val="center"/>
          </w:tcPr>
          <w:p w14:paraId="126DD0FE">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把</w:t>
            </w:r>
          </w:p>
        </w:tc>
        <w:tc>
          <w:tcPr>
            <w:tcW w:w="616" w:type="dxa"/>
            <w:tcBorders>
              <w:top w:val="single" w:color="000000" w:sz="8" w:space="0"/>
              <w:left w:val="single" w:color="000000" w:sz="8" w:space="0"/>
              <w:bottom w:val="single" w:color="000000" w:sz="8" w:space="0"/>
              <w:right w:val="single" w:color="000000" w:sz="8" w:space="0"/>
            </w:tcBorders>
            <w:vAlign w:val="center"/>
          </w:tcPr>
          <w:p w14:paraId="5983FCA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6</w:t>
            </w:r>
          </w:p>
        </w:tc>
        <w:tc>
          <w:tcPr>
            <w:tcW w:w="1623" w:type="dxa"/>
            <w:tcBorders>
              <w:top w:val="single" w:color="000000" w:sz="8" w:space="0"/>
              <w:left w:val="single" w:color="000000" w:sz="8" w:space="0"/>
              <w:bottom w:val="single" w:color="000000" w:sz="8" w:space="0"/>
              <w:right w:val="single" w:color="000000" w:sz="8" w:space="0"/>
            </w:tcBorders>
            <w:vAlign w:val="center"/>
          </w:tcPr>
          <w:p w14:paraId="538873F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53B732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091A05A">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DAB0E1C">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768" w:type="dxa"/>
            <w:tcBorders>
              <w:top w:val="single" w:color="000000" w:sz="8" w:space="0"/>
              <w:left w:val="single" w:color="000000" w:sz="8" w:space="0"/>
              <w:bottom w:val="single" w:color="000000" w:sz="8" w:space="0"/>
              <w:right w:val="single" w:color="000000" w:sz="8" w:space="0"/>
            </w:tcBorders>
            <w:vAlign w:val="center"/>
          </w:tcPr>
          <w:p w14:paraId="168A9AF0">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接管工具</w:t>
            </w:r>
          </w:p>
        </w:tc>
        <w:tc>
          <w:tcPr>
            <w:tcW w:w="3245" w:type="dxa"/>
            <w:tcBorders>
              <w:top w:val="single" w:color="000000" w:sz="8" w:space="0"/>
              <w:left w:val="single" w:color="000000" w:sz="8" w:space="0"/>
              <w:bottom w:val="single" w:color="000000" w:sz="8" w:space="0"/>
              <w:right w:val="single" w:color="000000" w:sz="8" w:space="0"/>
            </w:tcBorders>
            <w:vAlign w:val="center"/>
          </w:tcPr>
          <w:p w14:paraId="4C599D41">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KJ20-46</w:t>
            </w:r>
          </w:p>
        </w:tc>
        <w:tc>
          <w:tcPr>
            <w:tcW w:w="658" w:type="dxa"/>
            <w:tcBorders>
              <w:top w:val="single" w:color="000000" w:sz="8" w:space="0"/>
              <w:left w:val="single" w:color="000000" w:sz="8" w:space="0"/>
              <w:bottom w:val="single" w:color="000000" w:sz="8" w:space="0"/>
              <w:right w:val="single" w:color="000000" w:sz="8" w:space="0"/>
            </w:tcBorders>
            <w:vAlign w:val="center"/>
          </w:tcPr>
          <w:p w14:paraId="07A6480F">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616" w:type="dxa"/>
            <w:tcBorders>
              <w:top w:val="single" w:color="000000" w:sz="8" w:space="0"/>
              <w:left w:val="single" w:color="000000" w:sz="8" w:space="0"/>
              <w:bottom w:val="single" w:color="000000" w:sz="8" w:space="0"/>
              <w:right w:val="single" w:color="000000" w:sz="8" w:space="0"/>
            </w:tcBorders>
            <w:vAlign w:val="center"/>
          </w:tcPr>
          <w:p w14:paraId="2AB9DFF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10DDAAB7">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68AD08AD">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6AE4DBA3">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276CBDE">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768" w:type="dxa"/>
            <w:tcBorders>
              <w:top w:val="single" w:color="000000" w:sz="8" w:space="0"/>
              <w:left w:val="single" w:color="000000" w:sz="8" w:space="0"/>
              <w:bottom w:val="single" w:color="000000" w:sz="8" w:space="0"/>
              <w:right w:val="single" w:color="000000" w:sz="8" w:space="0"/>
            </w:tcBorders>
            <w:vAlign w:val="center"/>
          </w:tcPr>
          <w:p w14:paraId="1FFCEDD6">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救生绳</w:t>
            </w:r>
          </w:p>
        </w:tc>
        <w:tc>
          <w:tcPr>
            <w:tcW w:w="3245" w:type="dxa"/>
            <w:tcBorders>
              <w:top w:val="single" w:color="000000" w:sz="8" w:space="0"/>
              <w:left w:val="single" w:color="000000" w:sz="8" w:space="0"/>
              <w:bottom w:val="single" w:color="000000" w:sz="8" w:space="0"/>
              <w:right w:val="single" w:color="000000" w:sz="8" w:space="0"/>
            </w:tcBorders>
            <w:vAlign w:val="center"/>
          </w:tcPr>
          <w:p w14:paraId="6FE9D66F">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长20m</w:t>
            </w:r>
          </w:p>
        </w:tc>
        <w:tc>
          <w:tcPr>
            <w:tcW w:w="658" w:type="dxa"/>
            <w:tcBorders>
              <w:top w:val="single" w:color="000000" w:sz="8" w:space="0"/>
              <w:left w:val="single" w:color="000000" w:sz="8" w:space="0"/>
              <w:bottom w:val="single" w:color="000000" w:sz="8" w:space="0"/>
              <w:right w:val="single" w:color="000000" w:sz="8" w:space="0"/>
            </w:tcBorders>
            <w:vAlign w:val="center"/>
          </w:tcPr>
          <w:p w14:paraId="4154960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根</w:t>
            </w:r>
          </w:p>
        </w:tc>
        <w:tc>
          <w:tcPr>
            <w:tcW w:w="616" w:type="dxa"/>
            <w:tcBorders>
              <w:top w:val="single" w:color="000000" w:sz="8" w:space="0"/>
              <w:left w:val="single" w:color="000000" w:sz="8" w:space="0"/>
              <w:bottom w:val="single" w:color="000000" w:sz="8" w:space="0"/>
              <w:right w:val="single" w:color="000000" w:sz="8" w:space="0"/>
            </w:tcBorders>
            <w:vAlign w:val="center"/>
          </w:tcPr>
          <w:p w14:paraId="01444F6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w:t>
            </w:r>
          </w:p>
        </w:tc>
        <w:tc>
          <w:tcPr>
            <w:tcW w:w="1623" w:type="dxa"/>
            <w:tcBorders>
              <w:top w:val="single" w:color="000000" w:sz="8" w:space="0"/>
              <w:left w:val="single" w:color="000000" w:sz="8" w:space="0"/>
              <w:bottom w:val="single" w:color="000000" w:sz="8" w:space="0"/>
              <w:right w:val="single" w:color="000000" w:sz="8" w:space="0"/>
            </w:tcBorders>
            <w:vAlign w:val="center"/>
          </w:tcPr>
          <w:p w14:paraId="27FC9CB9">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59BC283C">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08F01DFF">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5A72B700">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768" w:type="dxa"/>
            <w:tcBorders>
              <w:top w:val="single" w:color="000000" w:sz="8" w:space="0"/>
              <w:left w:val="single" w:color="000000" w:sz="8" w:space="0"/>
              <w:bottom w:val="single" w:color="000000" w:sz="8" w:space="0"/>
              <w:right w:val="single" w:color="000000" w:sz="8" w:space="0"/>
            </w:tcBorders>
            <w:vAlign w:val="center"/>
          </w:tcPr>
          <w:p w14:paraId="4AE0A82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伸缩梯</w:t>
            </w:r>
          </w:p>
        </w:tc>
        <w:tc>
          <w:tcPr>
            <w:tcW w:w="3245" w:type="dxa"/>
            <w:tcBorders>
              <w:top w:val="single" w:color="000000" w:sz="8" w:space="0"/>
              <w:left w:val="single" w:color="000000" w:sz="8" w:space="0"/>
              <w:bottom w:val="single" w:color="000000" w:sz="8" w:space="0"/>
              <w:right w:val="single" w:color="000000" w:sz="8" w:space="0"/>
            </w:tcBorders>
            <w:vAlign w:val="center"/>
          </w:tcPr>
          <w:p w14:paraId="3BF4859C">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高度≥4m</w:t>
            </w:r>
          </w:p>
        </w:tc>
        <w:tc>
          <w:tcPr>
            <w:tcW w:w="658" w:type="dxa"/>
            <w:tcBorders>
              <w:top w:val="single" w:color="000000" w:sz="8" w:space="0"/>
              <w:left w:val="single" w:color="000000" w:sz="8" w:space="0"/>
              <w:bottom w:val="single" w:color="000000" w:sz="8" w:space="0"/>
              <w:right w:val="single" w:color="000000" w:sz="8" w:space="0"/>
            </w:tcBorders>
            <w:vAlign w:val="center"/>
          </w:tcPr>
          <w:p w14:paraId="538031F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副</w:t>
            </w:r>
          </w:p>
        </w:tc>
        <w:tc>
          <w:tcPr>
            <w:tcW w:w="616" w:type="dxa"/>
            <w:tcBorders>
              <w:top w:val="single" w:color="000000" w:sz="8" w:space="0"/>
              <w:left w:val="single" w:color="000000" w:sz="8" w:space="0"/>
              <w:bottom w:val="single" w:color="000000" w:sz="8" w:space="0"/>
              <w:right w:val="single" w:color="000000" w:sz="8" w:space="0"/>
            </w:tcBorders>
            <w:vAlign w:val="center"/>
          </w:tcPr>
          <w:p w14:paraId="79CF1C5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1623" w:type="dxa"/>
            <w:tcBorders>
              <w:top w:val="single" w:color="000000" w:sz="8" w:space="0"/>
              <w:left w:val="single" w:color="000000" w:sz="8" w:space="0"/>
              <w:bottom w:val="single" w:color="000000" w:sz="8" w:space="0"/>
              <w:right w:val="single" w:color="000000" w:sz="8" w:space="0"/>
            </w:tcBorders>
            <w:vAlign w:val="center"/>
          </w:tcPr>
          <w:p w14:paraId="028A1169">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7EC980A0">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7B30B22F">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073B7B27">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768" w:type="dxa"/>
            <w:tcBorders>
              <w:top w:val="single" w:color="000000" w:sz="8" w:space="0"/>
              <w:left w:val="single" w:color="000000" w:sz="8" w:space="0"/>
              <w:bottom w:val="single" w:color="000000" w:sz="8" w:space="0"/>
              <w:right w:val="single" w:color="000000" w:sz="8" w:space="0"/>
            </w:tcBorders>
            <w:vAlign w:val="center"/>
          </w:tcPr>
          <w:p w14:paraId="262A725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泡沫灭火器</w:t>
            </w:r>
          </w:p>
        </w:tc>
        <w:tc>
          <w:tcPr>
            <w:tcW w:w="3245" w:type="dxa"/>
            <w:tcBorders>
              <w:top w:val="single" w:color="000000" w:sz="8" w:space="0"/>
              <w:left w:val="single" w:color="000000" w:sz="8" w:space="0"/>
              <w:bottom w:val="single" w:color="000000" w:sz="8" w:space="0"/>
              <w:right w:val="single" w:color="000000" w:sz="8" w:space="0"/>
            </w:tcBorders>
            <w:vAlign w:val="center"/>
          </w:tcPr>
          <w:p w14:paraId="1808210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9L</w:t>
            </w:r>
          </w:p>
        </w:tc>
        <w:tc>
          <w:tcPr>
            <w:tcW w:w="658" w:type="dxa"/>
            <w:tcBorders>
              <w:top w:val="single" w:color="000000" w:sz="8" w:space="0"/>
              <w:left w:val="single" w:color="000000" w:sz="8" w:space="0"/>
              <w:bottom w:val="single" w:color="000000" w:sz="8" w:space="0"/>
              <w:right w:val="single" w:color="000000" w:sz="8" w:space="0"/>
            </w:tcBorders>
            <w:vAlign w:val="center"/>
          </w:tcPr>
          <w:p w14:paraId="11C775D0">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7CAE7A44">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623" w:type="dxa"/>
            <w:tcBorders>
              <w:top w:val="single" w:color="000000" w:sz="8" w:space="0"/>
              <w:left w:val="single" w:color="000000" w:sz="8" w:space="0"/>
              <w:bottom w:val="single" w:color="000000" w:sz="8" w:space="0"/>
              <w:right w:val="single" w:color="000000" w:sz="8" w:space="0"/>
            </w:tcBorders>
            <w:vAlign w:val="center"/>
          </w:tcPr>
          <w:p w14:paraId="121EF56E">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57CB69B6">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84FCC8A">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078F1DF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768" w:type="dxa"/>
            <w:tcBorders>
              <w:top w:val="single" w:color="000000" w:sz="8" w:space="0"/>
              <w:left w:val="single" w:color="000000" w:sz="8" w:space="0"/>
              <w:bottom w:val="single" w:color="000000" w:sz="8" w:space="0"/>
              <w:right w:val="single" w:color="000000" w:sz="8" w:space="0"/>
            </w:tcBorders>
            <w:vAlign w:val="center"/>
          </w:tcPr>
          <w:p w14:paraId="11B68A24">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CO₂灭火器</w:t>
            </w:r>
          </w:p>
        </w:tc>
        <w:tc>
          <w:tcPr>
            <w:tcW w:w="3245" w:type="dxa"/>
            <w:tcBorders>
              <w:top w:val="single" w:color="000000" w:sz="8" w:space="0"/>
              <w:left w:val="single" w:color="000000" w:sz="8" w:space="0"/>
              <w:bottom w:val="single" w:color="000000" w:sz="8" w:space="0"/>
              <w:right w:val="single" w:color="000000" w:sz="8" w:space="0"/>
            </w:tcBorders>
            <w:vAlign w:val="center"/>
          </w:tcPr>
          <w:p w14:paraId="05951938">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7kg</w:t>
            </w:r>
          </w:p>
        </w:tc>
        <w:tc>
          <w:tcPr>
            <w:tcW w:w="658" w:type="dxa"/>
            <w:tcBorders>
              <w:top w:val="single" w:color="000000" w:sz="8" w:space="0"/>
              <w:left w:val="single" w:color="000000" w:sz="8" w:space="0"/>
              <w:bottom w:val="single" w:color="000000" w:sz="8" w:space="0"/>
              <w:right w:val="single" w:color="000000" w:sz="8" w:space="0"/>
            </w:tcBorders>
            <w:vAlign w:val="center"/>
          </w:tcPr>
          <w:p w14:paraId="7264529D">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18D1F68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623" w:type="dxa"/>
            <w:tcBorders>
              <w:top w:val="single" w:color="000000" w:sz="8" w:space="0"/>
              <w:left w:val="single" w:color="000000" w:sz="8" w:space="0"/>
              <w:bottom w:val="single" w:color="000000" w:sz="8" w:space="0"/>
              <w:right w:val="single" w:color="000000" w:sz="8" w:space="0"/>
            </w:tcBorders>
            <w:vAlign w:val="center"/>
          </w:tcPr>
          <w:p w14:paraId="5077A0B7">
            <w:pPr>
              <w:jc w:val="left"/>
              <w:rPr>
                <w:rFonts w:hint="default" w:ascii="仿宋" w:hAnsi="仿宋" w:eastAsia="仿宋" w:cs="宋体"/>
                <w:color w:val="auto"/>
                <w:kern w:val="0"/>
                <w:sz w:val="24"/>
                <w:highlight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1D7132B">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221EFDA7">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615FEEA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768" w:type="dxa"/>
            <w:tcBorders>
              <w:top w:val="single" w:color="000000" w:sz="8" w:space="0"/>
              <w:left w:val="single" w:color="000000" w:sz="8" w:space="0"/>
              <w:bottom w:val="single" w:color="000000" w:sz="8" w:space="0"/>
              <w:right w:val="single" w:color="000000" w:sz="8" w:space="0"/>
            </w:tcBorders>
            <w:vAlign w:val="center"/>
          </w:tcPr>
          <w:p w14:paraId="26FFC4E2">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干粉灭火器</w:t>
            </w:r>
          </w:p>
        </w:tc>
        <w:tc>
          <w:tcPr>
            <w:tcW w:w="3245" w:type="dxa"/>
            <w:tcBorders>
              <w:top w:val="single" w:color="000000" w:sz="8" w:space="0"/>
              <w:left w:val="single" w:color="000000" w:sz="8" w:space="0"/>
              <w:bottom w:val="single" w:color="000000" w:sz="8" w:space="0"/>
              <w:right w:val="single" w:color="000000" w:sz="8" w:space="0"/>
            </w:tcBorders>
            <w:vAlign w:val="center"/>
          </w:tcPr>
          <w:p w14:paraId="3000B354">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8kg</w:t>
            </w:r>
          </w:p>
        </w:tc>
        <w:tc>
          <w:tcPr>
            <w:tcW w:w="658" w:type="dxa"/>
            <w:tcBorders>
              <w:top w:val="single" w:color="000000" w:sz="8" w:space="0"/>
              <w:left w:val="single" w:color="000000" w:sz="8" w:space="0"/>
              <w:bottom w:val="single" w:color="000000" w:sz="8" w:space="0"/>
              <w:right w:val="single" w:color="000000" w:sz="8" w:space="0"/>
            </w:tcBorders>
            <w:vAlign w:val="center"/>
          </w:tcPr>
          <w:p w14:paraId="7A7C96A7">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7C187BFA">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623" w:type="dxa"/>
            <w:tcBorders>
              <w:top w:val="single" w:color="000000" w:sz="8" w:space="0"/>
              <w:left w:val="single" w:color="000000" w:sz="8" w:space="0"/>
              <w:bottom w:val="single" w:color="000000" w:sz="8" w:space="0"/>
              <w:right w:val="single" w:color="000000" w:sz="8" w:space="0"/>
            </w:tcBorders>
            <w:vAlign w:val="center"/>
          </w:tcPr>
          <w:p w14:paraId="49F4662B">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68AFE8ED">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2351E6F8">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2FBB388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768" w:type="dxa"/>
            <w:tcBorders>
              <w:top w:val="single" w:color="000000" w:sz="8" w:space="0"/>
              <w:left w:val="single" w:color="000000" w:sz="8" w:space="0"/>
              <w:bottom w:val="single" w:color="000000" w:sz="8" w:space="0"/>
              <w:right w:val="single" w:color="000000" w:sz="8" w:space="0"/>
            </w:tcBorders>
            <w:vAlign w:val="center"/>
          </w:tcPr>
          <w:p w14:paraId="365C8BA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喷雾喷嘴</w:t>
            </w:r>
          </w:p>
        </w:tc>
        <w:tc>
          <w:tcPr>
            <w:tcW w:w="3245" w:type="dxa"/>
            <w:tcBorders>
              <w:top w:val="single" w:color="000000" w:sz="8" w:space="0"/>
              <w:left w:val="single" w:color="000000" w:sz="8" w:space="0"/>
              <w:bottom w:val="single" w:color="000000" w:sz="8" w:space="0"/>
              <w:right w:val="single" w:color="000000" w:sz="8" w:space="0"/>
            </w:tcBorders>
            <w:vAlign w:val="center"/>
          </w:tcPr>
          <w:p w14:paraId="012ECB2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与井下洒水管快速接头匹配</w:t>
            </w:r>
          </w:p>
        </w:tc>
        <w:tc>
          <w:tcPr>
            <w:tcW w:w="658" w:type="dxa"/>
            <w:tcBorders>
              <w:top w:val="single" w:color="000000" w:sz="8" w:space="0"/>
              <w:left w:val="single" w:color="000000" w:sz="8" w:space="0"/>
              <w:bottom w:val="single" w:color="000000" w:sz="8" w:space="0"/>
              <w:right w:val="single" w:color="000000" w:sz="8" w:space="0"/>
            </w:tcBorders>
            <w:vAlign w:val="center"/>
          </w:tcPr>
          <w:p w14:paraId="3E6ABABA">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2C8300AF">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w:t>
            </w:r>
          </w:p>
        </w:tc>
        <w:tc>
          <w:tcPr>
            <w:tcW w:w="1623" w:type="dxa"/>
            <w:tcBorders>
              <w:top w:val="single" w:color="000000" w:sz="8" w:space="0"/>
              <w:left w:val="single" w:color="000000" w:sz="8" w:space="0"/>
              <w:bottom w:val="single" w:color="000000" w:sz="8" w:space="0"/>
              <w:right w:val="single" w:color="000000" w:sz="8" w:space="0"/>
            </w:tcBorders>
            <w:vAlign w:val="center"/>
          </w:tcPr>
          <w:p w14:paraId="2C95EE51">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7901BC4">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0D144B37">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47A2578">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768" w:type="dxa"/>
            <w:tcBorders>
              <w:top w:val="single" w:color="000000" w:sz="8" w:space="0"/>
              <w:left w:val="single" w:color="000000" w:sz="8" w:space="0"/>
              <w:bottom w:val="single" w:color="000000" w:sz="8" w:space="0"/>
              <w:right w:val="single" w:color="000000" w:sz="8" w:space="0"/>
            </w:tcBorders>
            <w:vAlign w:val="center"/>
          </w:tcPr>
          <w:p w14:paraId="7BF6F136">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泡沫灭火器起泡药瓶</w:t>
            </w:r>
          </w:p>
        </w:tc>
        <w:tc>
          <w:tcPr>
            <w:tcW w:w="3245" w:type="dxa"/>
            <w:tcBorders>
              <w:top w:val="single" w:color="000000" w:sz="8" w:space="0"/>
              <w:left w:val="single" w:color="000000" w:sz="8" w:space="0"/>
              <w:bottom w:val="single" w:color="000000" w:sz="8" w:space="0"/>
              <w:right w:val="single" w:color="000000" w:sz="8" w:space="0"/>
            </w:tcBorders>
            <w:vAlign w:val="center"/>
          </w:tcPr>
          <w:p w14:paraId="4D1D5B8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500ml</w:t>
            </w:r>
          </w:p>
        </w:tc>
        <w:tc>
          <w:tcPr>
            <w:tcW w:w="658" w:type="dxa"/>
            <w:tcBorders>
              <w:top w:val="single" w:color="000000" w:sz="8" w:space="0"/>
              <w:left w:val="single" w:color="000000" w:sz="8" w:space="0"/>
              <w:bottom w:val="single" w:color="000000" w:sz="8" w:space="0"/>
              <w:right w:val="single" w:color="000000" w:sz="8" w:space="0"/>
            </w:tcBorders>
            <w:vAlign w:val="center"/>
          </w:tcPr>
          <w:p w14:paraId="7C6EC2E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247D6D34">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623" w:type="dxa"/>
            <w:tcBorders>
              <w:top w:val="single" w:color="000000" w:sz="8" w:space="0"/>
              <w:left w:val="single" w:color="000000" w:sz="8" w:space="0"/>
              <w:bottom w:val="single" w:color="000000" w:sz="8" w:space="0"/>
              <w:right w:val="single" w:color="000000" w:sz="8" w:space="0"/>
            </w:tcBorders>
            <w:vAlign w:val="center"/>
          </w:tcPr>
          <w:p w14:paraId="248A5A1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7EEE1DD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591283A0">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20BC54E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768" w:type="dxa"/>
            <w:tcBorders>
              <w:top w:val="single" w:color="000000" w:sz="8" w:space="0"/>
              <w:left w:val="single" w:color="000000" w:sz="8" w:space="0"/>
              <w:bottom w:val="single" w:color="000000" w:sz="8" w:space="0"/>
              <w:right w:val="single" w:color="000000" w:sz="8" w:space="0"/>
            </w:tcBorders>
            <w:vAlign w:val="center"/>
          </w:tcPr>
          <w:p w14:paraId="512770E9">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泡沫灭火器起泡药瓶</w:t>
            </w:r>
          </w:p>
        </w:tc>
        <w:tc>
          <w:tcPr>
            <w:tcW w:w="3245" w:type="dxa"/>
            <w:tcBorders>
              <w:top w:val="single" w:color="000000" w:sz="8" w:space="0"/>
              <w:left w:val="single" w:color="000000" w:sz="8" w:space="0"/>
              <w:bottom w:val="single" w:color="000000" w:sz="8" w:space="0"/>
              <w:right w:val="single" w:color="000000" w:sz="8" w:space="0"/>
            </w:tcBorders>
            <w:vAlign w:val="center"/>
          </w:tcPr>
          <w:p w14:paraId="2BBFBF73">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500ml</w:t>
            </w:r>
          </w:p>
        </w:tc>
        <w:tc>
          <w:tcPr>
            <w:tcW w:w="658" w:type="dxa"/>
            <w:tcBorders>
              <w:top w:val="single" w:color="000000" w:sz="8" w:space="0"/>
              <w:left w:val="single" w:color="000000" w:sz="8" w:space="0"/>
              <w:bottom w:val="single" w:color="000000" w:sz="8" w:space="0"/>
              <w:right w:val="single" w:color="000000" w:sz="8" w:space="0"/>
            </w:tcBorders>
            <w:vAlign w:val="center"/>
          </w:tcPr>
          <w:p w14:paraId="30125476">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2E7540E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623" w:type="dxa"/>
            <w:tcBorders>
              <w:top w:val="single" w:color="000000" w:sz="8" w:space="0"/>
              <w:left w:val="single" w:color="000000" w:sz="8" w:space="0"/>
              <w:bottom w:val="single" w:color="000000" w:sz="8" w:space="0"/>
              <w:right w:val="single" w:color="000000" w:sz="8" w:space="0"/>
            </w:tcBorders>
            <w:vAlign w:val="center"/>
          </w:tcPr>
          <w:p w14:paraId="205E21D1">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2EB4280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0D1DE25D">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39A5747A">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768" w:type="dxa"/>
            <w:tcBorders>
              <w:top w:val="single" w:color="000000" w:sz="8" w:space="0"/>
              <w:left w:val="single" w:color="000000" w:sz="8" w:space="0"/>
              <w:bottom w:val="single" w:color="000000" w:sz="8" w:space="0"/>
              <w:right w:val="single" w:color="000000" w:sz="8" w:space="0"/>
            </w:tcBorders>
            <w:vAlign w:val="center"/>
          </w:tcPr>
          <w:p w14:paraId="642A11E2">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灭火岩粉</w:t>
            </w:r>
          </w:p>
        </w:tc>
        <w:tc>
          <w:tcPr>
            <w:tcW w:w="3245" w:type="dxa"/>
            <w:tcBorders>
              <w:top w:val="single" w:color="000000" w:sz="8" w:space="0"/>
              <w:left w:val="single" w:color="000000" w:sz="8" w:space="0"/>
              <w:bottom w:val="single" w:color="000000" w:sz="8" w:space="0"/>
              <w:right w:val="single" w:color="000000" w:sz="8" w:space="0"/>
            </w:tcBorders>
            <w:vAlign w:val="center"/>
          </w:tcPr>
          <w:p w14:paraId="3D7E3C04">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粒度＜0.3mm</w:t>
            </w:r>
          </w:p>
        </w:tc>
        <w:tc>
          <w:tcPr>
            <w:tcW w:w="658" w:type="dxa"/>
            <w:tcBorders>
              <w:top w:val="single" w:color="000000" w:sz="8" w:space="0"/>
              <w:left w:val="single" w:color="000000" w:sz="8" w:space="0"/>
              <w:bottom w:val="single" w:color="000000" w:sz="8" w:space="0"/>
              <w:right w:val="single" w:color="000000" w:sz="8" w:space="0"/>
            </w:tcBorders>
            <w:vAlign w:val="center"/>
          </w:tcPr>
          <w:p w14:paraId="2BDEC407">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kg</w:t>
            </w:r>
          </w:p>
        </w:tc>
        <w:tc>
          <w:tcPr>
            <w:tcW w:w="616" w:type="dxa"/>
            <w:tcBorders>
              <w:top w:val="single" w:color="000000" w:sz="8" w:space="0"/>
              <w:left w:val="single" w:color="000000" w:sz="8" w:space="0"/>
              <w:bottom w:val="single" w:color="000000" w:sz="8" w:space="0"/>
              <w:right w:val="single" w:color="000000" w:sz="8" w:space="0"/>
            </w:tcBorders>
            <w:vAlign w:val="center"/>
          </w:tcPr>
          <w:p w14:paraId="3BA9172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623" w:type="dxa"/>
            <w:tcBorders>
              <w:top w:val="single" w:color="000000" w:sz="8" w:space="0"/>
              <w:left w:val="single" w:color="000000" w:sz="8" w:space="0"/>
              <w:bottom w:val="single" w:color="000000" w:sz="8" w:space="0"/>
              <w:right w:val="single" w:color="000000" w:sz="8" w:space="0"/>
            </w:tcBorders>
            <w:vAlign w:val="center"/>
          </w:tcPr>
          <w:p w14:paraId="611C4B78">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44ED6E2C">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54F7A0C">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25EA739D">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768" w:type="dxa"/>
            <w:tcBorders>
              <w:top w:val="single" w:color="000000" w:sz="8" w:space="0"/>
              <w:left w:val="single" w:color="000000" w:sz="8" w:space="0"/>
              <w:bottom w:val="single" w:color="000000" w:sz="8" w:space="0"/>
              <w:right w:val="single" w:color="000000" w:sz="8" w:space="0"/>
            </w:tcBorders>
            <w:vAlign w:val="center"/>
          </w:tcPr>
          <w:p w14:paraId="334C82DE">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石棉毯</w:t>
            </w:r>
          </w:p>
        </w:tc>
        <w:tc>
          <w:tcPr>
            <w:tcW w:w="3245" w:type="dxa"/>
            <w:tcBorders>
              <w:top w:val="single" w:color="000000" w:sz="8" w:space="0"/>
              <w:left w:val="single" w:color="000000" w:sz="8" w:space="0"/>
              <w:bottom w:val="single" w:color="000000" w:sz="8" w:space="0"/>
              <w:right w:val="single" w:color="000000" w:sz="8" w:space="0"/>
            </w:tcBorders>
            <w:vAlign w:val="center"/>
          </w:tcPr>
          <w:p w14:paraId="40C08856">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≥1m×1m</w:t>
            </w:r>
          </w:p>
        </w:tc>
        <w:tc>
          <w:tcPr>
            <w:tcW w:w="658" w:type="dxa"/>
            <w:tcBorders>
              <w:top w:val="single" w:color="000000" w:sz="8" w:space="0"/>
              <w:left w:val="single" w:color="000000" w:sz="8" w:space="0"/>
              <w:bottom w:val="single" w:color="000000" w:sz="8" w:space="0"/>
              <w:right w:val="single" w:color="000000" w:sz="8" w:space="0"/>
            </w:tcBorders>
            <w:vAlign w:val="center"/>
          </w:tcPr>
          <w:p w14:paraId="3510B6B8">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616" w:type="dxa"/>
            <w:tcBorders>
              <w:top w:val="single" w:color="000000" w:sz="8" w:space="0"/>
              <w:left w:val="single" w:color="000000" w:sz="8" w:space="0"/>
              <w:bottom w:val="single" w:color="000000" w:sz="8" w:space="0"/>
              <w:right w:val="single" w:color="000000" w:sz="8" w:space="0"/>
            </w:tcBorders>
            <w:vAlign w:val="center"/>
          </w:tcPr>
          <w:p w14:paraId="73B3A9E8">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w:t>
            </w:r>
          </w:p>
        </w:tc>
        <w:tc>
          <w:tcPr>
            <w:tcW w:w="1623" w:type="dxa"/>
            <w:tcBorders>
              <w:top w:val="single" w:color="000000" w:sz="8" w:space="0"/>
              <w:left w:val="single" w:color="000000" w:sz="8" w:space="0"/>
              <w:bottom w:val="single" w:color="000000" w:sz="8" w:space="0"/>
              <w:right w:val="single" w:color="000000" w:sz="8" w:space="0"/>
            </w:tcBorders>
            <w:vAlign w:val="center"/>
          </w:tcPr>
          <w:p w14:paraId="530CB8AB">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0A866ECD">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02ED4DA7">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51B854EA">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768" w:type="dxa"/>
            <w:tcBorders>
              <w:top w:val="single" w:color="000000" w:sz="8" w:space="0"/>
              <w:left w:val="single" w:color="000000" w:sz="8" w:space="0"/>
              <w:bottom w:val="single" w:color="000000" w:sz="8" w:space="0"/>
              <w:right w:val="single" w:color="000000" w:sz="8" w:space="0"/>
            </w:tcBorders>
            <w:vAlign w:val="center"/>
          </w:tcPr>
          <w:p w14:paraId="113035E7">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风筒布</w:t>
            </w:r>
          </w:p>
        </w:tc>
        <w:tc>
          <w:tcPr>
            <w:tcW w:w="3245" w:type="dxa"/>
            <w:tcBorders>
              <w:top w:val="single" w:color="000000" w:sz="8" w:space="0"/>
              <w:left w:val="single" w:color="000000" w:sz="8" w:space="0"/>
              <w:bottom w:val="single" w:color="000000" w:sz="8" w:space="0"/>
              <w:right w:val="single" w:color="000000" w:sz="8" w:space="0"/>
            </w:tcBorders>
            <w:vAlign w:val="center"/>
          </w:tcPr>
          <w:p w14:paraId="3846713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矿用阻燃</w:t>
            </w:r>
          </w:p>
        </w:tc>
        <w:tc>
          <w:tcPr>
            <w:tcW w:w="658" w:type="dxa"/>
            <w:tcBorders>
              <w:top w:val="single" w:color="000000" w:sz="8" w:space="0"/>
              <w:left w:val="single" w:color="000000" w:sz="8" w:space="0"/>
              <w:bottom w:val="single" w:color="000000" w:sz="8" w:space="0"/>
              <w:right w:val="single" w:color="000000" w:sz="8" w:space="0"/>
            </w:tcBorders>
            <w:vAlign w:val="center"/>
          </w:tcPr>
          <w:p w14:paraId="1CA39FB1">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m</w:t>
            </w:r>
          </w:p>
        </w:tc>
        <w:tc>
          <w:tcPr>
            <w:tcW w:w="616" w:type="dxa"/>
            <w:tcBorders>
              <w:top w:val="single" w:color="000000" w:sz="8" w:space="0"/>
              <w:left w:val="single" w:color="000000" w:sz="8" w:space="0"/>
              <w:bottom w:val="single" w:color="000000" w:sz="8" w:space="0"/>
              <w:right w:val="single" w:color="000000" w:sz="8" w:space="0"/>
            </w:tcBorders>
            <w:vAlign w:val="center"/>
          </w:tcPr>
          <w:p w14:paraId="6D49021D">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623" w:type="dxa"/>
            <w:tcBorders>
              <w:top w:val="single" w:color="000000" w:sz="8" w:space="0"/>
              <w:left w:val="single" w:color="000000" w:sz="8" w:space="0"/>
              <w:bottom w:val="single" w:color="000000" w:sz="8" w:space="0"/>
              <w:right w:val="single" w:color="000000" w:sz="8" w:space="0"/>
            </w:tcBorders>
            <w:vAlign w:val="center"/>
          </w:tcPr>
          <w:p w14:paraId="76196C08">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8ECD7E4">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76ADC9AF">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1B48506C">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768" w:type="dxa"/>
            <w:tcBorders>
              <w:top w:val="single" w:color="000000" w:sz="8" w:space="0"/>
              <w:left w:val="single" w:color="000000" w:sz="8" w:space="0"/>
              <w:bottom w:val="single" w:color="000000" w:sz="8" w:space="0"/>
              <w:right w:val="single" w:color="000000" w:sz="8" w:space="0"/>
            </w:tcBorders>
            <w:vAlign w:val="center"/>
          </w:tcPr>
          <w:p w14:paraId="2914AAED">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水泥</w:t>
            </w:r>
          </w:p>
        </w:tc>
        <w:tc>
          <w:tcPr>
            <w:tcW w:w="3245" w:type="dxa"/>
            <w:tcBorders>
              <w:top w:val="single" w:color="000000" w:sz="8" w:space="0"/>
              <w:left w:val="single" w:color="000000" w:sz="8" w:space="0"/>
              <w:bottom w:val="single" w:color="000000" w:sz="8" w:space="0"/>
              <w:right w:val="single" w:color="000000" w:sz="8" w:space="0"/>
            </w:tcBorders>
            <w:vAlign w:val="center"/>
          </w:tcPr>
          <w:p w14:paraId="62E9334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强度等级≥42.5</w:t>
            </w:r>
          </w:p>
        </w:tc>
        <w:tc>
          <w:tcPr>
            <w:tcW w:w="658" w:type="dxa"/>
            <w:tcBorders>
              <w:top w:val="single" w:color="000000" w:sz="8" w:space="0"/>
              <w:left w:val="single" w:color="000000" w:sz="8" w:space="0"/>
              <w:bottom w:val="single" w:color="000000" w:sz="8" w:space="0"/>
              <w:right w:val="single" w:color="000000" w:sz="8" w:space="0"/>
            </w:tcBorders>
            <w:vAlign w:val="center"/>
          </w:tcPr>
          <w:p w14:paraId="0E50012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t</w:t>
            </w:r>
          </w:p>
        </w:tc>
        <w:tc>
          <w:tcPr>
            <w:tcW w:w="616" w:type="dxa"/>
            <w:tcBorders>
              <w:top w:val="single" w:color="000000" w:sz="8" w:space="0"/>
              <w:left w:val="single" w:color="000000" w:sz="8" w:space="0"/>
              <w:bottom w:val="single" w:color="000000" w:sz="8" w:space="0"/>
              <w:right w:val="single" w:color="000000" w:sz="8" w:space="0"/>
            </w:tcBorders>
            <w:vAlign w:val="center"/>
          </w:tcPr>
          <w:p w14:paraId="4B2DD8F0">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4D6F3BC4">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3C1AC9A2">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44C6F56">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E08507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768" w:type="dxa"/>
            <w:tcBorders>
              <w:top w:val="single" w:color="000000" w:sz="8" w:space="0"/>
              <w:left w:val="single" w:color="000000" w:sz="8" w:space="0"/>
              <w:bottom w:val="single" w:color="000000" w:sz="8" w:space="0"/>
              <w:right w:val="single" w:color="000000" w:sz="8" w:space="0"/>
            </w:tcBorders>
            <w:vAlign w:val="center"/>
          </w:tcPr>
          <w:p w14:paraId="36B452AA">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石灰</w:t>
            </w:r>
          </w:p>
        </w:tc>
        <w:tc>
          <w:tcPr>
            <w:tcW w:w="3245" w:type="dxa"/>
            <w:tcBorders>
              <w:top w:val="single" w:color="000000" w:sz="8" w:space="0"/>
              <w:left w:val="single" w:color="000000" w:sz="8" w:space="0"/>
              <w:bottom w:val="single" w:color="000000" w:sz="8" w:space="0"/>
              <w:right w:val="single" w:color="000000" w:sz="8" w:space="0"/>
            </w:tcBorders>
            <w:vAlign w:val="center"/>
          </w:tcPr>
          <w:p w14:paraId="6DFFF3A1">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普通石灰</w:t>
            </w:r>
          </w:p>
        </w:tc>
        <w:tc>
          <w:tcPr>
            <w:tcW w:w="658" w:type="dxa"/>
            <w:tcBorders>
              <w:top w:val="single" w:color="000000" w:sz="8" w:space="0"/>
              <w:left w:val="single" w:color="000000" w:sz="8" w:space="0"/>
              <w:bottom w:val="single" w:color="000000" w:sz="8" w:space="0"/>
              <w:right w:val="single" w:color="000000" w:sz="8" w:space="0"/>
            </w:tcBorders>
            <w:vAlign w:val="center"/>
          </w:tcPr>
          <w:p w14:paraId="5E50A014">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t</w:t>
            </w:r>
          </w:p>
        </w:tc>
        <w:tc>
          <w:tcPr>
            <w:tcW w:w="616" w:type="dxa"/>
            <w:tcBorders>
              <w:top w:val="single" w:color="000000" w:sz="8" w:space="0"/>
              <w:left w:val="single" w:color="000000" w:sz="8" w:space="0"/>
              <w:bottom w:val="single" w:color="000000" w:sz="8" w:space="0"/>
              <w:right w:val="single" w:color="000000" w:sz="8" w:space="0"/>
            </w:tcBorders>
            <w:vAlign w:val="center"/>
          </w:tcPr>
          <w:p w14:paraId="20B9521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13772F7A">
            <w:pPr>
              <w:jc w:val="left"/>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51016A82">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FC60B62">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198C252">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768" w:type="dxa"/>
            <w:tcBorders>
              <w:top w:val="single" w:color="000000" w:sz="8" w:space="0"/>
              <w:left w:val="single" w:color="000000" w:sz="8" w:space="0"/>
              <w:bottom w:val="single" w:color="000000" w:sz="8" w:space="0"/>
              <w:right w:val="single" w:color="000000" w:sz="8" w:space="0"/>
            </w:tcBorders>
            <w:vAlign w:val="center"/>
          </w:tcPr>
          <w:p w14:paraId="078B66DF">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安全带</w:t>
            </w:r>
          </w:p>
        </w:tc>
        <w:tc>
          <w:tcPr>
            <w:tcW w:w="3245" w:type="dxa"/>
            <w:tcBorders>
              <w:top w:val="single" w:color="000000" w:sz="8" w:space="0"/>
              <w:left w:val="single" w:color="000000" w:sz="8" w:space="0"/>
              <w:bottom w:val="single" w:color="000000" w:sz="8" w:space="0"/>
              <w:right w:val="single" w:color="000000" w:sz="8" w:space="0"/>
            </w:tcBorders>
            <w:vAlign w:val="center"/>
          </w:tcPr>
          <w:p w14:paraId="5088D537">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承载500kg</w:t>
            </w:r>
          </w:p>
        </w:tc>
        <w:tc>
          <w:tcPr>
            <w:tcW w:w="658" w:type="dxa"/>
            <w:tcBorders>
              <w:top w:val="single" w:color="000000" w:sz="8" w:space="0"/>
              <w:left w:val="single" w:color="000000" w:sz="8" w:space="0"/>
              <w:bottom w:val="single" w:color="000000" w:sz="8" w:space="0"/>
              <w:right w:val="single" w:color="000000" w:sz="8" w:space="0"/>
            </w:tcBorders>
            <w:vAlign w:val="center"/>
          </w:tcPr>
          <w:p w14:paraId="51E48D7D">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条</w:t>
            </w:r>
          </w:p>
        </w:tc>
        <w:tc>
          <w:tcPr>
            <w:tcW w:w="616" w:type="dxa"/>
            <w:tcBorders>
              <w:top w:val="single" w:color="000000" w:sz="8" w:space="0"/>
              <w:left w:val="single" w:color="000000" w:sz="8" w:space="0"/>
              <w:bottom w:val="single" w:color="000000" w:sz="8" w:space="0"/>
              <w:right w:val="single" w:color="000000" w:sz="8" w:space="0"/>
            </w:tcBorders>
            <w:vAlign w:val="center"/>
          </w:tcPr>
          <w:p w14:paraId="49FF3AE5">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w:t>
            </w:r>
          </w:p>
        </w:tc>
        <w:tc>
          <w:tcPr>
            <w:tcW w:w="1623" w:type="dxa"/>
            <w:tcBorders>
              <w:top w:val="single" w:color="000000" w:sz="8" w:space="0"/>
              <w:left w:val="single" w:color="000000" w:sz="8" w:space="0"/>
              <w:bottom w:val="single" w:color="000000" w:sz="8" w:space="0"/>
              <w:right w:val="single" w:color="000000" w:sz="8" w:space="0"/>
            </w:tcBorders>
            <w:vAlign w:val="center"/>
          </w:tcPr>
          <w:p w14:paraId="61B2B641">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1AD6007">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97D9D0E">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63195E3A">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768" w:type="dxa"/>
            <w:tcBorders>
              <w:top w:val="single" w:color="000000" w:sz="8" w:space="0"/>
              <w:left w:val="single" w:color="000000" w:sz="8" w:space="0"/>
              <w:bottom w:val="single" w:color="000000" w:sz="8" w:space="0"/>
              <w:right w:val="single" w:color="000000" w:sz="8" w:space="0"/>
            </w:tcBorders>
            <w:vAlign w:val="center"/>
          </w:tcPr>
          <w:p w14:paraId="05400AA2">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绳梯</w:t>
            </w:r>
          </w:p>
        </w:tc>
        <w:tc>
          <w:tcPr>
            <w:tcW w:w="3245" w:type="dxa"/>
            <w:tcBorders>
              <w:top w:val="single" w:color="000000" w:sz="8" w:space="0"/>
              <w:left w:val="single" w:color="000000" w:sz="8" w:space="0"/>
              <w:bottom w:val="single" w:color="000000" w:sz="8" w:space="0"/>
              <w:right w:val="single" w:color="000000" w:sz="8" w:space="0"/>
            </w:tcBorders>
            <w:vAlign w:val="center"/>
          </w:tcPr>
          <w:p w14:paraId="6B1E3FA4">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负载100kg</w:t>
            </w:r>
          </w:p>
        </w:tc>
        <w:tc>
          <w:tcPr>
            <w:tcW w:w="658" w:type="dxa"/>
            <w:tcBorders>
              <w:top w:val="single" w:color="000000" w:sz="8" w:space="0"/>
              <w:left w:val="single" w:color="000000" w:sz="8" w:space="0"/>
              <w:bottom w:val="single" w:color="000000" w:sz="8" w:space="0"/>
              <w:right w:val="single" w:color="000000" w:sz="8" w:space="0"/>
            </w:tcBorders>
            <w:vAlign w:val="center"/>
          </w:tcPr>
          <w:p w14:paraId="16F68DA2">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副</w:t>
            </w:r>
          </w:p>
        </w:tc>
        <w:tc>
          <w:tcPr>
            <w:tcW w:w="616" w:type="dxa"/>
            <w:tcBorders>
              <w:top w:val="single" w:color="000000" w:sz="8" w:space="0"/>
              <w:left w:val="single" w:color="000000" w:sz="8" w:space="0"/>
              <w:bottom w:val="single" w:color="000000" w:sz="8" w:space="0"/>
              <w:right w:val="single" w:color="000000" w:sz="8" w:space="0"/>
            </w:tcBorders>
            <w:vAlign w:val="center"/>
          </w:tcPr>
          <w:p w14:paraId="4B974BA9">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2FEA96EF">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798CA90C">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16EF2B8E">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54932F00">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27</w:t>
            </w:r>
          </w:p>
        </w:tc>
        <w:tc>
          <w:tcPr>
            <w:tcW w:w="1768" w:type="dxa"/>
            <w:tcBorders>
              <w:top w:val="single" w:color="000000" w:sz="8" w:space="0"/>
              <w:left w:val="single" w:color="000000" w:sz="8" w:space="0"/>
              <w:bottom w:val="single" w:color="000000" w:sz="8" w:space="0"/>
              <w:right w:val="single" w:color="000000" w:sz="8" w:space="0"/>
            </w:tcBorders>
            <w:vAlign w:val="center"/>
          </w:tcPr>
          <w:p w14:paraId="22EC09BB">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镀锌钢丝绳</w:t>
            </w:r>
          </w:p>
        </w:tc>
        <w:tc>
          <w:tcPr>
            <w:tcW w:w="3245" w:type="dxa"/>
            <w:tcBorders>
              <w:top w:val="single" w:color="000000" w:sz="8" w:space="0"/>
              <w:left w:val="single" w:color="000000" w:sz="8" w:space="0"/>
              <w:bottom w:val="single" w:color="000000" w:sz="8" w:space="0"/>
              <w:right w:val="single" w:color="000000" w:sz="8" w:space="0"/>
            </w:tcBorders>
            <w:vAlign w:val="center"/>
          </w:tcPr>
          <w:p w14:paraId="30804957">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φ12mm</w:t>
            </w:r>
          </w:p>
        </w:tc>
        <w:tc>
          <w:tcPr>
            <w:tcW w:w="658" w:type="dxa"/>
            <w:tcBorders>
              <w:top w:val="single" w:color="000000" w:sz="8" w:space="0"/>
              <w:left w:val="single" w:color="000000" w:sz="8" w:space="0"/>
              <w:bottom w:val="single" w:color="000000" w:sz="8" w:space="0"/>
              <w:right w:val="single" w:color="000000" w:sz="8" w:space="0"/>
            </w:tcBorders>
            <w:vAlign w:val="center"/>
          </w:tcPr>
          <w:p w14:paraId="7D8FD882">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m</w:t>
            </w:r>
          </w:p>
        </w:tc>
        <w:tc>
          <w:tcPr>
            <w:tcW w:w="616" w:type="dxa"/>
            <w:tcBorders>
              <w:top w:val="single" w:color="000000" w:sz="8" w:space="0"/>
              <w:left w:val="single" w:color="000000" w:sz="8" w:space="0"/>
              <w:bottom w:val="single" w:color="000000" w:sz="8" w:space="0"/>
              <w:right w:val="single" w:color="000000" w:sz="8" w:space="0"/>
            </w:tcBorders>
            <w:vAlign w:val="center"/>
          </w:tcPr>
          <w:p w14:paraId="0472763A">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200</w:t>
            </w:r>
          </w:p>
        </w:tc>
        <w:tc>
          <w:tcPr>
            <w:tcW w:w="1623" w:type="dxa"/>
            <w:tcBorders>
              <w:top w:val="single" w:color="000000" w:sz="8" w:space="0"/>
              <w:left w:val="single" w:color="000000" w:sz="8" w:space="0"/>
              <w:bottom w:val="single" w:color="000000" w:sz="8" w:space="0"/>
              <w:right w:val="single" w:color="000000" w:sz="8" w:space="0"/>
            </w:tcBorders>
            <w:vAlign w:val="center"/>
          </w:tcPr>
          <w:p w14:paraId="21B5D84D">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21C2FF86">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1FFC8198">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7F63297">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768" w:type="dxa"/>
            <w:tcBorders>
              <w:top w:val="single" w:color="000000" w:sz="8" w:space="0"/>
              <w:left w:val="single" w:color="000000" w:sz="8" w:space="0"/>
              <w:bottom w:val="single" w:color="000000" w:sz="8" w:space="0"/>
              <w:right w:val="single" w:color="000000" w:sz="8" w:space="0"/>
            </w:tcBorders>
            <w:vAlign w:val="center"/>
          </w:tcPr>
          <w:p w14:paraId="01043477">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麻袋或塑料纺织袋</w:t>
            </w:r>
          </w:p>
        </w:tc>
        <w:tc>
          <w:tcPr>
            <w:tcW w:w="3245" w:type="dxa"/>
            <w:tcBorders>
              <w:top w:val="single" w:color="000000" w:sz="8" w:space="0"/>
              <w:left w:val="single" w:color="000000" w:sz="8" w:space="0"/>
              <w:bottom w:val="single" w:color="000000" w:sz="8" w:space="0"/>
              <w:right w:val="single" w:color="000000" w:sz="8" w:space="0"/>
            </w:tcBorders>
            <w:vAlign w:val="center"/>
          </w:tcPr>
          <w:p w14:paraId="3B226D58">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107cm×74cm</w:t>
            </w:r>
          </w:p>
        </w:tc>
        <w:tc>
          <w:tcPr>
            <w:tcW w:w="658" w:type="dxa"/>
            <w:tcBorders>
              <w:top w:val="single" w:color="000000" w:sz="8" w:space="0"/>
              <w:left w:val="single" w:color="000000" w:sz="8" w:space="0"/>
              <w:bottom w:val="single" w:color="000000" w:sz="8" w:space="0"/>
              <w:right w:val="single" w:color="000000" w:sz="8" w:space="0"/>
            </w:tcBorders>
            <w:vAlign w:val="center"/>
          </w:tcPr>
          <w:p w14:paraId="7AA293CF">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条</w:t>
            </w:r>
          </w:p>
        </w:tc>
        <w:tc>
          <w:tcPr>
            <w:tcW w:w="616" w:type="dxa"/>
            <w:tcBorders>
              <w:top w:val="single" w:color="000000" w:sz="8" w:space="0"/>
              <w:left w:val="single" w:color="000000" w:sz="8" w:space="0"/>
              <w:bottom w:val="single" w:color="000000" w:sz="8" w:space="0"/>
              <w:right w:val="single" w:color="000000" w:sz="8" w:space="0"/>
            </w:tcBorders>
            <w:vAlign w:val="center"/>
          </w:tcPr>
          <w:p w14:paraId="582A40CF">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623" w:type="dxa"/>
            <w:tcBorders>
              <w:top w:val="single" w:color="000000" w:sz="8" w:space="0"/>
              <w:left w:val="single" w:color="000000" w:sz="8" w:space="0"/>
              <w:bottom w:val="single" w:color="000000" w:sz="8" w:space="0"/>
              <w:right w:val="single" w:color="000000" w:sz="8" w:space="0"/>
            </w:tcBorders>
            <w:vAlign w:val="center"/>
          </w:tcPr>
          <w:p w14:paraId="3E62C940">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3A1A5D11">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6C1FA747">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1659D92">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29</w:t>
            </w:r>
          </w:p>
        </w:tc>
        <w:tc>
          <w:tcPr>
            <w:tcW w:w="1768" w:type="dxa"/>
            <w:tcBorders>
              <w:top w:val="single" w:color="000000" w:sz="8" w:space="0"/>
              <w:left w:val="single" w:color="000000" w:sz="8" w:space="0"/>
              <w:bottom w:val="single" w:color="000000" w:sz="8" w:space="0"/>
              <w:right w:val="single" w:color="000000" w:sz="8" w:space="0"/>
            </w:tcBorders>
            <w:vAlign w:val="center"/>
          </w:tcPr>
          <w:p w14:paraId="7ED332C9">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砖</w:t>
            </w:r>
          </w:p>
        </w:tc>
        <w:tc>
          <w:tcPr>
            <w:tcW w:w="3245" w:type="dxa"/>
            <w:tcBorders>
              <w:top w:val="single" w:color="000000" w:sz="8" w:space="0"/>
              <w:left w:val="single" w:color="000000" w:sz="8" w:space="0"/>
              <w:bottom w:val="single" w:color="000000" w:sz="8" w:space="0"/>
              <w:right w:val="single" w:color="000000" w:sz="8" w:space="0"/>
            </w:tcBorders>
            <w:vAlign w:val="center"/>
          </w:tcPr>
          <w:p w14:paraId="718B8ACF">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240mm×115mm×53mm</w:t>
            </w:r>
          </w:p>
        </w:tc>
        <w:tc>
          <w:tcPr>
            <w:tcW w:w="658" w:type="dxa"/>
            <w:tcBorders>
              <w:top w:val="single" w:color="000000" w:sz="8" w:space="0"/>
              <w:left w:val="single" w:color="000000" w:sz="8" w:space="0"/>
              <w:bottom w:val="single" w:color="000000" w:sz="8" w:space="0"/>
              <w:right w:val="single" w:color="000000" w:sz="8" w:space="0"/>
            </w:tcBorders>
            <w:vAlign w:val="center"/>
          </w:tcPr>
          <w:p w14:paraId="22F65044">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616" w:type="dxa"/>
            <w:tcBorders>
              <w:top w:val="single" w:color="000000" w:sz="8" w:space="0"/>
              <w:left w:val="single" w:color="000000" w:sz="8" w:space="0"/>
              <w:bottom w:val="single" w:color="000000" w:sz="8" w:space="0"/>
              <w:right w:val="single" w:color="000000" w:sz="8" w:space="0"/>
            </w:tcBorders>
            <w:vAlign w:val="center"/>
          </w:tcPr>
          <w:p w14:paraId="63AE05BB">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4500</w:t>
            </w:r>
          </w:p>
        </w:tc>
        <w:tc>
          <w:tcPr>
            <w:tcW w:w="1623" w:type="dxa"/>
            <w:tcBorders>
              <w:top w:val="single" w:color="000000" w:sz="8" w:space="0"/>
              <w:left w:val="single" w:color="000000" w:sz="8" w:space="0"/>
              <w:bottom w:val="single" w:color="000000" w:sz="8" w:space="0"/>
              <w:right w:val="single" w:color="000000" w:sz="8" w:space="0"/>
            </w:tcBorders>
            <w:vAlign w:val="center"/>
          </w:tcPr>
          <w:p w14:paraId="6076A3DF">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7D9979A7">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11B2D7B9">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64928DC">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768" w:type="dxa"/>
            <w:tcBorders>
              <w:top w:val="single" w:color="000000" w:sz="8" w:space="0"/>
              <w:left w:val="single" w:color="000000" w:sz="8" w:space="0"/>
              <w:bottom w:val="single" w:color="000000" w:sz="8" w:space="0"/>
              <w:right w:val="single" w:color="000000" w:sz="8" w:space="0"/>
            </w:tcBorders>
            <w:vAlign w:val="center"/>
          </w:tcPr>
          <w:p w14:paraId="11562F7C">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砂子</w:t>
            </w:r>
          </w:p>
        </w:tc>
        <w:tc>
          <w:tcPr>
            <w:tcW w:w="3245" w:type="dxa"/>
            <w:tcBorders>
              <w:top w:val="single" w:color="000000" w:sz="8" w:space="0"/>
              <w:left w:val="single" w:color="000000" w:sz="8" w:space="0"/>
              <w:bottom w:val="single" w:color="000000" w:sz="8" w:space="0"/>
              <w:right w:val="single" w:color="000000" w:sz="8" w:space="0"/>
            </w:tcBorders>
            <w:vAlign w:val="center"/>
          </w:tcPr>
          <w:p w14:paraId="5AA55EFF">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细砂</w:t>
            </w:r>
          </w:p>
        </w:tc>
        <w:tc>
          <w:tcPr>
            <w:tcW w:w="658" w:type="dxa"/>
            <w:tcBorders>
              <w:top w:val="single" w:color="000000" w:sz="8" w:space="0"/>
              <w:left w:val="single" w:color="000000" w:sz="8" w:space="0"/>
              <w:bottom w:val="single" w:color="000000" w:sz="8" w:space="0"/>
              <w:right w:val="single" w:color="000000" w:sz="8" w:space="0"/>
            </w:tcBorders>
            <w:vAlign w:val="center"/>
          </w:tcPr>
          <w:p w14:paraId="17A53967">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m³</w:t>
            </w:r>
          </w:p>
        </w:tc>
        <w:tc>
          <w:tcPr>
            <w:tcW w:w="616" w:type="dxa"/>
            <w:tcBorders>
              <w:top w:val="single" w:color="000000" w:sz="8" w:space="0"/>
              <w:left w:val="single" w:color="000000" w:sz="8" w:space="0"/>
              <w:bottom w:val="single" w:color="000000" w:sz="8" w:space="0"/>
              <w:right w:val="single" w:color="000000" w:sz="8" w:space="0"/>
            </w:tcBorders>
            <w:vAlign w:val="center"/>
          </w:tcPr>
          <w:p w14:paraId="00AB6C49">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3</w:t>
            </w:r>
          </w:p>
        </w:tc>
        <w:tc>
          <w:tcPr>
            <w:tcW w:w="1623" w:type="dxa"/>
            <w:tcBorders>
              <w:top w:val="single" w:color="000000" w:sz="8" w:space="0"/>
              <w:left w:val="single" w:color="000000" w:sz="8" w:space="0"/>
              <w:bottom w:val="single" w:color="000000" w:sz="8" w:space="0"/>
              <w:right w:val="single" w:color="000000" w:sz="8" w:space="0"/>
            </w:tcBorders>
            <w:vAlign w:val="center"/>
          </w:tcPr>
          <w:p w14:paraId="241A4FB1">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49233D36">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6CB040E4">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39250025">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31</w:t>
            </w:r>
          </w:p>
        </w:tc>
        <w:tc>
          <w:tcPr>
            <w:tcW w:w="1768" w:type="dxa"/>
            <w:tcBorders>
              <w:top w:val="single" w:color="000000" w:sz="8" w:space="0"/>
              <w:left w:val="single" w:color="000000" w:sz="8" w:space="0"/>
              <w:bottom w:val="single" w:color="000000" w:sz="8" w:space="0"/>
              <w:right w:val="single" w:color="000000" w:sz="8" w:space="0"/>
            </w:tcBorders>
            <w:vAlign w:val="center"/>
          </w:tcPr>
          <w:p w14:paraId="419333E3">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圆木</w:t>
            </w:r>
          </w:p>
        </w:tc>
        <w:tc>
          <w:tcPr>
            <w:tcW w:w="3245" w:type="dxa"/>
            <w:tcBorders>
              <w:top w:val="single" w:color="000000" w:sz="8" w:space="0"/>
              <w:left w:val="single" w:color="000000" w:sz="8" w:space="0"/>
              <w:bottom w:val="single" w:color="000000" w:sz="8" w:space="0"/>
              <w:right w:val="single" w:color="000000" w:sz="8" w:space="0"/>
            </w:tcBorders>
            <w:vAlign w:val="center"/>
          </w:tcPr>
          <w:p w14:paraId="4493FC92">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长3m，φ10cm</w:t>
            </w:r>
          </w:p>
        </w:tc>
        <w:tc>
          <w:tcPr>
            <w:tcW w:w="658" w:type="dxa"/>
            <w:tcBorders>
              <w:top w:val="single" w:color="000000" w:sz="8" w:space="0"/>
              <w:left w:val="single" w:color="000000" w:sz="8" w:space="0"/>
              <w:bottom w:val="single" w:color="000000" w:sz="8" w:space="0"/>
              <w:right w:val="single" w:color="000000" w:sz="8" w:space="0"/>
            </w:tcBorders>
            <w:vAlign w:val="center"/>
          </w:tcPr>
          <w:p w14:paraId="69817A25">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m³</w:t>
            </w:r>
          </w:p>
        </w:tc>
        <w:tc>
          <w:tcPr>
            <w:tcW w:w="616" w:type="dxa"/>
            <w:tcBorders>
              <w:top w:val="single" w:color="000000" w:sz="8" w:space="0"/>
              <w:left w:val="single" w:color="000000" w:sz="8" w:space="0"/>
              <w:bottom w:val="single" w:color="000000" w:sz="8" w:space="0"/>
              <w:right w:val="single" w:color="000000" w:sz="8" w:space="0"/>
            </w:tcBorders>
            <w:vAlign w:val="center"/>
          </w:tcPr>
          <w:p w14:paraId="57E02E4C">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29E14A4F">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13FF9F3E">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07D58E65">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FA02938">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768" w:type="dxa"/>
            <w:tcBorders>
              <w:top w:val="single" w:color="000000" w:sz="8" w:space="0"/>
              <w:left w:val="single" w:color="000000" w:sz="8" w:space="0"/>
              <w:bottom w:val="single" w:color="000000" w:sz="8" w:space="0"/>
              <w:right w:val="single" w:color="000000" w:sz="8" w:space="0"/>
            </w:tcBorders>
            <w:vAlign w:val="center"/>
          </w:tcPr>
          <w:p w14:paraId="21FD7316">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木板</w:t>
            </w:r>
          </w:p>
        </w:tc>
        <w:tc>
          <w:tcPr>
            <w:tcW w:w="3245" w:type="dxa"/>
            <w:tcBorders>
              <w:top w:val="single" w:color="000000" w:sz="8" w:space="0"/>
              <w:left w:val="single" w:color="000000" w:sz="8" w:space="0"/>
              <w:bottom w:val="single" w:color="000000" w:sz="8" w:space="0"/>
              <w:right w:val="single" w:color="000000" w:sz="8" w:space="0"/>
            </w:tcBorders>
            <w:vAlign w:val="center"/>
          </w:tcPr>
          <w:p w14:paraId="1739773E">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厚15mm～30mm</w:t>
            </w:r>
          </w:p>
        </w:tc>
        <w:tc>
          <w:tcPr>
            <w:tcW w:w="658" w:type="dxa"/>
            <w:tcBorders>
              <w:top w:val="single" w:color="000000" w:sz="8" w:space="0"/>
              <w:left w:val="single" w:color="000000" w:sz="8" w:space="0"/>
              <w:bottom w:val="single" w:color="000000" w:sz="8" w:space="0"/>
              <w:right w:val="single" w:color="000000" w:sz="8" w:space="0"/>
            </w:tcBorders>
            <w:vAlign w:val="center"/>
          </w:tcPr>
          <w:p w14:paraId="538E43EF">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m³</w:t>
            </w:r>
          </w:p>
        </w:tc>
        <w:tc>
          <w:tcPr>
            <w:tcW w:w="616" w:type="dxa"/>
            <w:tcBorders>
              <w:top w:val="single" w:color="000000" w:sz="8" w:space="0"/>
              <w:left w:val="single" w:color="000000" w:sz="8" w:space="0"/>
              <w:bottom w:val="single" w:color="000000" w:sz="8" w:space="0"/>
              <w:right w:val="single" w:color="000000" w:sz="8" w:space="0"/>
            </w:tcBorders>
            <w:vAlign w:val="center"/>
          </w:tcPr>
          <w:p w14:paraId="62FB46DC">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w:t>
            </w:r>
          </w:p>
        </w:tc>
        <w:tc>
          <w:tcPr>
            <w:tcW w:w="1623" w:type="dxa"/>
            <w:tcBorders>
              <w:top w:val="single" w:color="000000" w:sz="8" w:space="0"/>
              <w:left w:val="single" w:color="000000" w:sz="8" w:space="0"/>
              <w:bottom w:val="single" w:color="000000" w:sz="8" w:space="0"/>
              <w:right w:val="single" w:color="000000" w:sz="8" w:space="0"/>
            </w:tcBorders>
            <w:vAlign w:val="center"/>
          </w:tcPr>
          <w:p w14:paraId="17F52BD7">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25C091BA">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32F0A984">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13D1D693">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33</w:t>
            </w:r>
          </w:p>
        </w:tc>
        <w:tc>
          <w:tcPr>
            <w:tcW w:w="1768" w:type="dxa"/>
            <w:tcBorders>
              <w:top w:val="single" w:color="000000" w:sz="8" w:space="0"/>
              <w:left w:val="single" w:color="000000" w:sz="8" w:space="0"/>
              <w:bottom w:val="single" w:color="000000" w:sz="8" w:space="0"/>
              <w:right w:val="single" w:color="000000" w:sz="8" w:space="0"/>
            </w:tcBorders>
            <w:vAlign w:val="center"/>
          </w:tcPr>
          <w:p w14:paraId="1FCAC577">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铁钉</w:t>
            </w:r>
          </w:p>
        </w:tc>
        <w:tc>
          <w:tcPr>
            <w:tcW w:w="3245" w:type="dxa"/>
            <w:tcBorders>
              <w:top w:val="single" w:color="000000" w:sz="8" w:space="0"/>
              <w:left w:val="single" w:color="000000" w:sz="8" w:space="0"/>
              <w:bottom w:val="single" w:color="000000" w:sz="8" w:space="0"/>
              <w:right w:val="single" w:color="000000" w:sz="8" w:space="0"/>
            </w:tcBorders>
            <w:vAlign w:val="center"/>
          </w:tcPr>
          <w:p w14:paraId="635A92A2">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2″、3″、4″</w:t>
            </w:r>
          </w:p>
        </w:tc>
        <w:tc>
          <w:tcPr>
            <w:tcW w:w="658" w:type="dxa"/>
            <w:tcBorders>
              <w:top w:val="single" w:color="000000" w:sz="8" w:space="0"/>
              <w:left w:val="single" w:color="000000" w:sz="8" w:space="0"/>
              <w:bottom w:val="single" w:color="000000" w:sz="8" w:space="0"/>
              <w:right w:val="single" w:color="000000" w:sz="8" w:space="0"/>
            </w:tcBorders>
            <w:vAlign w:val="center"/>
          </w:tcPr>
          <w:p w14:paraId="4337F4F4">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kg</w:t>
            </w:r>
          </w:p>
        </w:tc>
        <w:tc>
          <w:tcPr>
            <w:tcW w:w="616" w:type="dxa"/>
            <w:tcBorders>
              <w:top w:val="single" w:color="000000" w:sz="8" w:space="0"/>
              <w:left w:val="single" w:color="000000" w:sz="8" w:space="0"/>
              <w:bottom w:val="single" w:color="000000" w:sz="8" w:space="0"/>
              <w:right w:val="single" w:color="000000" w:sz="8" w:space="0"/>
            </w:tcBorders>
            <w:vAlign w:val="center"/>
          </w:tcPr>
          <w:p w14:paraId="095E1A9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623" w:type="dxa"/>
            <w:tcBorders>
              <w:top w:val="single" w:color="000000" w:sz="8" w:space="0"/>
              <w:left w:val="single" w:color="000000" w:sz="8" w:space="0"/>
              <w:bottom w:val="single" w:color="000000" w:sz="8" w:space="0"/>
              <w:right w:val="single" w:color="000000" w:sz="8" w:space="0"/>
            </w:tcBorders>
            <w:vAlign w:val="center"/>
          </w:tcPr>
          <w:p w14:paraId="6758120E">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0A0C0BCA">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7BB19E0D">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29972649">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34</w:t>
            </w:r>
          </w:p>
        </w:tc>
        <w:tc>
          <w:tcPr>
            <w:tcW w:w="1768" w:type="dxa"/>
            <w:tcBorders>
              <w:top w:val="single" w:color="000000" w:sz="8" w:space="0"/>
              <w:left w:val="single" w:color="000000" w:sz="8" w:space="0"/>
              <w:bottom w:val="single" w:color="000000" w:sz="8" w:space="0"/>
              <w:right w:val="single" w:color="000000" w:sz="8" w:space="0"/>
            </w:tcBorders>
            <w:vAlign w:val="center"/>
          </w:tcPr>
          <w:p w14:paraId="134B3028">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斧头</w:t>
            </w:r>
          </w:p>
        </w:tc>
        <w:tc>
          <w:tcPr>
            <w:tcW w:w="3245" w:type="dxa"/>
            <w:tcBorders>
              <w:top w:val="single" w:color="000000" w:sz="8" w:space="0"/>
              <w:left w:val="single" w:color="000000" w:sz="8" w:space="0"/>
              <w:bottom w:val="single" w:color="000000" w:sz="8" w:space="0"/>
              <w:right w:val="single" w:color="000000" w:sz="8" w:space="0"/>
            </w:tcBorders>
            <w:vAlign w:val="center"/>
          </w:tcPr>
          <w:p w14:paraId="6CAD242A">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防爆铜斧</w:t>
            </w:r>
          </w:p>
        </w:tc>
        <w:tc>
          <w:tcPr>
            <w:tcW w:w="658" w:type="dxa"/>
            <w:tcBorders>
              <w:top w:val="single" w:color="000000" w:sz="8" w:space="0"/>
              <w:left w:val="single" w:color="000000" w:sz="8" w:space="0"/>
              <w:bottom w:val="single" w:color="000000" w:sz="8" w:space="0"/>
              <w:right w:val="single" w:color="000000" w:sz="8" w:space="0"/>
            </w:tcBorders>
            <w:vAlign w:val="center"/>
          </w:tcPr>
          <w:p w14:paraId="40F26800">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把</w:t>
            </w:r>
          </w:p>
        </w:tc>
        <w:tc>
          <w:tcPr>
            <w:tcW w:w="616" w:type="dxa"/>
            <w:tcBorders>
              <w:top w:val="single" w:color="000000" w:sz="8" w:space="0"/>
              <w:left w:val="single" w:color="000000" w:sz="8" w:space="0"/>
              <w:bottom w:val="single" w:color="000000" w:sz="8" w:space="0"/>
              <w:right w:val="single" w:color="000000" w:sz="8" w:space="0"/>
            </w:tcBorders>
            <w:vAlign w:val="center"/>
          </w:tcPr>
          <w:p w14:paraId="7AD50306">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1623" w:type="dxa"/>
            <w:tcBorders>
              <w:top w:val="single" w:color="000000" w:sz="8" w:space="0"/>
              <w:left w:val="single" w:color="000000" w:sz="8" w:space="0"/>
              <w:bottom w:val="single" w:color="000000" w:sz="8" w:space="0"/>
              <w:right w:val="single" w:color="000000" w:sz="8" w:space="0"/>
            </w:tcBorders>
            <w:vAlign w:val="center"/>
          </w:tcPr>
          <w:p w14:paraId="50022573">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67753B08">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12166BDE">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7D9A98C4">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768" w:type="dxa"/>
            <w:tcBorders>
              <w:top w:val="single" w:color="000000" w:sz="8" w:space="0"/>
              <w:left w:val="single" w:color="000000" w:sz="8" w:space="0"/>
              <w:bottom w:val="single" w:color="000000" w:sz="8" w:space="0"/>
              <w:right w:val="single" w:color="000000" w:sz="8" w:space="0"/>
            </w:tcBorders>
            <w:vAlign w:val="center"/>
          </w:tcPr>
          <w:p w14:paraId="49B6A83A">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平板锹</w:t>
            </w:r>
          </w:p>
        </w:tc>
        <w:tc>
          <w:tcPr>
            <w:tcW w:w="3245" w:type="dxa"/>
            <w:tcBorders>
              <w:top w:val="single" w:color="000000" w:sz="8" w:space="0"/>
              <w:left w:val="single" w:color="000000" w:sz="8" w:space="0"/>
              <w:bottom w:val="single" w:color="000000" w:sz="8" w:space="0"/>
              <w:right w:val="single" w:color="000000" w:sz="8" w:space="0"/>
            </w:tcBorders>
            <w:vAlign w:val="center"/>
          </w:tcPr>
          <w:p w14:paraId="21BCA1AD">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铜质</w:t>
            </w:r>
          </w:p>
        </w:tc>
        <w:tc>
          <w:tcPr>
            <w:tcW w:w="658" w:type="dxa"/>
            <w:tcBorders>
              <w:top w:val="single" w:color="000000" w:sz="8" w:space="0"/>
              <w:left w:val="single" w:color="000000" w:sz="8" w:space="0"/>
              <w:bottom w:val="single" w:color="000000" w:sz="8" w:space="0"/>
              <w:right w:val="single" w:color="000000" w:sz="8" w:space="0"/>
            </w:tcBorders>
            <w:vAlign w:val="center"/>
          </w:tcPr>
          <w:p w14:paraId="44B2FAA2">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把</w:t>
            </w:r>
          </w:p>
        </w:tc>
        <w:tc>
          <w:tcPr>
            <w:tcW w:w="616" w:type="dxa"/>
            <w:tcBorders>
              <w:top w:val="single" w:color="000000" w:sz="8" w:space="0"/>
              <w:left w:val="single" w:color="000000" w:sz="8" w:space="0"/>
              <w:bottom w:val="single" w:color="000000" w:sz="8" w:space="0"/>
              <w:right w:val="single" w:color="000000" w:sz="8" w:space="0"/>
            </w:tcBorders>
            <w:vAlign w:val="center"/>
          </w:tcPr>
          <w:p w14:paraId="6FBFFEAD">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w:t>
            </w:r>
          </w:p>
        </w:tc>
        <w:tc>
          <w:tcPr>
            <w:tcW w:w="1623" w:type="dxa"/>
            <w:tcBorders>
              <w:top w:val="single" w:color="000000" w:sz="8" w:space="0"/>
              <w:left w:val="single" w:color="000000" w:sz="8" w:space="0"/>
              <w:bottom w:val="single" w:color="000000" w:sz="8" w:space="0"/>
              <w:right w:val="single" w:color="000000" w:sz="8" w:space="0"/>
            </w:tcBorders>
            <w:vAlign w:val="center"/>
          </w:tcPr>
          <w:p w14:paraId="1489A902">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06FFE4CA">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3B3FB56">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68979C3F">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36</w:t>
            </w:r>
          </w:p>
        </w:tc>
        <w:tc>
          <w:tcPr>
            <w:tcW w:w="1768" w:type="dxa"/>
            <w:tcBorders>
              <w:top w:val="single" w:color="000000" w:sz="8" w:space="0"/>
              <w:left w:val="single" w:color="000000" w:sz="8" w:space="0"/>
              <w:bottom w:val="single" w:color="000000" w:sz="8" w:space="0"/>
              <w:right w:val="single" w:color="000000" w:sz="8" w:space="0"/>
            </w:tcBorders>
            <w:vAlign w:val="center"/>
          </w:tcPr>
          <w:p w14:paraId="2A615301">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手动水泵</w:t>
            </w:r>
          </w:p>
        </w:tc>
        <w:tc>
          <w:tcPr>
            <w:tcW w:w="3245" w:type="dxa"/>
            <w:tcBorders>
              <w:top w:val="single" w:color="000000" w:sz="8" w:space="0"/>
              <w:left w:val="single" w:color="000000" w:sz="8" w:space="0"/>
              <w:bottom w:val="single" w:color="000000" w:sz="8" w:space="0"/>
              <w:right w:val="single" w:color="000000" w:sz="8" w:space="0"/>
            </w:tcBorders>
            <w:vAlign w:val="center"/>
          </w:tcPr>
          <w:p w14:paraId="560CCD4E">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流量≥10m³/h</w:t>
            </w:r>
          </w:p>
        </w:tc>
        <w:tc>
          <w:tcPr>
            <w:tcW w:w="658" w:type="dxa"/>
            <w:tcBorders>
              <w:top w:val="single" w:color="000000" w:sz="8" w:space="0"/>
              <w:left w:val="single" w:color="000000" w:sz="8" w:space="0"/>
              <w:bottom w:val="single" w:color="000000" w:sz="8" w:space="0"/>
              <w:right w:val="single" w:color="000000" w:sz="8" w:space="0"/>
            </w:tcBorders>
            <w:vAlign w:val="center"/>
          </w:tcPr>
          <w:p w14:paraId="47F3D71E">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616" w:type="dxa"/>
            <w:tcBorders>
              <w:top w:val="single" w:color="000000" w:sz="8" w:space="0"/>
              <w:left w:val="single" w:color="000000" w:sz="8" w:space="0"/>
              <w:bottom w:val="single" w:color="000000" w:sz="8" w:space="0"/>
              <w:right w:val="single" w:color="000000" w:sz="8" w:space="0"/>
            </w:tcBorders>
            <w:vAlign w:val="center"/>
          </w:tcPr>
          <w:p w14:paraId="32FDD013">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1623" w:type="dxa"/>
            <w:tcBorders>
              <w:top w:val="single" w:color="000000" w:sz="8" w:space="0"/>
              <w:left w:val="single" w:color="000000" w:sz="8" w:space="0"/>
              <w:bottom w:val="single" w:color="000000" w:sz="8" w:space="0"/>
              <w:right w:val="single" w:color="000000" w:sz="8" w:space="0"/>
            </w:tcBorders>
            <w:vAlign w:val="center"/>
          </w:tcPr>
          <w:p w14:paraId="66F9BB3E">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6D8AB7E1">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5133243">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4325CD0F">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37</w:t>
            </w:r>
          </w:p>
        </w:tc>
        <w:tc>
          <w:tcPr>
            <w:tcW w:w="1768" w:type="dxa"/>
            <w:tcBorders>
              <w:top w:val="single" w:color="000000" w:sz="8" w:space="0"/>
              <w:left w:val="single" w:color="000000" w:sz="8" w:space="0"/>
              <w:bottom w:val="single" w:color="000000" w:sz="8" w:space="0"/>
              <w:right w:val="single" w:color="000000" w:sz="8" w:space="0"/>
            </w:tcBorders>
            <w:vAlign w:val="center"/>
          </w:tcPr>
          <w:p w14:paraId="5498CD8D">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水桶</w:t>
            </w:r>
          </w:p>
        </w:tc>
        <w:tc>
          <w:tcPr>
            <w:tcW w:w="3245" w:type="dxa"/>
            <w:tcBorders>
              <w:top w:val="single" w:color="000000" w:sz="8" w:space="0"/>
              <w:left w:val="single" w:color="000000" w:sz="8" w:space="0"/>
              <w:bottom w:val="single" w:color="000000" w:sz="8" w:space="0"/>
              <w:right w:val="single" w:color="000000" w:sz="8" w:space="0"/>
            </w:tcBorders>
            <w:vAlign w:val="center"/>
          </w:tcPr>
          <w:p w14:paraId="0C186597">
            <w:pPr>
              <w:keepNext w:val="0"/>
              <w:keepLines w:val="0"/>
              <w:widowControl/>
              <w:suppressLineNumbers w:val="0"/>
              <w:jc w:val="left"/>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50L</w:t>
            </w:r>
          </w:p>
        </w:tc>
        <w:tc>
          <w:tcPr>
            <w:tcW w:w="658" w:type="dxa"/>
            <w:tcBorders>
              <w:top w:val="single" w:color="000000" w:sz="8" w:space="0"/>
              <w:left w:val="single" w:color="000000" w:sz="8" w:space="0"/>
              <w:bottom w:val="single" w:color="000000" w:sz="8" w:space="0"/>
              <w:right w:val="single" w:color="000000" w:sz="8" w:space="0"/>
            </w:tcBorders>
            <w:vAlign w:val="center"/>
          </w:tcPr>
          <w:p w14:paraId="0382F3BE">
            <w:pPr>
              <w:keepNext w:val="0"/>
              <w:keepLines w:val="0"/>
              <w:widowControl/>
              <w:suppressLineNumbers w:val="0"/>
              <w:jc w:val="center"/>
              <w:textAlignment w:val="center"/>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16" w:type="dxa"/>
            <w:tcBorders>
              <w:top w:val="single" w:color="000000" w:sz="8" w:space="0"/>
              <w:left w:val="single" w:color="000000" w:sz="8" w:space="0"/>
              <w:bottom w:val="single" w:color="000000" w:sz="8" w:space="0"/>
              <w:right w:val="single" w:color="000000" w:sz="8" w:space="0"/>
            </w:tcBorders>
            <w:vAlign w:val="center"/>
          </w:tcPr>
          <w:p w14:paraId="2996D885">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5</w:t>
            </w:r>
          </w:p>
        </w:tc>
        <w:tc>
          <w:tcPr>
            <w:tcW w:w="1623" w:type="dxa"/>
            <w:tcBorders>
              <w:top w:val="single" w:color="000000" w:sz="8" w:space="0"/>
              <w:left w:val="single" w:color="000000" w:sz="8" w:space="0"/>
              <w:bottom w:val="single" w:color="000000" w:sz="8" w:space="0"/>
              <w:right w:val="single" w:color="000000" w:sz="8" w:space="0"/>
            </w:tcBorders>
            <w:vAlign w:val="center"/>
          </w:tcPr>
          <w:p w14:paraId="44DDB242">
            <w:pPr>
              <w:jc w:val="left"/>
              <w:rPr>
                <w:rFonts w:hint="default" w:ascii="宋体" w:hAnsi="宋体" w:eastAsia="宋体" w:cs="宋体"/>
                <w:color w:val="auto"/>
                <w:kern w:val="0"/>
                <w:sz w:val="24"/>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vAlign w:val="center"/>
          </w:tcPr>
          <w:p w14:paraId="302D1E83">
            <w:pPr>
              <w:jc w:val="left"/>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4472A334">
        <w:tblPrEx>
          <w:tblCellMar>
            <w:top w:w="0" w:type="dxa"/>
            <w:left w:w="108" w:type="dxa"/>
            <w:bottom w:w="0" w:type="dxa"/>
            <w:right w:w="108" w:type="dxa"/>
          </w:tblCellMar>
        </w:tblPrEx>
        <w:trPr>
          <w:trHeight w:val="454" w:hRule="atLeast"/>
        </w:trPr>
        <w:tc>
          <w:tcPr>
            <w:tcW w:w="456" w:type="dxa"/>
            <w:tcBorders>
              <w:top w:val="single" w:color="000000" w:sz="8" w:space="0"/>
              <w:left w:val="single" w:color="000000" w:sz="8" w:space="0"/>
              <w:bottom w:val="single" w:color="000000" w:sz="8" w:space="0"/>
              <w:right w:val="single" w:color="000000" w:sz="8" w:space="0"/>
            </w:tcBorders>
            <w:vAlign w:val="center"/>
          </w:tcPr>
          <w:p w14:paraId="65EF2F65">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38</w:t>
            </w:r>
          </w:p>
        </w:tc>
        <w:tc>
          <w:tcPr>
            <w:tcW w:w="1768" w:type="dxa"/>
            <w:tcBorders>
              <w:top w:val="single" w:color="000000" w:sz="8" w:space="0"/>
              <w:left w:val="single" w:color="000000" w:sz="8" w:space="0"/>
              <w:bottom w:val="single" w:color="000000" w:sz="8" w:space="0"/>
              <w:right w:val="single" w:color="000000" w:sz="8" w:space="0"/>
            </w:tcBorders>
            <w:vAlign w:val="center"/>
          </w:tcPr>
          <w:p w14:paraId="4E5BFB79">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矿车</w:t>
            </w:r>
          </w:p>
        </w:tc>
        <w:tc>
          <w:tcPr>
            <w:tcW w:w="3245" w:type="dxa"/>
            <w:tcBorders>
              <w:top w:val="single" w:color="000000" w:sz="8" w:space="0"/>
              <w:left w:val="single" w:color="000000" w:sz="8" w:space="0"/>
              <w:bottom w:val="single" w:color="000000" w:sz="8" w:space="0"/>
              <w:right w:val="single" w:color="000000" w:sz="8" w:space="0"/>
            </w:tcBorders>
            <w:vAlign w:val="center"/>
          </w:tcPr>
          <w:p w14:paraId="7AE4CBB9">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1t或1.5t标准矿车</w:t>
            </w:r>
          </w:p>
        </w:tc>
        <w:tc>
          <w:tcPr>
            <w:tcW w:w="658" w:type="dxa"/>
            <w:tcBorders>
              <w:top w:val="single" w:color="000000" w:sz="8" w:space="0"/>
              <w:left w:val="single" w:color="000000" w:sz="8" w:space="0"/>
              <w:bottom w:val="single" w:color="000000" w:sz="8" w:space="0"/>
              <w:right w:val="single" w:color="000000" w:sz="8" w:space="0"/>
            </w:tcBorders>
            <w:vAlign w:val="center"/>
          </w:tcPr>
          <w:p w14:paraId="37589E4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辆</w:t>
            </w:r>
          </w:p>
        </w:tc>
        <w:tc>
          <w:tcPr>
            <w:tcW w:w="616" w:type="dxa"/>
            <w:tcBorders>
              <w:top w:val="single" w:color="000000" w:sz="8" w:space="0"/>
              <w:left w:val="single" w:color="000000" w:sz="8" w:space="0"/>
              <w:bottom w:val="single" w:color="000000" w:sz="8" w:space="0"/>
              <w:right w:val="single" w:color="000000" w:sz="8" w:space="0"/>
            </w:tcBorders>
            <w:noWrap/>
            <w:vAlign w:val="center"/>
          </w:tcPr>
          <w:p w14:paraId="15642F32">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8</w:t>
            </w:r>
          </w:p>
        </w:tc>
        <w:tc>
          <w:tcPr>
            <w:tcW w:w="1623" w:type="dxa"/>
            <w:tcBorders>
              <w:top w:val="single" w:color="000000" w:sz="8" w:space="0"/>
              <w:left w:val="single" w:color="000000" w:sz="8" w:space="0"/>
              <w:bottom w:val="single" w:color="000000" w:sz="8" w:space="0"/>
              <w:right w:val="single" w:color="000000" w:sz="8" w:space="0"/>
            </w:tcBorders>
            <w:noWrap/>
            <w:vAlign w:val="center"/>
          </w:tcPr>
          <w:p w14:paraId="26EC2B65">
            <w:pPr>
              <w:keepNext w:val="0"/>
              <w:keepLines w:val="0"/>
              <w:widowControl/>
              <w:suppressLineNumbers w:val="0"/>
              <w:jc w:val="left"/>
              <w:textAlignment w:val="center"/>
              <w:rPr>
                <w:rFonts w:ascii="仿宋" w:hAnsi="仿宋" w:eastAsia="仿宋" w:cs="宋体"/>
                <w:color w:val="auto"/>
                <w:kern w:val="0"/>
                <w:sz w:val="24"/>
                <w:highlight w:val="none"/>
                <w:lang w:bidi="ar"/>
              </w:rPr>
            </w:pPr>
            <w:r>
              <w:rPr>
                <w:rFonts w:hint="eastAsia" w:ascii="微软雅黑" w:hAnsi="微软雅黑" w:eastAsia="微软雅黑" w:cs="微软雅黑"/>
                <w:i w:val="0"/>
                <w:iCs w:val="0"/>
                <w:color w:val="000000"/>
                <w:kern w:val="0"/>
                <w:sz w:val="20"/>
                <w:szCs w:val="20"/>
                <w:u w:val="none"/>
                <w:lang w:val="en-US" w:eastAsia="zh-CN" w:bidi="ar"/>
              </w:rPr>
              <w:t>井下消防器材库</w:t>
            </w:r>
          </w:p>
        </w:tc>
        <w:tc>
          <w:tcPr>
            <w:tcW w:w="864" w:type="dxa"/>
            <w:tcBorders>
              <w:top w:val="single" w:color="000000" w:sz="8" w:space="0"/>
              <w:left w:val="single" w:color="000000" w:sz="8" w:space="0"/>
              <w:bottom w:val="single" w:color="000000" w:sz="8" w:space="0"/>
              <w:right w:val="single" w:color="000000" w:sz="8" w:space="0"/>
            </w:tcBorders>
            <w:noWrap/>
            <w:vAlign w:val="center"/>
          </w:tcPr>
          <w:p w14:paraId="04145D3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仿宋" w:hAnsi="仿宋" w:eastAsia="仿宋" w:cs="宋体"/>
                <w:color w:val="auto"/>
                <w:kern w:val="0"/>
                <w:sz w:val="24"/>
                <w:lang w:bidi="ar"/>
              </w:rPr>
              <w:t>完好</w:t>
            </w:r>
          </w:p>
        </w:tc>
      </w:tr>
      <w:tr w14:paraId="6CFA8102">
        <w:tblPrEx>
          <w:tblCellMar>
            <w:top w:w="0" w:type="dxa"/>
            <w:left w:w="108" w:type="dxa"/>
            <w:bottom w:w="0" w:type="dxa"/>
            <w:right w:w="108" w:type="dxa"/>
          </w:tblCellMar>
        </w:tblPrEx>
        <w:trPr>
          <w:trHeight w:val="454" w:hRule="atLeast"/>
        </w:trPr>
        <w:tc>
          <w:tcPr>
            <w:tcW w:w="9230" w:type="dxa"/>
            <w:gridSpan w:val="7"/>
            <w:tcBorders>
              <w:top w:val="single" w:color="000000" w:sz="8" w:space="0"/>
              <w:left w:val="single" w:color="000000" w:sz="8" w:space="0"/>
              <w:bottom w:val="single" w:color="000000" w:sz="8" w:space="0"/>
              <w:right w:val="single" w:color="000000" w:sz="8" w:space="0"/>
            </w:tcBorders>
            <w:vAlign w:val="center"/>
          </w:tcPr>
          <w:p w14:paraId="36C8B901">
            <w:pPr>
              <w:keepNext w:val="0"/>
              <w:keepLines w:val="0"/>
              <w:widowControl/>
              <w:suppressLineNumbers w:val="0"/>
              <w:spacing w:before="0" w:beforeAutospacing="0" w:after="0" w:afterAutospacing="0" w:line="240" w:lineRule="exact"/>
              <w:ind w:left="0" w:leftChars="0" w:right="0" w:rightChars="0"/>
              <w:jc w:val="left"/>
              <w:textAlignment w:val="center"/>
              <w:rPr>
                <w:rFonts w:hint="eastAsia" w:ascii="宋体" w:hAnsi="宋体" w:eastAsia="宋体" w:cs="宋体"/>
                <w:color w:val="auto"/>
                <w:kern w:val="0"/>
                <w:sz w:val="24"/>
                <w:lang w:val="en-US" w:eastAsia="en-US" w:bidi="ar"/>
              </w:rPr>
            </w:pPr>
            <w:bookmarkStart w:id="587" w:name="_Toc12859"/>
            <w:bookmarkStart w:id="588" w:name="_Toc22856"/>
            <w:bookmarkStart w:id="589" w:name="_Toc9695"/>
            <w:bookmarkStart w:id="590" w:name="_Toc18768"/>
            <w:r>
              <w:rPr>
                <w:rFonts w:hint="eastAsia" w:ascii="宋体" w:hAnsi="宋体" w:eastAsia="宋体" w:cs="宋体"/>
                <w:color w:val="auto"/>
                <w:kern w:val="0"/>
                <w:sz w:val="24"/>
                <w:lang w:val="en-US" w:eastAsia="en-US" w:bidi="ar"/>
              </w:rPr>
              <w:t>管理部门：通防工区；存放地点：消防材料库；运输方式使用：车辆运输；</w:t>
            </w:r>
          </w:p>
          <w:p w14:paraId="4D20EA80">
            <w:pPr>
              <w:keepNext w:val="0"/>
              <w:keepLines w:val="0"/>
              <w:widowControl/>
              <w:suppressLineNumbers w:val="0"/>
              <w:spacing w:before="0" w:beforeAutospacing="0" w:after="0" w:afterAutospacing="0" w:line="240" w:lineRule="exact"/>
              <w:ind w:left="0" w:leftChars="0" w:right="0" w:rightChars="0"/>
              <w:jc w:val="left"/>
              <w:textAlignment w:val="center"/>
              <w:rPr>
                <w:rFonts w:hint="eastAsia" w:ascii="宋体" w:hAnsi="宋体" w:eastAsia="宋体" w:cs="宋体"/>
                <w:color w:val="auto"/>
                <w:kern w:val="0"/>
                <w:sz w:val="24"/>
                <w:lang w:val="en-US" w:eastAsia="en-US" w:bidi="ar"/>
              </w:rPr>
            </w:pPr>
            <w:r>
              <w:rPr>
                <w:rFonts w:hint="eastAsia" w:ascii="宋体" w:hAnsi="宋体" w:eastAsia="宋体" w:cs="宋体"/>
                <w:color w:val="auto"/>
                <w:kern w:val="0"/>
                <w:sz w:val="24"/>
                <w:lang w:val="en-US" w:eastAsia="en-US" w:bidi="ar"/>
              </w:rPr>
              <w:t xml:space="preserve">责任人：王晓功；        办公电话：0477-999256；手机：18295493024 </w:t>
            </w:r>
          </w:p>
        </w:tc>
      </w:tr>
    </w:tbl>
    <w:p w14:paraId="11E4A122">
      <w:pPr>
        <w:pStyle w:val="44"/>
        <w:spacing w:line="360" w:lineRule="auto"/>
        <w:jc w:val="center"/>
        <w:outlineLvl w:val="3"/>
        <w:rPr>
          <w:rFonts w:hint="eastAsia" w:ascii="仿宋_GB2312" w:hAnsi="仿宋_GB2312" w:eastAsia="仿宋_GB2312" w:cs="仿宋_GB2312"/>
          <w:b/>
          <w:color w:val="auto"/>
          <w:kern w:val="2"/>
          <w:sz w:val="32"/>
          <w:szCs w:val="32"/>
          <w:highlight w:val="none"/>
          <w:lang w:val="zh-CN" w:eastAsia="zh-CN"/>
        </w:rPr>
      </w:pPr>
      <w:r>
        <w:rPr>
          <w:rFonts w:hint="eastAsia" w:ascii="仿宋_GB2312" w:hAnsi="仿宋_GB2312" w:eastAsia="仿宋_GB2312" w:cs="仿宋_GB2312"/>
          <w:b/>
          <w:color w:val="auto"/>
          <w:kern w:val="2"/>
          <w:sz w:val="32"/>
          <w:szCs w:val="32"/>
          <w:highlight w:val="none"/>
          <w:lang w:val="zh-CN" w:eastAsia="zh-CN"/>
        </w:rPr>
        <w:t>表4 灭火器材的数量、规格及存放地点</w:t>
      </w:r>
    </w:p>
    <w:tbl>
      <w:tblPr>
        <w:tblStyle w:val="54"/>
        <w:tblW w:w="475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3"/>
        <w:gridCol w:w="2913"/>
        <w:gridCol w:w="923"/>
        <w:gridCol w:w="1297"/>
        <w:gridCol w:w="982"/>
        <w:gridCol w:w="846"/>
        <w:gridCol w:w="663"/>
      </w:tblGrid>
      <w:tr w14:paraId="7CAFB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833" w:type="dxa"/>
            <w:tcBorders>
              <w:top w:val="single" w:color="000000" w:sz="6" w:space="0"/>
              <w:left w:val="single" w:color="000000" w:sz="6" w:space="0"/>
            </w:tcBorders>
            <w:vAlign w:val="center"/>
          </w:tcPr>
          <w:p w14:paraId="051D9E6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序号</w:t>
            </w:r>
          </w:p>
        </w:tc>
        <w:tc>
          <w:tcPr>
            <w:tcW w:w="3019" w:type="dxa"/>
            <w:tcBorders>
              <w:top w:val="single" w:color="000000" w:sz="6" w:space="0"/>
            </w:tcBorders>
            <w:vAlign w:val="center"/>
          </w:tcPr>
          <w:p w14:paraId="6E38800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地点</w:t>
            </w:r>
          </w:p>
        </w:tc>
        <w:tc>
          <w:tcPr>
            <w:tcW w:w="956" w:type="dxa"/>
            <w:tcBorders>
              <w:top w:val="single" w:color="000000" w:sz="6" w:space="0"/>
            </w:tcBorders>
            <w:vAlign w:val="center"/>
          </w:tcPr>
          <w:p w14:paraId="01EDCFD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灭火器个数</w:t>
            </w:r>
          </w:p>
        </w:tc>
        <w:tc>
          <w:tcPr>
            <w:tcW w:w="1345" w:type="dxa"/>
            <w:tcBorders>
              <w:top w:val="single" w:color="000000" w:sz="6" w:space="0"/>
            </w:tcBorders>
            <w:vAlign w:val="center"/>
          </w:tcPr>
          <w:p w14:paraId="4429752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灭火器m</w:t>
            </w:r>
            <w:r>
              <w:rPr>
                <w:rFonts w:hint="default" w:ascii="宋体" w:hAnsi="宋体" w:eastAsia="宋体" w:cs="宋体"/>
                <w:color w:val="auto"/>
                <w:kern w:val="0"/>
                <w:sz w:val="24"/>
                <w:lang w:val="en-US" w:eastAsia="zh-CN" w:bidi="ar"/>
              </w:rPr>
              <w:drawing>
                <wp:inline distT="0" distB="0" distL="0" distR="0">
                  <wp:extent cx="111125" cy="153670"/>
                  <wp:effectExtent l="0" t="0" r="3175" b="17780"/>
                  <wp:docPr id="708" name="IM 708"/>
                  <wp:cNvGraphicFramePr/>
                  <a:graphic xmlns:a="http://schemas.openxmlformats.org/drawingml/2006/main">
                    <a:graphicData uri="http://schemas.openxmlformats.org/drawingml/2006/picture">
                      <pic:pic xmlns:pic="http://schemas.openxmlformats.org/drawingml/2006/picture">
                        <pic:nvPicPr>
                          <pic:cNvPr id="708" name="IM 708"/>
                          <pic:cNvPicPr/>
                        </pic:nvPicPr>
                        <pic:blipFill>
                          <a:blip r:embed="rId13"/>
                          <a:stretch>
                            <a:fillRect/>
                          </a:stretch>
                        </pic:blipFill>
                        <pic:spPr>
                          <a:xfrm>
                            <a:off x="0" y="0"/>
                            <a:ext cx="111732" cy="153923"/>
                          </a:xfrm>
                          <a:prstGeom prst="rect">
                            <a:avLst/>
                          </a:prstGeom>
                        </pic:spPr>
                      </pic:pic>
                    </a:graphicData>
                  </a:graphic>
                </wp:inline>
              </w:drawing>
            </w:r>
            <w:r>
              <w:rPr>
                <w:rFonts w:hint="default" w:ascii="宋体" w:hAnsi="宋体" w:eastAsia="宋体" w:cs="宋体"/>
                <w:color w:val="auto"/>
                <w:kern w:val="0"/>
                <w:sz w:val="24"/>
                <w:lang w:val="en-US" w:eastAsia="en-US" w:bidi="ar"/>
              </w:rPr>
              <w:t>个</w:t>
            </w:r>
          </w:p>
        </w:tc>
        <w:tc>
          <w:tcPr>
            <w:tcW w:w="1018" w:type="dxa"/>
            <w:tcBorders>
              <w:top w:val="single" w:color="000000" w:sz="6" w:space="0"/>
            </w:tcBorders>
            <w:vAlign w:val="center"/>
          </w:tcPr>
          <w:p w14:paraId="6D1C5C5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沙子</w:t>
            </w:r>
          </w:p>
        </w:tc>
        <w:tc>
          <w:tcPr>
            <w:tcW w:w="877" w:type="dxa"/>
            <w:tcBorders>
              <w:top w:val="single" w:color="000000" w:sz="6" w:space="0"/>
            </w:tcBorders>
            <w:vAlign w:val="center"/>
          </w:tcPr>
          <w:p w14:paraId="6BCADAF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消防锨</w:t>
            </w:r>
          </w:p>
        </w:tc>
        <w:tc>
          <w:tcPr>
            <w:tcW w:w="687" w:type="dxa"/>
            <w:tcBorders>
              <w:top w:val="single" w:color="000000" w:sz="6" w:space="0"/>
              <w:right w:val="single" w:color="000000" w:sz="6" w:space="0"/>
            </w:tcBorders>
            <w:vAlign w:val="center"/>
          </w:tcPr>
          <w:p w14:paraId="49EC11F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水管</w:t>
            </w:r>
          </w:p>
        </w:tc>
      </w:tr>
      <w:tr w14:paraId="3ACA9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7B65CE4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w:t>
            </w:r>
          </w:p>
        </w:tc>
        <w:tc>
          <w:tcPr>
            <w:tcW w:w="3019" w:type="dxa"/>
            <w:vAlign w:val="center"/>
          </w:tcPr>
          <w:p w14:paraId="7B52A8B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+920中央泵房</w:t>
            </w:r>
          </w:p>
        </w:tc>
        <w:tc>
          <w:tcPr>
            <w:tcW w:w="956" w:type="dxa"/>
            <w:vAlign w:val="center"/>
          </w:tcPr>
          <w:p w14:paraId="51AF634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1345" w:type="dxa"/>
            <w:vAlign w:val="center"/>
          </w:tcPr>
          <w:p w14:paraId="1260BB0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3A31CB0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0.25/2</w:t>
            </w:r>
          </w:p>
        </w:tc>
        <w:tc>
          <w:tcPr>
            <w:tcW w:w="877" w:type="dxa"/>
            <w:vAlign w:val="center"/>
          </w:tcPr>
          <w:p w14:paraId="1B701F9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687" w:type="dxa"/>
            <w:tcBorders>
              <w:right w:val="single" w:color="000000" w:sz="6" w:space="0"/>
            </w:tcBorders>
            <w:vAlign w:val="center"/>
          </w:tcPr>
          <w:p w14:paraId="734022E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7F60C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02E3D5B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3019" w:type="dxa"/>
            <w:vAlign w:val="center"/>
          </w:tcPr>
          <w:p w14:paraId="373C74D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主井强力皮带驱动间</w:t>
            </w:r>
          </w:p>
        </w:tc>
        <w:tc>
          <w:tcPr>
            <w:tcW w:w="956" w:type="dxa"/>
            <w:vAlign w:val="center"/>
          </w:tcPr>
          <w:p w14:paraId="66E3244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1345" w:type="dxa"/>
            <w:vAlign w:val="center"/>
          </w:tcPr>
          <w:p w14:paraId="16A1161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731C75E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0.25/2</w:t>
            </w:r>
          </w:p>
        </w:tc>
        <w:tc>
          <w:tcPr>
            <w:tcW w:w="877" w:type="dxa"/>
            <w:vAlign w:val="center"/>
          </w:tcPr>
          <w:p w14:paraId="38093BA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687" w:type="dxa"/>
            <w:tcBorders>
              <w:right w:val="single" w:color="000000" w:sz="6" w:space="0"/>
            </w:tcBorders>
            <w:vAlign w:val="center"/>
          </w:tcPr>
          <w:p w14:paraId="07D9EE1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06B47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21D2C53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3</w:t>
            </w:r>
          </w:p>
        </w:tc>
        <w:tc>
          <w:tcPr>
            <w:tcW w:w="3019" w:type="dxa"/>
            <w:vAlign w:val="center"/>
          </w:tcPr>
          <w:p w14:paraId="4ED15B5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主井强力皮带操作室</w:t>
            </w:r>
          </w:p>
        </w:tc>
        <w:tc>
          <w:tcPr>
            <w:tcW w:w="956" w:type="dxa"/>
            <w:vAlign w:val="center"/>
          </w:tcPr>
          <w:p w14:paraId="32EDD99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1345" w:type="dxa"/>
            <w:vAlign w:val="center"/>
          </w:tcPr>
          <w:p w14:paraId="6EAB129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515A5DA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0.25/2</w:t>
            </w:r>
          </w:p>
        </w:tc>
        <w:tc>
          <w:tcPr>
            <w:tcW w:w="877" w:type="dxa"/>
            <w:vAlign w:val="center"/>
          </w:tcPr>
          <w:p w14:paraId="2AB8A5E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687" w:type="dxa"/>
            <w:tcBorders>
              <w:right w:val="single" w:color="000000" w:sz="6" w:space="0"/>
            </w:tcBorders>
            <w:vAlign w:val="center"/>
          </w:tcPr>
          <w:p w14:paraId="78E42D4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53B5C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40754AD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3019" w:type="dxa"/>
            <w:vAlign w:val="center"/>
          </w:tcPr>
          <w:p w14:paraId="2A9D018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各回采工作面泵站</w:t>
            </w:r>
          </w:p>
        </w:tc>
        <w:tc>
          <w:tcPr>
            <w:tcW w:w="956" w:type="dxa"/>
            <w:vAlign w:val="center"/>
          </w:tcPr>
          <w:p w14:paraId="7C75C94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00D59B4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727BE6F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775EAD0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18AAB87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46EBF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0EA65F6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5</w:t>
            </w:r>
          </w:p>
        </w:tc>
        <w:tc>
          <w:tcPr>
            <w:tcW w:w="3019" w:type="dxa"/>
            <w:vAlign w:val="center"/>
          </w:tcPr>
          <w:p w14:paraId="709241F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轨道暗井绞车房</w:t>
            </w:r>
          </w:p>
        </w:tc>
        <w:tc>
          <w:tcPr>
            <w:tcW w:w="956" w:type="dxa"/>
            <w:vAlign w:val="center"/>
          </w:tcPr>
          <w:p w14:paraId="372614D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1345" w:type="dxa"/>
            <w:vAlign w:val="center"/>
          </w:tcPr>
          <w:p w14:paraId="15F5AAC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2C5A775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0.25/2</w:t>
            </w:r>
          </w:p>
        </w:tc>
        <w:tc>
          <w:tcPr>
            <w:tcW w:w="877" w:type="dxa"/>
            <w:vAlign w:val="center"/>
          </w:tcPr>
          <w:p w14:paraId="7E58782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4</w:t>
            </w:r>
          </w:p>
        </w:tc>
        <w:tc>
          <w:tcPr>
            <w:tcW w:w="687" w:type="dxa"/>
            <w:tcBorders>
              <w:right w:val="single" w:color="000000" w:sz="6" w:space="0"/>
            </w:tcBorders>
            <w:vAlign w:val="center"/>
          </w:tcPr>
          <w:p w14:paraId="2A87111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1832A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545DF3D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6</w:t>
            </w:r>
          </w:p>
        </w:tc>
        <w:tc>
          <w:tcPr>
            <w:tcW w:w="3019" w:type="dxa"/>
            <w:vAlign w:val="center"/>
          </w:tcPr>
          <w:p w14:paraId="175E9F6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1101运输巷皮带机头</w:t>
            </w:r>
          </w:p>
        </w:tc>
        <w:tc>
          <w:tcPr>
            <w:tcW w:w="956" w:type="dxa"/>
            <w:vAlign w:val="center"/>
          </w:tcPr>
          <w:p w14:paraId="7277F62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55F0523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6DDA4AA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7C4646E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30F929F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71275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1D6F715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7</w:t>
            </w:r>
          </w:p>
        </w:tc>
        <w:tc>
          <w:tcPr>
            <w:tcW w:w="3019" w:type="dxa"/>
            <w:vAlign w:val="center"/>
          </w:tcPr>
          <w:p w14:paraId="4D360EE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1101上巷皮带机头</w:t>
            </w:r>
          </w:p>
        </w:tc>
        <w:tc>
          <w:tcPr>
            <w:tcW w:w="956" w:type="dxa"/>
            <w:vAlign w:val="center"/>
          </w:tcPr>
          <w:p w14:paraId="6438DDF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4FB2495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279D10C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6810914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5CE7E8B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40D30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4D23615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8</w:t>
            </w:r>
          </w:p>
        </w:tc>
        <w:tc>
          <w:tcPr>
            <w:tcW w:w="3019" w:type="dxa"/>
            <w:vAlign w:val="center"/>
          </w:tcPr>
          <w:p w14:paraId="4990247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1102运输巷皮带机头</w:t>
            </w:r>
          </w:p>
        </w:tc>
        <w:tc>
          <w:tcPr>
            <w:tcW w:w="956" w:type="dxa"/>
            <w:vAlign w:val="center"/>
          </w:tcPr>
          <w:p w14:paraId="5074943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25D0489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19B8B1A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1DB08C9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34132D7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56A42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15B426A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w:t>
            </w:r>
          </w:p>
        </w:tc>
        <w:tc>
          <w:tcPr>
            <w:tcW w:w="3019" w:type="dxa"/>
            <w:vAlign w:val="center"/>
          </w:tcPr>
          <w:p w14:paraId="25398F1E">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+920水平煤仓上口</w:t>
            </w:r>
          </w:p>
        </w:tc>
        <w:tc>
          <w:tcPr>
            <w:tcW w:w="956" w:type="dxa"/>
            <w:vAlign w:val="center"/>
          </w:tcPr>
          <w:p w14:paraId="355C59E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7AF1087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569FE61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0F50EF4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652D11B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1FE9E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bottom w:val="single" w:color="000000" w:sz="6" w:space="0"/>
            </w:tcBorders>
            <w:vAlign w:val="center"/>
          </w:tcPr>
          <w:p w14:paraId="2D22A0D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10</w:t>
            </w:r>
          </w:p>
        </w:tc>
        <w:tc>
          <w:tcPr>
            <w:tcW w:w="3019" w:type="dxa"/>
            <w:tcBorders>
              <w:bottom w:val="single" w:color="000000" w:sz="6" w:space="0"/>
            </w:tcBorders>
            <w:vAlign w:val="center"/>
          </w:tcPr>
          <w:p w14:paraId="2FC43B7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+920水平煤仓给煤机硐室</w:t>
            </w:r>
          </w:p>
        </w:tc>
        <w:tc>
          <w:tcPr>
            <w:tcW w:w="956" w:type="dxa"/>
            <w:tcBorders>
              <w:bottom w:val="single" w:color="000000" w:sz="6" w:space="0"/>
            </w:tcBorders>
            <w:vAlign w:val="center"/>
          </w:tcPr>
          <w:p w14:paraId="40EB54C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tcBorders>
              <w:bottom w:val="single" w:color="000000" w:sz="6" w:space="0"/>
            </w:tcBorders>
            <w:vAlign w:val="center"/>
          </w:tcPr>
          <w:p w14:paraId="1EF96D5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tcBorders>
              <w:bottom w:val="single" w:color="000000" w:sz="6" w:space="0"/>
            </w:tcBorders>
            <w:vAlign w:val="center"/>
          </w:tcPr>
          <w:p w14:paraId="26812E6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tcBorders>
              <w:bottom w:val="single" w:color="000000" w:sz="6" w:space="0"/>
            </w:tcBorders>
            <w:vAlign w:val="center"/>
          </w:tcPr>
          <w:p w14:paraId="2BBB45B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bottom w:val="single" w:color="000000" w:sz="6" w:space="0"/>
              <w:right w:val="single" w:color="000000" w:sz="6" w:space="0"/>
            </w:tcBorders>
            <w:vAlign w:val="center"/>
          </w:tcPr>
          <w:p w14:paraId="5C097D4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19C2A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833" w:type="dxa"/>
            <w:tcBorders>
              <w:top w:val="single" w:color="000000" w:sz="6" w:space="0"/>
              <w:left w:val="single" w:color="000000" w:sz="6" w:space="0"/>
            </w:tcBorders>
            <w:vAlign w:val="center"/>
          </w:tcPr>
          <w:p w14:paraId="45E2196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11</w:t>
            </w:r>
          </w:p>
        </w:tc>
        <w:tc>
          <w:tcPr>
            <w:tcW w:w="3019" w:type="dxa"/>
            <w:tcBorders>
              <w:top w:val="single" w:color="000000" w:sz="6" w:space="0"/>
            </w:tcBorders>
            <w:vAlign w:val="center"/>
          </w:tcPr>
          <w:p w14:paraId="3E9FEDA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+920水平分运仓上口</w:t>
            </w:r>
          </w:p>
        </w:tc>
        <w:tc>
          <w:tcPr>
            <w:tcW w:w="956" w:type="dxa"/>
            <w:tcBorders>
              <w:top w:val="single" w:color="000000" w:sz="6" w:space="0"/>
            </w:tcBorders>
            <w:vAlign w:val="center"/>
          </w:tcPr>
          <w:p w14:paraId="3D80ACC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tcBorders>
              <w:top w:val="single" w:color="000000" w:sz="6" w:space="0"/>
            </w:tcBorders>
            <w:vAlign w:val="center"/>
          </w:tcPr>
          <w:p w14:paraId="4698145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tcBorders>
              <w:top w:val="single" w:color="000000" w:sz="6" w:space="0"/>
            </w:tcBorders>
            <w:vAlign w:val="center"/>
          </w:tcPr>
          <w:p w14:paraId="44E63D2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tcBorders>
              <w:top w:val="single" w:color="000000" w:sz="6" w:space="0"/>
            </w:tcBorders>
            <w:vAlign w:val="center"/>
          </w:tcPr>
          <w:p w14:paraId="19845ED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top w:val="single" w:color="000000" w:sz="6" w:space="0"/>
              <w:right w:val="single" w:color="000000" w:sz="6" w:space="0"/>
            </w:tcBorders>
            <w:vAlign w:val="center"/>
          </w:tcPr>
          <w:p w14:paraId="536ADD8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41A5C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46D3FF6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12</w:t>
            </w:r>
          </w:p>
        </w:tc>
        <w:tc>
          <w:tcPr>
            <w:tcW w:w="3019" w:type="dxa"/>
            <w:vAlign w:val="center"/>
          </w:tcPr>
          <w:p w14:paraId="751D190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zh-CN" w:bidi="ar"/>
              </w:rPr>
              <w:t>+920水平分运仓给煤机硐室</w:t>
            </w:r>
          </w:p>
        </w:tc>
        <w:tc>
          <w:tcPr>
            <w:tcW w:w="956" w:type="dxa"/>
            <w:vAlign w:val="center"/>
          </w:tcPr>
          <w:p w14:paraId="037F829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19BDDF5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2CB6241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32A7043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492DAAA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74BEB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0F3FD86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13</w:t>
            </w:r>
          </w:p>
        </w:tc>
        <w:tc>
          <w:tcPr>
            <w:tcW w:w="3019" w:type="dxa"/>
            <w:vAlign w:val="center"/>
          </w:tcPr>
          <w:p w14:paraId="431F72D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+920水平矸石仓上口</w:t>
            </w:r>
          </w:p>
        </w:tc>
        <w:tc>
          <w:tcPr>
            <w:tcW w:w="956" w:type="dxa"/>
            <w:vAlign w:val="center"/>
          </w:tcPr>
          <w:p w14:paraId="02EA4F5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5898814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56A9C40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6D59CD8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3AB5A8E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1547D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6F04010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14</w:t>
            </w:r>
          </w:p>
        </w:tc>
        <w:tc>
          <w:tcPr>
            <w:tcW w:w="3019" w:type="dxa"/>
            <w:vAlign w:val="center"/>
          </w:tcPr>
          <w:p w14:paraId="40620B6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+920水平矸石仓下口硐室</w:t>
            </w:r>
          </w:p>
        </w:tc>
        <w:tc>
          <w:tcPr>
            <w:tcW w:w="956" w:type="dxa"/>
            <w:vAlign w:val="center"/>
          </w:tcPr>
          <w:p w14:paraId="00B2933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02F38C2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0184CAA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7806D1BF">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04CCC9D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21BC6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66E757B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15</w:t>
            </w:r>
          </w:p>
        </w:tc>
        <w:tc>
          <w:tcPr>
            <w:tcW w:w="3019" w:type="dxa"/>
            <w:vAlign w:val="center"/>
          </w:tcPr>
          <w:p w14:paraId="2C359DA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+920水平新煤仓上口</w:t>
            </w:r>
          </w:p>
        </w:tc>
        <w:tc>
          <w:tcPr>
            <w:tcW w:w="956" w:type="dxa"/>
            <w:vAlign w:val="center"/>
          </w:tcPr>
          <w:p w14:paraId="1DBBAFFB">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7639AEB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0DA5109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2DA500E4">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2FAF7421">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545CA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1AF0AE42">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16</w:t>
            </w:r>
          </w:p>
        </w:tc>
        <w:tc>
          <w:tcPr>
            <w:tcW w:w="3019" w:type="dxa"/>
            <w:vAlign w:val="center"/>
          </w:tcPr>
          <w:p w14:paraId="7B0BFC43">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zh-CN" w:bidi="ar"/>
              </w:rPr>
              <w:t>+920水平新煤仓给煤机硐室</w:t>
            </w:r>
          </w:p>
        </w:tc>
        <w:tc>
          <w:tcPr>
            <w:tcW w:w="956" w:type="dxa"/>
            <w:vAlign w:val="center"/>
          </w:tcPr>
          <w:p w14:paraId="1CB5F4F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1345" w:type="dxa"/>
            <w:vAlign w:val="center"/>
          </w:tcPr>
          <w:p w14:paraId="6889B429">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6A8F8BA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w:t>
            </w:r>
          </w:p>
        </w:tc>
        <w:tc>
          <w:tcPr>
            <w:tcW w:w="877" w:type="dxa"/>
            <w:vAlign w:val="center"/>
          </w:tcPr>
          <w:p w14:paraId="17691120">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2</w:t>
            </w:r>
          </w:p>
        </w:tc>
        <w:tc>
          <w:tcPr>
            <w:tcW w:w="687" w:type="dxa"/>
            <w:tcBorders>
              <w:right w:val="single" w:color="000000" w:sz="6" w:space="0"/>
            </w:tcBorders>
            <w:vAlign w:val="center"/>
          </w:tcPr>
          <w:p w14:paraId="5AC92516">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1F6A2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33" w:type="dxa"/>
            <w:tcBorders>
              <w:left w:val="single" w:color="000000" w:sz="6" w:space="0"/>
            </w:tcBorders>
            <w:vAlign w:val="center"/>
          </w:tcPr>
          <w:p w14:paraId="417CB3F7">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17</w:t>
            </w:r>
          </w:p>
        </w:tc>
        <w:tc>
          <w:tcPr>
            <w:tcW w:w="3019" w:type="dxa"/>
            <w:vAlign w:val="center"/>
          </w:tcPr>
          <w:p w14:paraId="2EA303F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zh-CN" w:bidi="ar"/>
              </w:rPr>
            </w:pPr>
            <w:r>
              <w:rPr>
                <w:rFonts w:hint="default" w:ascii="宋体" w:hAnsi="宋体" w:eastAsia="宋体" w:cs="宋体"/>
                <w:color w:val="auto"/>
                <w:kern w:val="0"/>
                <w:sz w:val="24"/>
                <w:lang w:val="en-US" w:eastAsia="zh-CN" w:bidi="ar"/>
              </w:rPr>
              <w:t>矸石皮带各个皮带机 头处</w:t>
            </w:r>
          </w:p>
        </w:tc>
        <w:tc>
          <w:tcPr>
            <w:tcW w:w="956" w:type="dxa"/>
            <w:vAlign w:val="center"/>
          </w:tcPr>
          <w:p w14:paraId="07D6E67D">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14</w:t>
            </w:r>
          </w:p>
        </w:tc>
        <w:tc>
          <w:tcPr>
            <w:tcW w:w="1345" w:type="dxa"/>
            <w:vAlign w:val="center"/>
          </w:tcPr>
          <w:p w14:paraId="1A9714D5">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MFZL8</w:t>
            </w:r>
          </w:p>
        </w:tc>
        <w:tc>
          <w:tcPr>
            <w:tcW w:w="1018" w:type="dxa"/>
            <w:vAlign w:val="center"/>
          </w:tcPr>
          <w:p w14:paraId="4BC8328C">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0.25/7</w:t>
            </w:r>
          </w:p>
        </w:tc>
        <w:tc>
          <w:tcPr>
            <w:tcW w:w="877" w:type="dxa"/>
            <w:vAlign w:val="center"/>
          </w:tcPr>
          <w:p w14:paraId="733040C8">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14</w:t>
            </w:r>
          </w:p>
        </w:tc>
        <w:tc>
          <w:tcPr>
            <w:tcW w:w="687" w:type="dxa"/>
            <w:tcBorders>
              <w:right w:val="single" w:color="000000" w:sz="6" w:space="0"/>
            </w:tcBorders>
            <w:vAlign w:val="center"/>
          </w:tcPr>
          <w:p w14:paraId="2BA3126A">
            <w:pPr>
              <w:keepNext w:val="0"/>
              <w:keepLines w:val="0"/>
              <w:widowControl/>
              <w:suppressLineNumbers w:val="0"/>
              <w:spacing w:before="0" w:beforeAutospacing="0" w:after="0" w:afterAutospacing="0" w:line="240" w:lineRule="exact"/>
              <w:ind w:left="0" w:right="0"/>
              <w:jc w:val="center"/>
              <w:textAlignment w:val="center"/>
              <w:rPr>
                <w:rFonts w:hint="default" w:ascii="宋体" w:hAnsi="宋体" w:eastAsia="宋体" w:cs="宋体"/>
                <w:color w:val="auto"/>
                <w:kern w:val="0"/>
                <w:sz w:val="24"/>
                <w:lang w:val="en-US" w:eastAsia="en-US" w:bidi="ar"/>
              </w:rPr>
            </w:pPr>
            <w:r>
              <w:rPr>
                <w:rFonts w:hint="default" w:ascii="宋体" w:hAnsi="宋体" w:eastAsia="宋体" w:cs="宋体"/>
                <w:color w:val="auto"/>
                <w:kern w:val="0"/>
                <w:sz w:val="24"/>
                <w:lang w:val="en-US" w:eastAsia="en-US" w:bidi="ar"/>
              </w:rPr>
              <w:t>√</w:t>
            </w:r>
          </w:p>
        </w:tc>
      </w:tr>
      <w:tr w14:paraId="3020D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8735" w:type="dxa"/>
            <w:gridSpan w:val="7"/>
            <w:tcBorders>
              <w:left w:val="single" w:color="000000" w:sz="6" w:space="0"/>
              <w:right w:val="single" w:color="000000" w:sz="6" w:space="0"/>
            </w:tcBorders>
            <w:vAlign w:val="center"/>
          </w:tcPr>
          <w:p w14:paraId="6F18E540">
            <w:pPr>
              <w:keepNext w:val="0"/>
              <w:keepLines w:val="0"/>
              <w:widowControl/>
              <w:suppressLineNumbers w:val="0"/>
              <w:spacing w:before="0" w:beforeAutospacing="0" w:after="0" w:afterAutospacing="0" w:line="240" w:lineRule="exact"/>
              <w:ind w:left="0" w:right="0"/>
              <w:jc w:val="left"/>
              <w:textAlignment w:val="center"/>
              <w:rPr>
                <w:rFonts w:hint="eastAsia" w:ascii="宋体" w:hAnsi="宋体" w:eastAsia="宋体" w:cs="宋体"/>
                <w:color w:val="auto"/>
                <w:kern w:val="0"/>
                <w:sz w:val="24"/>
                <w:lang w:val="en-US" w:eastAsia="en-US" w:bidi="ar"/>
              </w:rPr>
            </w:pPr>
            <w:r>
              <w:rPr>
                <w:rFonts w:hint="eastAsia" w:ascii="宋体" w:hAnsi="宋体" w:eastAsia="宋体" w:cs="宋体"/>
                <w:color w:val="auto"/>
                <w:kern w:val="0"/>
                <w:sz w:val="24"/>
                <w:lang w:val="en-US" w:eastAsia="en-US" w:bidi="ar"/>
              </w:rPr>
              <w:t>管理部门：通防工区；存放地点：消防材料库；运输方式使用：车辆运输；</w:t>
            </w:r>
          </w:p>
          <w:p w14:paraId="64A92DDC">
            <w:pPr>
              <w:keepNext w:val="0"/>
              <w:keepLines w:val="0"/>
              <w:widowControl/>
              <w:suppressLineNumbers w:val="0"/>
              <w:spacing w:before="0" w:beforeAutospacing="0" w:after="0" w:afterAutospacing="0" w:line="240" w:lineRule="exact"/>
              <w:ind w:left="0" w:right="0"/>
              <w:jc w:val="left"/>
              <w:textAlignment w:val="center"/>
              <w:rPr>
                <w:rFonts w:hint="default" w:ascii="宋体" w:hAnsi="宋体" w:eastAsia="宋体" w:cs="宋体"/>
                <w:color w:val="auto"/>
                <w:kern w:val="0"/>
                <w:sz w:val="24"/>
                <w:lang w:val="en-US" w:eastAsia="en-US" w:bidi="ar"/>
              </w:rPr>
            </w:pPr>
            <w:r>
              <w:rPr>
                <w:rFonts w:hint="eastAsia" w:ascii="宋体" w:hAnsi="宋体" w:eastAsia="宋体" w:cs="宋体"/>
                <w:color w:val="auto"/>
                <w:kern w:val="0"/>
                <w:sz w:val="24"/>
                <w:lang w:val="en-US" w:eastAsia="en-US" w:bidi="ar"/>
              </w:rPr>
              <w:t>责任人：王晓功</w:t>
            </w:r>
            <w:r>
              <w:rPr>
                <w:rFonts w:hint="eastAsia" w:ascii="宋体" w:hAnsi="宋体" w:cs="宋体"/>
                <w:color w:val="auto"/>
                <w:kern w:val="0"/>
                <w:sz w:val="24"/>
                <w:lang w:val="en-US" w:eastAsia="zh-CN" w:bidi="ar"/>
              </w:rPr>
              <w:t>；</w:t>
            </w:r>
            <w:r>
              <w:rPr>
                <w:rFonts w:hint="eastAsia" w:ascii="宋体" w:hAnsi="宋体" w:eastAsia="宋体" w:cs="宋体"/>
                <w:color w:val="auto"/>
                <w:kern w:val="0"/>
                <w:sz w:val="24"/>
                <w:lang w:val="en-US" w:eastAsia="en-US" w:bidi="ar"/>
              </w:rPr>
              <w:t xml:space="preserve">办公电话：0477-999256；手机：18295493024 </w:t>
            </w:r>
          </w:p>
        </w:tc>
      </w:tr>
    </w:tbl>
    <w:p w14:paraId="55AC1445">
      <w:pPr>
        <w:pStyle w:val="44"/>
        <w:spacing w:line="360" w:lineRule="auto"/>
        <w:jc w:val="center"/>
        <w:outlineLvl w:val="3"/>
        <w:rPr>
          <w:rFonts w:hint="eastAsia" w:ascii="仿宋_GB2312" w:hAnsi="仿宋_GB2312" w:eastAsia="仿宋_GB2312" w:cs="仿宋_GB2312"/>
          <w:b/>
          <w:color w:val="auto"/>
          <w:kern w:val="2"/>
          <w:sz w:val="32"/>
          <w:szCs w:val="32"/>
          <w:highlight w:val="none"/>
        </w:rPr>
      </w:pPr>
    </w:p>
    <w:p w14:paraId="292C16EF">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5</w:t>
      </w:r>
      <w:r>
        <w:rPr>
          <w:rFonts w:hint="eastAsia" w:ascii="仿宋_GB2312" w:hAnsi="仿宋_GB2312" w:eastAsia="仿宋_GB2312" w:cs="仿宋_GB2312"/>
          <w:b/>
          <w:color w:val="auto"/>
          <w:kern w:val="2"/>
          <w:sz w:val="32"/>
          <w:szCs w:val="32"/>
          <w:highlight w:val="none"/>
        </w:rPr>
        <w:t xml:space="preserve"> </w:t>
      </w:r>
      <w:bookmarkEnd w:id="587"/>
      <w:bookmarkEnd w:id="588"/>
      <w:bookmarkEnd w:id="589"/>
      <w:bookmarkEnd w:id="590"/>
      <w:bookmarkStart w:id="591" w:name="_Toc25321"/>
      <w:bookmarkStart w:id="592" w:name="_Toc12006"/>
      <w:bookmarkStart w:id="593" w:name="_Toc15183"/>
      <w:bookmarkStart w:id="594" w:name="_Toc22868"/>
      <w:bookmarkStart w:id="595" w:name="_Toc30037"/>
      <w:bookmarkStart w:id="596" w:name="_Toc30297"/>
      <w:bookmarkStart w:id="597" w:name="_Toc22771"/>
      <w:r>
        <w:rPr>
          <w:rFonts w:hint="eastAsia" w:ascii="仿宋_GB2312" w:hAnsi="仿宋_GB2312" w:eastAsia="仿宋_GB2312" w:cs="仿宋_GB2312"/>
          <w:b/>
          <w:color w:val="auto"/>
          <w:kern w:val="2"/>
          <w:sz w:val="32"/>
          <w:szCs w:val="32"/>
          <w:highlight w:val="none"/>
        </w:rPr>
        <w:t>兼职矿山救护装备配备表</w:t>
      </w:r>
    </w:p>
    <w:tbl>
      <w:tblPr>
        <w:tblStyle w:val="28"/>
        <w:tblpPr w:leftFromText="180" w:rightFromText="180" w:vertAnchor="text" w:horzAnchor="page" w:tblpXSpec="center" w:tblpY="132"/>
        <w:tblOverlap w:val="never"/>
        <w:tblW w:w="52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248"/>
        <w:gridCol w:w="2386"/>
        <w:gridCol w:w="544"/>
        <w:gridCol w:w="879"/>
        <w:gridCol w:w="1914"/>
        <w:gridCol w:w="1185"/>
        <w:gridCol w:w="843"/>
      </w:tblGrid>
      <w:tr w14:paraId="73F4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Align w:val="center"/>
          </w:tcPr>
          <w:p w14:paraId="5B74F60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类别</w:t>
            </w:r>
          </w:p>
        </w:tc>
        <w:tc>
          <w:tcPr>
            <w:tcW w:w="653" w:type="pct"/>
            <w:vAlign w:val="center"/>
          </w:tcPr>
          <w:p w14:paraId="6DA8F46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装备名称</w:t>
            </w:r>
          </w:p>
        </w:tc>
        <w:tc>
          <w:tcPr>
            <w:tcW w:w="1248" w:type="pct"/>
            <w:vAlign w:val="center"/>
          </w:tcPr>
          <w:p w14:paraId="1E73B0B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规格型号</w:t>
            </w:r>
          </w:p>
        </w:tc>
        <w:tc>
          <w:tcPr>
            <w:tcW w:w="284" w:type="pct"/>
            <w:vAlign w:val="center"/>
          </w:tcPr>
          <w:p w14:paraId="7F35135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单位</w:t>
            </w:r>
          </w:p>
        </w:tc>
        <w:tc>
          <w:tcPr>
            <w:tcW w:w="460" w:type="pct"/>
            <w:vAlign w:val="center"/>
          </w:tcPr>
          <w:p w14:paraId="325B640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数量</w:t>
            </w:r>
          </w:p>
        </w:tc>
        <w:tc>
          <w:tcPr>
            <w:tcW w:w="1001" w:type="pct"/>
            <w:vAlign w:val="center"/>
          </w:tcPr>
          <w:p w14:paraId="01254C4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运输和使用条件</w:t>
            </w:r>
          </w:p>
        </w:tc>
        <w:tc>
          <w:tcPr>
            <w:tcW w:w="620" w:type="pct"/>
            <w:vAlign w:val="center"/>
          </w:tcPr>
          <w:p w14:paraId="60089951">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存放地点</w:t>
            </w:r>
          </w:p>
        </w:tc>
        <w:tc>
          <w:tcPr>
            <w:tcW w:w="441" w:type="pct"/>
            <w:vAlign w:val="center"/>
          </w:tcPr>
          <w:p w14:paraId="302FA552">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性能</w:t>
            </w:r>
          </w:p>
        </w:tc>
      </w:tr>
      <w:tr w14:paraId="2938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65773274">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通信</w:t>
            </w:r>
          </w:p>
          <w:p w14:paraId="525D3C3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器材</w:t>
            </w:r>
          </w:p>
        </w:tc>
        <w:tc>
          <w:tcPr>
            <w:tcW w:w="653" w:type="pct"/>
            <w:vAlign w:val="center"/>
          </w:tcPr>
          <w:p w14:paraId="2892D78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灾区电话</w:t>
            </w:r>
          </w:p>
        </w:tc>
        <w:tc>
          <w:tcPr>
            <w:tcW w:w="1248" w:type="pct"/>
            <w:vAlign w:val="center"/>
          </w:tcPr>
          <w:p w14:paraId="56EE2871">
            <w:pPr>
              <w:widowControl/>
              <w:jc w:val="left"/>
              <w:textAlignment w:val="center"/>
              <w:rPr>
                <w:rFonts w:ascii="仿宋" w:hAnsi="仿宋" w:eastAsia="仿宋" w:cs="宋体"/>
                <w:color w:val="auto"/>
                <w:kern w:val="0"/>
                <w:sz w:val="24"/>
                <w:highlight w:val="none"/>
                <w:lang w:bidi="ar"/>
              </w:rPr>
            </w:pPr>
          </w:p>
        </w:tc>
        <w:tc>
          <w:tcPr>
            <w:tcW w:w="284" w:type="pct"/>
            <w:vAlign w:val="center"/>
          </w:tcPr>
          <w:p w14:paraId="3CEB28B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套</w:t>
            </w:r>
          </w:p>
        </w:tc>
        <w:tc>
          <w:tcPr>
            <w:tcW w:w="460" w:type="pct"/>
            <w:vAlign w:val="center"/>
          </w:tcPr>
          <w:p w14:paraId="5A3A7A1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3BFDED5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164FA806">
            <w:pPr>
              <w:widowControl/>
              <w:jc w:val="left"/>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39313E23">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205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18949259">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61519424">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引路线</w:t>
            </w:r>
          </w:p>
        </w:tc>
        <w:tc>
          <w:tcPr>
            <w:tcW w:w="1248" w:type="pct"/>
            <w:vAlign w:val="center"/>
          </w:tcPr>
          <w:p w14:paraId="2533100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电话线可以代替</w:t>
            </w:r>
          </w:p>
        </w:tc>
        <w:tc>
          <w:tcPr>
            <w:tcW w:w="284" w:type="pct"/>
            <w:vAlign w:val="center"/>
          </w:tcPr>
          <w:p w14:paraId="62F448F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m</w:t>
            </w:r>
          </w:p>
        </w:tc>
        <w:tc>
          <w:tcPr>
            <w:tcW w:w="460" w:type="pct"/>
            <w:vAlign w:val="center"/>
          </w:tcPr>
          <w:p w14:paraId="1782B59E">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1000 m</w:t>
            </w:r>
          </w:p>
        </w:tc>
        <w:tc>
          <w:tcPr>
            <w:tcW w:w="1001" w:type="pct"/>
            <w:vAlign w:val="center"/>
          </w:tcPr>
          <w:p w14:paraId="08DFB40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4EFC1556">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486F861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DD5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6729725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个人</w:t>
            </w:r>
          </w:p>
          <w:p w14:paraId="14208B0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防护</w:t>
            </w:r>
          </w:p>
        </w:tc>
        <w:tc>
          <w:tcPr>
            <w:tcW w:w="653" w:type="pct"/>
            <w:vMerge w:val="restart"/>
            <w:vAlign w:val="center"/>
          </w:tcPr>
          <w:p w14:paraId="5C4D6C9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正压氧气呼吸器</w:t>
            </w:r>
          </w:p>
        </w:tc>
        <w:tc>
          <w:tcPr>
            <w:tcW w:w="1248" w:type="pct"/>
            <w:vAlign w:val="center"/>
          </w:tcPr>
          <w:p w14:paraId="5E757923">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HYZ4(E)</w:t>
            </w:r>
            <w:r>
              <w:rPr>
                <w:rFonts w:ascii="仿宋" w:hAnsi="仿宋" w:eastAsia="仿宋" w:cs="宋体"/>
                <w:color w:val="auto"/>
                <w:kern w:val="0"/>
                <w:sz w:val="24"/>
                <w:highlight w:val="none"/>
                <w:lang w:bidi="ar"/>
              </w:rPr>
              <w:t>4h 正压氧气呼吸器，1 台／人</w:t>
            </w:r>
          </w:p>
        </w:tc>
        <w:tc>
          <w:tcPr>
            <w:tcW w:w="284" w:type="pct"/>
            <w:vAlign w:val="center"/>
          </w:tcPr>
          <w:p w14:paraId="1F5015DE">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75054C0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备用2台</w:t>
            </w:r>
          </w:p>
        </w:tc>
        <w:tc>
          <w:tcPr>
            <w:tcW w:w="1001" w:type="pct"/>
            <w:vAlign w:val="center"/>
          </w:tcPr>
          <w:p w14:paraId="035ECA76">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35C56207">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6E0CDD9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4710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0871E2FD">
            <w:pPr>
              <w:widowControl/>
              <w:jc w:val="left"/>
              <w:textAlignment w:val="center"/>
              <w:rPr>
                <w:rFonts w:ascii="仿宋" w:hAnsi="仿宋" w:eastAsia="仿宋" w:cs="宋体"/>
                <w:color w:val="auto"/>
                <w:kern w:val="0"/>
                <w:sz w:val="24"/>
                <w:highlight w:val="none"/>
                <w:lang w:bidi="ar"/>
              </w:rPr>
            </w:pPr>
          </w:p>
        </w:tc>
        <w:tc>
          <w:tcPr>
            <w:tcW w:w="653" w:type="pct"/>
            <w:vMerge w:val="continue"/>
            <w:vAlign w:val="center"/>
          </w:tcPr>
          <w:p w14:paraId="031756C5">
            <w:pPr>
              <w:widowControl/>
              <w:jc w:val="left"/>
              <w:textAlignment w:val="center"/>
              <w:rPr>
                <w:rFonts w:ascii="仿宋" w:hAnsi="仿宋" w:eastAsia="仿宋" w:cs="宋体"/>
                <w:color w:val="auto"/>
                <w:kern w:val="0"/>
                <w:sz w:val="24"/>
                <w:highlight w:val="none"/>
                <w:lang w:bidi="ar"/>
              </w:rPr>
            </w:pPr>
          </w:p>
        </w:tc>
        <w:tc>
          <w:tcPr>
            <w:tcW w:w="1248" w:type="pct"/>
            <w:vAlign w:val="center"/>
          </w:tcPr>
          <w:p w14:paraId="43B9920B">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2h 正压氧气呼吸器</w:t>
            </w:r>
          </w:p>
        </w:tc>
        <w:tc>
          <w:tcPr>
            <w:tcW w:w="284" w:type="pct"/>
            <w:vAlign w:val="center"/>
          </w:tcPr>
          <w:p w14:paraId="21D0E97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2BEA6E5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3941C228">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62EBE2C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2D02D14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35A9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75F003F7">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2474C82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自救器</w:t>
            </w:r>
          </w:p>
        </w:tc>
        <w:tc>
          <w:tcPr>
            <w:tcW w:w="1248" w:type="pct"/>
            <w:vAlign w:val="center"/>
          </w:tcPr>
          <w:p w14:paraId="5B4777D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隔绝式化学氧ZH30（D）</w:t>
            </w:r>
          </w:p>
        </w:tc>
        <w:tc>
          <w:tcPr>
            <w:tcW w:w="284" w:type="pct"/>
            <w:vAlign w:val="center"/>
          </w:tcPr>
          <w:p w14:paraId="6F00890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651D715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20</w:t>
            </w:r>
          </w:p>
        </w:tc>
        <w:tc>
          <w:tcPr>
            <w:tcW w:w="1001" w:type="pct"/>
            <w:vAlign w:val="center"/>
          </w:tcPr>
          <w:p w14:paraId="685AF063">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34055168">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7EAE6AB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4F6D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3ADE833E">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1C48D23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自动苏生器</w:t>
            </w:r>
          </w:p>
        </w:tc>
        <w:tc>
          <w:tcPr>
            <w:tcW w:w="1248" w:type="pct"/>
            <w:vAlign w:val="center"/>
          </w:tcPr>
          <w:p w14:paraId="7792EAF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MZS30</w:t>
            </w:r>
          </w:p>
        </w:tc>
        <w:tc>
          <w:tcPr>
            <w:tcW w:w="284" w:type="pct"/>
            <w:vAlign w:val="center"/>
          </w:tcPr>
          <w:p w14:paraId="3AC6884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2E201AC1">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00F9B56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AE8B7A7">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54012D7E">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2C6C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4482B69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灭火</w:t>
            </w:r>
          </w:p>
          <w:p w14:paraId="60391F27">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装备</w:t>
            </w:r>
          </w:p>
        </w:tc>
        <w:tc>
          <w:tcPr>
            <w:tcW w:w="653" w:type="pct"/>
            <w:vAlign w:val="center"/>
          </w:tcPr>
          <w:p w14:paraId="3F9A9CC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干粉灭火器</w:t>
            </w:r>
          </w:p>
        </w:tc>
        <w:tc>
          <w:tcPr>
            <w:tcW w:w="1248" w:type="pct"/>
            <w:vAlign w:val="center"/>
          </w:tcPr>
          <w:p w14:paraId="49DEDC7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干粉灭火器M_F_Z_/_ABC_8KG</w:t>
            </w:r>
          </w:p>
        </w:tc>
        <w:tc>
          <w:tcPr>
            <w:tcW w:w="284" w:type="pct"/>
            <w:vAlign w:val="center"/>
          </w:tcPr>
          <w:p w14:paraId="5102CC54">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只</w:t>
            </w:r>
          </w:p>
        </w:tc>
        <w:tc>
          <w:tcPr>
            <w:tcW w:w="460" w:type="pct"/>
            <w:vAlign w:val="center"/>
          </w:tcPr>
          <w:p w14:paraId="32AF2287">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20</w:t>
            </w:r>
          </w:p>
        </w:tc>
        <w:tc>
          <w:tcPr>
            <w:tcW w:w="1001" w:type="pct"/>
            <w:vAlign w:val="center"/>
          </w:tcPr>
          <w:p w14:paraId="08E7FA4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个人携带/火灾</w:t>
            </w:r>
          </w:p>
        </w:tc>
        <w:tc>
          <w:tcPr>
            <w:tcW w:w="620" w:type="pct"/>
            <w:vAlign w:val="center"/>
          </w:tcPr>
          <w:p w14:paraId="46135CAB">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51CEDE86">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0EDC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1265DCAB">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4E34800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风障</w:t>
            </w:r>
          </w:p>
        </w:tc>
        <w:tc>
          <w:tcPr>
            <w:tcW w:w="1248" w:type="pct"/>
            <w:vAlign w:val="center"/>
          </w:tcPr>
          <w:p w14:paraId="3924C96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风障_6m×6m</w:t>
            </w:r>
          </w:p>
        </w:tc>
        <w:tc>
          <w:tcPr>
            <w:tcW w:w="284" w:type="pct"/>
            <w:vAlign w:val="center"/>
          </w:tcPr>
          <w:p w14:paraId="20DF58C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块</w:t>
            </w:r>
          </w:p>
        </w:tc>
        <w:tc>
          <w:tcPr>
            <w:tcW w:w="460" w:type="pct"/>
            <w:vAlign w:val="center"/>
          </w:tcPr>
          <w:p w14:paraId="7ED52BD1">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01AE308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个人携带/火灾</w:t>
            </w:r>
          </w:p>
        </w:tc>
        <w:tc>
          <w:tcPr>
            <w:tcW w:w="620" w:type="pct"/>
            <w:vAlign w:val="center"/>
          </w:tcPr>
          <w:p w14:paraId="3C976869">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6EC0093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238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6F927B0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检测</w:t>
            </w:r>
          </w:p>
          <w:p w14:paraId="05AD595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仪器</w:t>
            </w:r>
          </w:p>
        </w:tc>
        <w:tc>
          <w:tcPr>
            <w:tcW w:w="653" w:type="pct"/>
            <w:vAlign w:val="center"/>
          </w:tcPr>
          <w:p w14:paraId="34C9D2D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呼吸器校验仪</w:t>
            </w:r>
          </w:p>
        </w:tc>
        <w:tc>
          <w:tcPr>
            <w:tcW w:w="1248" w:type="pct"/>
            <w:vAlign w:val="center"/>
          </w:tcPr>
          <w:p w14:paraId="3DEBC24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氧气呼吸器校验仪_JMH-E</w:t>
            </w:r>
          </w:p>
        </w:tc>
        <w:tc>
          <w:tcPr>
            <w:tcW w:w="284" w:type="pct"/>
            <w:vAlign w:val="center"/>
          </w:tcPr>
          <w:p w14:paraId="36E99AA4">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572035CD">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734EC559">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DB6E831">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023945EA">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28F2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2E2FAD66">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44D03EA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一氧化碳检定器</w:t>
            </w:r>
          </w:p>
        </w:tc>
        <w:tc>
          <w:tcPr>
            <w:tcW w:w="1248" w:type="pct"/>
            <w:vAlign w:val="center"/>
          </w:tcPr>
          <w:p w14:paraId="538E57E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一氧化碳测定器_CTH5000(C)</w:t>
            </w:r>
          </w:p>
        </w:tc>
        <w:tc>
          <w:tcPr>
            <w:tcW w:w="284" w:type="pct"/>
            <w:vAlign w:val="center"/>
          </w:tcPr>
          <w:p w14:paraId="470D686B">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7B172E7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044768F8">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629B77F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665DECE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13CC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0E79E1F2">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251D462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瓦斯检定器</w:t>
            </w:r>
          </w:p>
        </w:tc>
        <w:tc>
          <w:tcPr>
            <w:tcW w:w="1248" w:type="pct"/>
            <w:vAlign w:val="center"/>
          </w:tcPr>
          <w:p w14:paraId="7077889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光学瓦斯鉴定器_GWJ-1A(10%)</w:t>
            </w:r>
          </w:p>
        </w:tc>
        <w:tc>
          <w:tcPr>
            <w:tcW w:w="284" w:type="pct"/>
            <w:vAlign w:val="center"/>
          </w:tcPr>
          <w:p w14:paraId="3720C7E4">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71603F9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4A593473">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3FC76D2A">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7C07FAE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1E10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5E83CA0C">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5E2DBB8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氧气检定器</w:t>
            </w:r>
          </w:p>
        </w:tc>
        <w:tc>
          <w:tcPr>
            <w:tcW w:w="1248" w:type="pct"/>
            <w:vAlign w:val="center"/>
          </w:tcPr>
          <w:p w14:paraId="18E83D2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氧气测定器_CYH25</w:t>
            </w:r>
          </w:p>
        </w:tc>
        <w:tc>
          <w:tcPr>
            <w:tcW w:w="284" w:type="pct"/>
            <w:vAlign w:val="center"/>
          </w:tcPr>
          <w:p w14:paraId="0F7A6EBD">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台</w:t>
            </w:r>
          </w:p>
        </w:tc>
        <w:tc>
          <w:tcPr>
            <w:tcW w:w="460" w:type="pct"/>
            <w:vAlign w:val="center"/>
          </w:tcPr>
          <w:p w14:paraId="27D84FF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335C8898">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6092B50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74B4686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77A8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3DBED842">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469C9F3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温度计</w:t>
            </w:r>
          </w:p>
        </w:tc>
        <w:tc>
          <w:tcPr>
            <w:tcW w:w="1248" w:type="pct"/>
            <w:vAlign w:val="center"/>
          </w:tcPr>
          <w:p w14:paraId="0CB04D9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铜套温度计_0～60℃</w:t>
            </w:r>
          </w:p>
        </w:tc>
        <w:tc>
          <w:tcPr>
            <w:tcW w:w="284" w:type="pct"/>
            <w:vAlign w:val="center"/>
          </w:tcPr>
          <w:p w14:paraId="13A4950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支</w:t>
            </w:r>
          </w:p>
        </w:tc>
        <w:tc>
          <w:tcPr>
            <w:tcW w:w="460" w:type="pct"/>
            <w:vAlign w:val="center"/>
          </w:tcPr>
          <w:p w14:paraId="56C890A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5D2E68D9">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C84900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71890D6A">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108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590DBE2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装</w:t>
            </w:r>
          </w:p>
          <w:p w14:paraId="70E3E12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备</w:t>
            </w:r>
          </w:p>
          <w:p w14:paraId="0D4ECAE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工</w:t>
            </w:r>
          </w:p>
          <w:p w14:paraId="3F7C283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具</w:t>
            </w:r>
          </w:p>
        </w:tc>
        <w:tc>
          <w:tcPr>
            <w:tcW w:w="653" w:type="pct"/>
            <w:vAlign w:val="center"/>
          </w:tcPr>
          <w:p w14:paraId="61A2B29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采气样工具</w:t>
            </w:r>
          </w:p>
        </w:tc>
        <w:tc>
          <w:tcPr>
            <w:tcW w:w="1248" w:type="pct"/>
            <w:vAlign w:val="center"/>
          </w:tcPr>
          <w:p w14:paraId="2143659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包括球胆4个</w:t>
            </w:r>
          </w:p>
        </w:tc>
        <w:tc>
          <w:tcPr>
            <w:tcW w:w="284" w:type="pct"/>
            <w:vAlign w:val="center"/>
          </w:tcPr>
          <w:p w14:paraId="0D07BB4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套</w:t>
            </w:r>
          </w:p>
        </w:tc>
        <w:tc>
          <w:tcPr>
            <w:tcW w:w="460" w:type="pct"/>
            <w:vAlign w:val="center"/>
          </w:tcPr>
          <w:p w14:paraId="438F404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4427693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7476201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2FDDD57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27F7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0269C6B7">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795CF9B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防爆工具</w:t>
            </w:r>
          </w:p>
        </w:tc>
        <w:tc>
          <w:tcPr>
            <w:tcW w:w="1248" w:type="pct"/>
            <w:vAlign w:val="center"/>
          </w:tcPr>
          <w:p w14:paraId="46D06D3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锤、钎、锹、镐等</w:t>
            </w:r>
          </w:p>
        </w:tc>
        <w:tc>
          <w:tcPr>
            <w:tcW w:w="284" w:type="pct"/>
            <w:vAlign w:val="center"/>
          </w:tcPr>
          <w:p w14:paraId="58A9C29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套</w:t>
            </w:r>
          </w:p>
        </w:tc>
        <w:tc>
          <w:tcPr>
            <w:tcW w:w="460" w:type="pct"/>
            <w:vAlign w:val="center"/>
          </w:tcPr>
          <w:p w14:paraId="09C02CA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4096E4A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3671141">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3E461A2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842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24562D58">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31FC510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两用锹</w:t>
            </w:r>
          </w:p>
        </w:tc>
        <w:tc>
          <w:tcPr>
            <w:tcW w:w="1248" w:type="pct"/>
            <w:vAlign w:val="center"/>
          </w:tcPr>
          <w:p w14:paraId="49C65B2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两用锹_一头镐一头锨_折叠式</w:t>
            </w:r>
          </w:p>
        </w:tc>
        <w:tc>
          <w:tcPr>
            <w:tcW w:w="284" w:type="pct"/>
            <w:vAlign w:val="center"/>
          </w:tcPr>
          <w:p w14:paraId="714C1D6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把</w:t>
            </w:r>
          </w:p>
        </w:tc>
        <w:tc>
          <w:tcPr>
            <w:tcW w:w="460" w:type="pct"/>
            <w:vAlign w:val="center"/>
          </w:tcPr>
          <w:p w14:paraId="0AD0A61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5613C2F5">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7F676AA8">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432B2C0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1C40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3DAEADD1">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1805A5B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救生索</w:t>
            </w:r>
          </w:p>
        </w:tc>
        <w:tc>
          <w:tcPr>
            <w:tcW w:w="1248" w:type="pct"/>
            <w:vAlign w:val="center"/>
          </w:tcPr>
          <w:p w14:paraId="70D5505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长30m，抗拉强度3000kg</w:t>
            </w:r>
          </w:p>
        </w:tc>
        <w:tc>
          <w:tcPr>
            <w:tcW w:w="284" w:type="pct"/>
            <w:vAlign w:val="center"/>
          </w:tcPr>
          <w:p w14:paraId="41329F3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条</w:t>
            </w:r>
          </w:p>
        </w:tc>
        <w:tc>
          <w:tcPr>
            <w:tcW w:w="460" w:type="pct"/>
            <w:vAlign w:val="center"/>
          </w:tcPr>
          <w:p w14:paraId="1C80616E">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43DF0489">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16A43FDB">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54338780">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63F6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6ED212CD">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265A0096">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担架</w:t>
            </w:r>
          </w:p>
        </w:tc>
        <w:tc>
          <w:tcPr>
            <w:tcW w:w="1248" w:type="pct"/>
            <w:vAlign w:val="center"/>
          </w:tcPr>
          <w:p w14:paraId="4899416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含一副负压担架</w:t>
            </w:r>
          </w:p>
        </w:tc>
        <w:tc>
          <w:tcPr>
            <w:tcW w:w="284" w:type="pct"/>
            <w:vAlign w:val="center"/>
          </w:tcPr>
          <w:p w14:paraId="2A9A34F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副</w:t>
            </w:r>
          </w:p>
        </w:tc>
        <w:tc>
          <w:tcPr>
            <w:tcW w:w="460" w:type="pct"/>
            <w:vAlign w:val="center"/>
          </w:tcPr>
          <w:p w14:paraId="5F8F887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0112966A">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3F9C0377">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7B7EB3E5">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649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7EC84EF9">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7112CE7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保温毯</w:t>
            </w:r>
          </w:p>
        </w:tc>
        <w:tc>
          <w:tcPr>
            <w:tcW w:w="1248" w:type="pct"/>
            <w:vAlign w:val="center"/>
          </w:tcPr>
          <w:p w14:paraId="493D67B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棉织</w:t>
            </w:r>
          </w:p>
        </w:tc>
        <w:tc>
          <w:tcPr>
            <w:tcW w:w="284" w:type="pct"/>
            <w:vAlign w:val="center"/>
          </w:tcPr>
          <w:p w14:paraId="5E4B5C3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条</w:t>
            </w:r>
          </w:p>
        </w:tc>
        <w:tc>
          <w:tcPr>
            <w:tcW w:w="460" w:type="pct"/>
            <w:vAlign w:val="center"/>
          </w:tcPr>
          <w:p w14:paraId="56F233E0">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4B6B7D2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2C8B36D6">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72B817D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9A3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2D918E3D">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6AB2458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绝缘手套</w:t>
            </w:r>
          </w:p>
        </w:tc>
        <w:tc>
          <w:tcPr>
            <w:tcW w:w="1248" w:type="pct"/>
            <w:vAlign w:val="center"/>
          </w:tcPr>
          <w:p w14:paraId="23A61DF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电绝缘手套_12kv</w:t>
            </w:r>
          </w:p>
        </w:tc>
        <w:tc>
          <w:tcPr>
            <w:tcW w:w="284" w:type="pct"/>
            <w:vAlign w:val="center"/>
          </w:tcPr>
          <w:p w14:paraId="3B65115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双</w:t>
            </w:r>
          </w:p>
        </w:tc>
        <w:tc>
          <w:tcPr>
            <w:tcW w:w="460" w:type="pct"/>
            <w:vAlign w:val="center"/>
          </w:tcPr>
          <w:p w14:paraId="519588E7">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08FC559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0C6F47B">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4A881C31">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2C0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0C3EF2E8">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5D832B2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铜钉斧</w:t>
            </w:r>
          </w:p>
        </w:tc>
        <w:tc>
          <w:tcPr>
            <w:tcW w:w="1248" w:type="pct"/>
            <w:vAlign w:val="center"/>
          </w:tcPr>
          <w:p w14:paraId="048495C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防爆铜顶斧_1.25kg_铍青铜带柄</w:t>
            </w:r>
          </w:p>
        </w:tc>
        <w:tc>
          <w:tcPr>
            <w:tcW w:w="284" w:type="pct"/>
            <w:vAlign w:val="center"/>
          </w:tcPr>
          <w:p w14:paraId="3F7EAB57">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把</w:t>
            </w:r>
          </w:p>
        </w:tc>
        <w:tc>
          <w:tcPr>
            <w:tcW w:w="460" w:type="pct"/>
            <w:vAlign w:val="center"/>
          </w:tcPr>
          <w:p w14:paraId="72DF7535">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302C5FEB">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EC10C2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1851E513">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4C57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15F2D9FD">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0BBF525E">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矿工斧</w:t>
            </w:r>
          </w:p>
        </w:tc>
        <w:tc>
          <w:tcPr>
            <w:tcW w:w="1248" w:type="pct"/>
            <w:vAlign w:val="center"/>
          </w:tcPr>
          <w:p w14:paraId="744C669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矿工斧_1.8kg防爆</w:t>
            </w:r>
          </w:p>
        </w:tc>
        <w:tc>
          <w:tcPr>
            <w:tcW w:w="284" w:type="pct"/>
            <w:vAlign w:val="center"/>
          </w:tcPr>
          <w:p w14:paraId="7DF7B13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把</w:t>
            </w:r>
          </w:p>
        </w:tc>
        <w:tc>
          <w:tcPr>
            <w:tcW w:w="460" w:type="pct"/>
            <w:vAlign w:val="center"/>
          </w:tcPr>
          <w:p w14:paraId="0586DF1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01" w:type="pct"/>
            <w:vAlign w:val="center"/>
          </w:tcPr>
          <w:p w14:paraId="39894CC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61008EAE">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007C588A">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03FC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1156F962">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0C974FD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刀锯</w:t>
            </w:r>
          </w:p>
        </w:tc>
        <w:tc>
          <w:tcPr>
            <w:tcW w:w="1248" w:type="pct"/>
            <w:vAlign w:val="center"/>
          </w:tcPr>
          <w:p w14:paraId="609FE86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刀锯_450mm</w:t>
            </w:r>
          </w:p>
        </w:tc>
        <w:tc>
          <w:tcPr>
            <w:tcW w:w="284" w:type="pct"/>
            <w:vAlign w:val="center"/>
          </w:tcPr>
          <w:p w14:paraId="3F1B73B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把</w:t>
            </w:r>
          </w:p>
        </w:tc>
        <w:tc>
          <w:tcPr>
            <w:tcW w:w="460" w:type="pct"/>
            <w:vAlign w:val="center"/>
          </w:tcPr>
          <w:p w14:paraId="0872F807">
            <w:pPr>
              <w:widowControl/>
              <w:jc w:val="left"/>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1</w:t>
            </w:r>
          </w:p>
        </w:tc>
        <w:tc>
          <w:tcPr>
            <w:tcW w:w="1001" w:type="pct"/>
            <w:vAlign w:val="center"/>
          </w:tcPr>
          <w:p w14:paraId="57F2EF0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2ED9A329">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5802D8E5">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311D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7CF5D5B6">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53A1F4FC">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起钉器</w:t>
            </w:r>
          </w:p>
        </w:tc>
        <w:tc>
          <w:tcPr>
            <w:tcW w:w="1248" w:type="pct"/>
            <w:vAlign w:val="center"/>
          </w:tcPr>
          <w:p w14:paraId="1C480D81">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起钉器_231</w:t>
            </w:r>
          </w:p>
        </w:tc>
        <w:tc>
          <w:tcPr>
            <w:tcW w:w="284" w:type="pct"/>
            <w:vAlign w:val="center"/>
          </w:tcPr>
          <w:p w14:paraId="16082EC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把</w:t>
            </w:r>
          </w:p>
        </w:tc>
        <w:tc>
          <w:tcPr>
            <w:tcW w:w="460" w:type="pct"/>
            <w:vAlign w:val="center"/>
          </w:tcPr>
          <w:p w14:paraId="53230823">
            <w:pPr>
              <w:widowControl/>
              <w:jc w:val="left"/>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1</w:t>
            </w:r>
          </w:p>
        </w:tc>
        <w:tc>
          <w:tcPr>
            <w:tcW w:w="1001" w:type="pct"/>
            <w:vAlign w:val="center"/>
          </w:tcPr>
          <w:p w14:paraId="455F7F3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5A0CE1C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557758AF">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512E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525EBBB3">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0AEB2518">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手表</w:t>
            </w:r>
          </w:p>
        </w:tc>
        <w:tc>
          <w:tcPr>
            <w:tcW w:w="1248" w:type="pct"/>
            <w:vAlign w:val="center"/>
          </w:tcPr>
          <w:p w14:paraId="10FEE0E1">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指挥员1块／人块</w:t>
            </w:r>
          </w:p>
        </w:tc>
        <w:tc>
          <w:tcPr>
            <w:tcW w:w="284" w:type="pct"/>
            <w:vAlign w:val="center"/>
          </w:tcPr>
          <w:p w14:paraId="0803CDDE">
            <w:pPr>
              <w:widowControl/>
              <w:jc w:val="left"/>
              <w:textAlignment w:val="center"/>
              <w:rPr>
                <w:rFonts w:ascii="仿宋" w:hAnsi="仿宋" w:eastAsia="仿宋" w:cs="宋体"/>
                <w:color w:val="auto"/>
                <w:kern w:val="0"/>
                <w:sz w:val="24"/>
                <w:highlight w:val="none"/>
                <w:lang w:bidi="ar"/>
              </w:rPr>
            </w:pPr>
          </w:p>
        </w:tc>
        <w:tc>
          <w:tcPr>
            <w:tcW w:w="460" w:type="pct"/>
            <w:vAlign w:val="center"/>
          </w:tcPr>
          <w:p w14:paraId="2B866EB0">
            <w:pPr>
              <w:widowControl/>
              <w:jc w:val="left"/>
              <w:textAlignment w:val="center"/>
              <w:rPr>
                <w:rFonts w:ascii="仿宋" w:hAnsi="仿宋" w:eastAsia="仿宋" w:cs="宋体"/>
                <w:color w:val="auto"/>
                <w:kern w:val="0"/>
                <w:sz w:val="24"/>
                <w:highlight w:val="none"/>
                <w:lang w:bidi="ar"/>
              </w:rPr>
            </w:pPr>
          </w:p>
        </w:tc>
        <w:tc>
          <w:tcPr>
            <w:tcW w:w="1001" w:type="pct"/>
            <w:vAlign w:val="center"/>
          </w:tcPr>
          <w:p w14:paraId="635440B2">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1094E586">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218AC966">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1229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431BD747">
            <w:pPr>
              <w:widowControl/>
              <w:jc w:val="left"/>
              <w:textAlignment w:val="center"/>
              <w:rPr>
                <w:rFonts w:ascii="仿宋" w:hAnsi="仿宋" w:eastAsia="仿宋" w:cs="宋体"/>
                <w:color w:val="auto"/>
                <w:kern w:val="0"/>
                <w:sz w:val="24"/>
                <w:highlight w:val="none"/>
                <w:lang w:bidi="ar"/>
              </w:rPr>
            </w:pPr>
          </w:p>
        </w:tc>
        <w:tc>
          <w:tcPr>
            <w:tcW w:w="653" w:type="pct"/>
            <w:vAlign w:val="center"/>
          </w:tcPr>
          <w:p w14:paraId="04A237AF">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电工工具</w:t>
            </w:r>
          </w:p>
        </w:tc>
        <w:tc>
          <w:tcPr>
            <w:tcW w:w="1248" w:type="pct"/>
            <w:vAlign w:val="center"/>
          </w:tcPr>
          <w:p w14:paraId="6B21A3F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电工工具_FBD-7_所有工具为铜合金材质，包含十字、一字螺丝刀，尖嘴钳，...</w:t>
            </w:r>
          </w:p>
        </w:tc>
        <w:tc>
          <w:tcPr>
            <w:tcW w:w="284" w:type="pct"/>
            <w:vAlign w:val="center"/>
          </w:tcPr>
          <w:p w14:paraId="7ABD17E2">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套</w:t>
            </w:r>
          </w:p>
        </w:tc>
        <w:tc>
          <w:tcPr>
            <w:tcW w:w="460" w:type="pct"/>
            <w:vAlign w:val="center"/>
          </w:tcPr>
          <w:p w14:paraId="6B45B04D">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01" w:type="pct"/>
            <w:vAlign w:val="center"/>
          </w:tcPr>
          <w:p w14:paraId="5D2946BD">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个人携带/通用</w:t>
            </w:r>
          </w:p>
        </w:tc>
        <w:tc>
          <w:tcPr>
            <w:tcW w:w="620" w:type="pct"/>
            <w:vAlign w:val="center"/>
          </w:tcPr>
          <w:p w14:paraId="6931E064">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44051F9E">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02A0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Align w:val="center"/>
          </w:tcPr>
          <w:p w14:paraId="3B3B5DF3">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药剂</w:t>
            </w:r>
          </w:p>
        </w:tc>
        <w:tc>
          <w:tcPr>
            <w:tcW w:w="653" w:type="pct"/>
            <w:vAlign w:val="center"/>
          </w:tcPr>
          <w:p w14:paraId="51AA0C59">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氢氧化钙</w:t>
            </w:r>
          </w:p>
        </w:tc>
        <w:tc>
          <w:tcPr>
            <w:tcW w:w="1248" w:type="pct"/>
            <w:vAlign w:val="center"/>
          </w:tcPr>
          <w:p w14:paraId="38AFC7B8">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w:t>
            </w:r>
          </w:p>
        </w:tc>
        <w:tc>
          <w:tcPr>
            <w:tcW w:w="284" w:type="pct"/>
            <w:vAlign w:val="center"/>
          </w:tcPr>
          <w:p w14:paraId="3786422D">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t</w:t>
            </w:r>
          </w:p>
        </w:tc>
        <w:tc>
          <w:tcPr>
            <w:tcW w:w="460" w:type="pct"/>
            <w:vAlign w:val="center"/>
          </w:tcPr>
          <w:p w14:paraId="5A5D4BAA">
            <w:pPr>
              <w:widowControl/>
              <w:jc w:val="left"/>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0.5</w:t>
            </w:r>
          </w:p>
        </w:tc>
        <w:tc>
          <w:tcPr>
            <w:tcW w:w="1001" w:type="pct"/>
            <w:vAlign w:val="center"/>
          </w:tcPr>
          <w:p w14:paraId="3F8B73D3">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通用</w:t>
            </w:r>
          </w:p>
        </w:tc>
        <w:tc>
          <w:tcPr>
            <w:tcW w:w="620" w:type="pct"/>
            <w:vAlign w:val="center"/>
          </w:tcPr>
          <w:p w14:paraId="2CFEA97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设备室</w:t>
            </w:r>
          </w:p>
        </w:tc>
        <w:tc>
          <w:tcPr>
            <w:tcW w:w="441" w:type="pct"/>
            <w:vAlign w:val="center"/>
          </w:tcPr>
          <w:p w14:paraId="2976D751">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有效</w:t>
            </w:r>
          </w:p>
        </w:tc>
      </w:tr>
      <w:tr w14:paraId="6A98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8"/>
            <w:vAlign w:val="center"/>
          </w:tcPr>
          <w:p w14:paraId="4A0E1903">
            <w:pPr>
              <w:widowControl/>
              <w:jc w:val="left"/>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管理责任人：</w:t>
            </w:r>
            <w:r>
              <w:rPr>
                <w:rFonts w:hint="eastAsia" w:ascii="仿宋" w:hAnsi="仿宋" w:eastAsia="仿宋" w:cs="宋体"/>
                <w:color w:val="auto"/>
                <w:kern w:val="0"/>
                <w:sz w:val="24"/>
                <w:highlight w:val="none"/>
                <w:lang w:val="en-US" w:eastAsia="zh-CN" w:bidi="ar"/>
              </w:rPr>
              <w:t>王峰</w:t>
            </w:r>
            <w:r>
              <w:rPr>
                <w:rFonts w:hint="eastAsia" w:ascii="仿宋" w:hAnsi="仿宋" w:eastAsia="仿宋" w:cs="宋体"/>
                <w:color w:val="auto"/>
                <w:kern w:val="0"/>
                <w:sz w:val="24"/>
                <w:highlight w:val="none"/>
                <w:lang w:bidi="ar"/>
              </w:rPr>
              <w:t xml:space="preserve">    联系电话：</w:t>
            </w:r>
            <w:r>
              <w:rPr>
                <w:rFonts w:hint="eastAsia" w:ascii="仿宋" w:hAnsi="仿宋" w:eastAsia="仿宋" w:cs="宋体"/>
                <w:color w:val="auto"/>
                <w:kern w:val="0"/>
                <w:sz w:val="24"/>
                <w:highlight w:val="none"/>
                <w:lang w:val="en-US" w:eastAsia="zh-CN" w:bidi="ar"/>
              </w:rPr>
              <w:t>18253869339</w:t>
            </w:r>
            <w:r>
              <w:rPr>
                <w:rFonts w:hint="eastAsia" w:ascii="仿宋" w:hAnsi="仿宋" w:eastAsia="仿宋" w:cs="宋体"/>
                <w:color w:val="auto"/>
                <w:kern w:val="0"/>
                <w:sz w:val="24"/>
                <w:highlight w:val="none"/>
                <w:lang w:bidi="ar"/>
              </w:rPr>
              <w:t xml:space="preserve">   办公电话： </w:t>
            </w:r>
            <w:r>
              <w:rPr>
                <w:rFonts w:hint="eastAsia" w:ascii="仿宋" w:hAnsi="仿宋" w:eastAsia="仿宋" w:cs="宋体"/>
                <w:color w:val="auto"/>
                <w:kern w:val="0"/>
                <w:sz w:val="24"/>
                <w:highlight w:val="none"/>
                <w:lang w:val="en-US" w:eastAsia="zh-CN" w:bidi="ar"/>
              </w:rPr>
              <w:t>999351</w:t>
            </w:r>
          </w:p>
        </w:tc>
      </w:tr>
    </w:tbl>
    <w:p w14:paraId="756A2F05">
      <w:pPr>
        <w:pStyle w:val="44"/>
        <w:spacing w:line="360" w:lineRule="auto"/>
        <w:jc w:val="both"/>
        <w:outlineLvl w:val="3"/>
        <w:rPr>
          <w:rFonts w:hint="eastAsia" w:ascii="仿宋_GB2312" w:hAnsi="仿宋_GB2312" w:eastAsia="仿宋_GB2312" w:cs="仿宋_GB2312"/>
          <w:b/>
          <w:color w:val="auto"/>
          <w:kern w:val="2"/>
          <w:sz w:val="32"/>
          <w:szCs w:val="32"/>
          <w:highlight w:val="none"/>
        </w:rPr>
      </w:pPr>
    </w:p>
    <w:p w14:paraId="7ADCA799">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6</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探水钻机设备明细</w:t>
      </w:r>
    </w:p>
    <w:tbl>
      <w:tblPr>
        <w:tblStyle w:val="28"/>
        <w:tblW w:w="4996" w:type="pct"/>
        <w:tblInd w:w="0" w:type="dxa"/>
        <w:tblLayout w:type="fixed"/>
        <w:tblCellMar>
          <w:top w:w="0" w:type="dxa"/>
          <w:left w:w="108" w:type="dxa"/>
          <w:bottom w:w="0" w:type="dxa"/>
          <w:right w:w="108" w:type="dxa"/>
        </w:tblCellMar>
      </w:tblPr>
      <w:tblGrid>
        <w:gridCol w:w="695"/>
        <w:gridCol w:w="2028"/>
        <w:gridCol w:w="1880"/>
        <w:gridCol w:w="742"/>
        <w:gridCol w:w="758"/>
        <w:gridCol w:w="1328"/>
        <w:gridCol w:w="879"/>
        <w:gridCol w:w="744"/>
      </w:tblGrid>
      <w:tr w14:paraId="133D4ABC">
        <w:tblPrEx>
          <w:tblCellMar>
            <w:top w:w="0" w:type="dxa"/>
            <w:left w:w="108" w:type="dxa"/>
            <w:bottom w:w="0" w:type="dxa"/>
            <w:right w:w="108" w:type="dxa"/>
          </w:tblCellMar>
        </w:tblPrEx>
        <w:trPr>
          <w:trHeight w:val="454" w:hRule="atLeast"/>
        </w:trPr>
        <w:tc>
          <w:tcPr>
            <w:tcW w:w="695"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5E32E0DB">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序号</w:t>
            </w:r>
          </w:p>
        </w:tc>
        <w:tc>
          <w:tcPr>
            <w:tcW w:w="2028" w:type="dxa"/>
            <w:tcBorders>
              <w:top w:val="single" w:color="000000" w:sz="4" w:space="0"/>
              <w:left w:val="nil"/>
              <w:bottom w:val="single" w:color="auto" w:sz="4" w:space="0"/>
              <w:right w:val="single" w:color="auto" w:sz="4" w:space="0"/>
            </w:tcBorders>
            <w:shd w:val="clear" w:color="auto" w:fill="auto"/>
            <w:noWrap/>
            <w:vAlign w:val="center"/>
          </w:tcPr>
          <w:p w14:paraId="0BD354EC">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设备 名称</w:t>
            </w:r>
          </w:p>
        </w:tc>
        <w:tc>
          <w:tcPr>
            <w:tcW w:w="1880" w:type="dxa"/>
            <w:tcBorders>
              <w:top w:val="single" w:color="000000" w:sz="4" w:space="0"/>
              <w:left w:val="nil"/>
              <w:bottom w:val="single" w:color="auto" w:sz="4" w:space="0"/>
              <w:right w:val="single" w:color="auto" w:sz="4" w:space="0"/>
            </w:tcBorders>
            <w:shd w:val="clear" w:color="auto" w:fill="auto"/>
            <w:noWrap/>
            <w:vAlign w:val="center"/>
          </w:tcPr>
          <w:p w14:paraId="7F6FB4F1">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设备型号</w:t>
            </w:r>
          </w:p>
        </w:tc>
        <w:tc>
          <w:tcPr>
            <w:tcW w:w="742" w:type="dxa"/>
            <w:tcBorders>
              <w:top w:val="single" w:color="000000" w:sz="4" w:space="0"/>
              <w:left w:val="nil"/>
              <w:bottom w:val="single" w:color="auto" w:sz="4" w:space="0"/>
              <w:right w:val="single" w:color="auto" w:sz="4" w:space="0"/>
            </w:tcBorders>
            <w:shd w:val="clear" w:color="auto" w:fill="auto"/>
            <w:noWrap/>
            <w:vAlign w:val="center"/>
          </w:tcPr>
          <w:p w14:paraId="2FD9AE60">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单位</w:t>
            </w:r>
          </w:p>
        </w:tc>
        <w:tc>
          <w:tcPr>
            <w:tcW w:w="758" w:type="dxa"/>
            <w:tcBorders>
              <w:top w:val="single" w:color="000000" w:sz="4" w:space="0"/>
              <w:left w:val="nil"/>
              <w:bottom w:val="single" w:color="auto" w:sz="4" w:space="0"/>
              <w:right w:val="single" w:color="auto" w:sz="4" w:space="0"/>
            </w:tcBorders>
            <w:shd w:val="clear" w:color="auto" w:fill="auto"/>
            <w:noWrap/>
            <w:vAlign w:val="center"/>
          </w:tcPr>
          <w:p w14:paraId="56046EA4">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数量</w:t>
            </w:r>
          </w:p>
        </w:tc>
        <w:tc>
          <w:tcPr>
            <w:tcW w:w="1328" w:type="dxa"/>
            <w:tcBorders>
              <w:top w:val="single" w:color="000000" w:sz="4" w:space="0"/>
              <w:left w:val="nil"/>
              <w:bottom w:val="single" w:color="auto" w:sz="4" w:space="0"/>
              <w:right w:val="single" w:color="auto" w:sz="4" w:space="0"/>
            </w:tcBorders>
            <w:shd w:val="clear" w:color="auto" w:fill="auto"/>
            <w:noWrap/>
            <w:vAlign w:val="center"/>
          </w:tcPr>
          <w:p w14:paraId="3FF52F92">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使用条件</w:t>
            </w:r>
          </w:p>
        </w:tc>
        <w:tc>
          <w:tcPr>
            <w:tcW w:w="879" w:type="dxa"/>
            <w:tcBorders>
              <w:top w:val="single" w:color="000000" w:sz="4" w:space="0"/>
              <w:left w:val="nil"/>
              <w:bottom w:val="single" w:color="auto" w:sz="4" w:space="0"/>
              <w:right w:val="single" w:color="auto" w:sz="4" w:space="0"/>
            </w:tcBorders>
            <w:shd w:val="clear" w:color="auto" w:fill="auto"/>
            <w:noWrap/>
            <w:vAlign w:val="center"/>
          </w:tcPr>
          <w:p w14:paraId="5218B510">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存放地点</w:t>
            </w:r>
          </w:p>
        </w:tc>
        <w:tc>
          <w:tcPr>
            <w:tcW w:w="744" w:type="dxa"/>
            <w:tcBorders>
              <w:top w:val="single" w:color="000000" w:sz="4" w:space="0"/>
              <w:left w:val="nil"/>
              <w:bottom w:val="single" w:color="auto" w:sz="4" w:space="0"/>
              <w:right w:val="single" w:color="auto" w:sz="4" w:space="0"/>
            </w:tcBorders>
            <w:shd w:val="clear" w:color="auto" w:fill="auto"/>
            <w:noWrap/>
            <w:vAlign w:val="center"/>
          </w:tcPr>
          <w:p w14:paraId="7B3D09B7">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性能</w:t>
            </w:r>
          </w:p>
        </w:tc>
      </w:tr>
      <w:tr w14:paraId="34833ABF">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B586B95">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2028" w:type="dxa"/>
            <w:tcBorders>
              <w:top w:val="nil"/>
              <w:left w:val="nil"/>
              <w:bottom w:val="single" w:color="auto" w:sz="4" w:space="0"/>
              <w:right w:val="single" w:color="auto" w:sz="4" w:space="0"/>
            </w:tcBorders>
            <w:shd w:val="clear" w:color="auto" w:fill="auto"/>
            <w:noWrap/>
            <w:vAlign w:val="center"/>
          </w:tcPr>
          <w:p w14:paraId="39B4F2D9">
            <w:pPr>
              <w:keepNext w:val="0"/>
              <w:keepLines w:val="0"/>
              <w:widowControl/>
              <w:suppressLineNumbers w:val="0"/>
              <w:jc w:val="center"/>
              <w:textAlignment w:val="center"/>
              <w:rPr>
                <w:rFonts w:ascii="仿宋" w:hAnsi="仿宋" w:eastAsia="仿宋" w:cs="宋体"/>
                <w:color w:val="auto"/>
                <w:kern w:val="0"/>
                <w:sz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煤矿用坑道液压钻机</w:t>
            </w:r>
          </w:p>
        </w:tc>
        <w:tc>
          <w:tcPr>
            <w:tcW w:w="1880" w:type="dxa"/>
            <w:tcBorders>
              <w:top w:val="nil"/>
              <w:left w:val="nil"/>
              <w:bottom w:val="single" w:color="auto" w:sz="4" w:space="0"/>
              <w:right w:val="single" w:color="auto" w:sz="4" w:space="0"/>
            </w:tcBorders>
            <w:shd w:val="clear" w:color="auto" w:fill="auto"/>
            <w:noWrap/>
            <w:vAlign w:val="center"/>
          </w:tcPr>
          <w:p w14:paraId="09AD32B1">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ZDY－3200</w:t>
            </w:r>
          </w:p>
        </w:tc>
        <w:tc>
          <w:tcPr>
            <w:tcW w:w="742" w:type="dxa"/>
            <w:tcBorders>
              <w:top w:val="nil"/>
              <w:left w:val="nil"/>
              <w:bottom w:val="single" w:color="auto" w:sz="4" w:space="0"/>
              <w:right w:val="single" w:color="auto" w:sz="4" w:space="0"/>
            </w:tcBorders>
            <w:shd w:val="clear" w:color="auto" w:fill="auto"/>
            <w:noWrap/>
            <w:vAlign w:val="center"/>
          </w:tcPr>
          <w:p w14:paraId="4ED24561">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台</w:t>
            </w:r>
          </w:p>
        </w:tc>
        <w:tc>
          <w:tcPr>
            <w:tcW w:w="758" w:type="dxa"/>
            <w:tcBorders>
              <w:top w:val="nil"/>
              <w:left w:val="nil"/>
              <w:bottom w:val="single" w:color="auto" w:sz="4" w:space="0"/>
              <w:right w:val="single" w:color="auto" w:sz="4" w:space="0"/>
            </w:tcBorders>
            <w:shd w:val="clear" w:color="auto" w:fill="auto"/>
            <w:noWrap/>
            <w:vAlign w:val="center"/>
          </w:tcPr>
          <w:p w14:paraId="3DD643AB">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1328" w:type="dxa"/>
            <w:tcBorders>
              <w:top w:val="nil"/>
              <w:left w:val="nil"/>
              <w:bottom w:val="single" w:color="auto" w:sz="4" w:space="0"/>
              <w:right w:val="single" w:color="auto" w:sz="4" w:space="0"/>
            </w:tcBorders>
            <w:shd w:val="clear" w:color="auto" w:fill="auto"/>
            <w:noWrap/>
            <w:vAlign w:val="center"/>
          </w:tcPr>
          <w:p w14:paraId="04B53FFE">
            <w:pPr>
              <w:pStyle w:val="44"/>
              <w:jc w:val="center"/>
              <w:rPr>
                <w:rFonts w:hint="default" w:ascii="仿宋" w:hAnsi="仿宋" w:eastAsia="仿宋" w:cs="宋体"/>
                <w:color w:val="auto"/>
                <w:kern w:val="0"/>
                <w:sz w:val="24"/>
                <w:highlight w:val="none"/>
                <w:lang w:val="en-US" w:eastAsia="zh-CN" w:bidi="ar"/>
              </w:rPr>
            </w:pPr>
            <w:r>
              <w:rPr>
                <w:rFonts w:hint="eastAsia"/>
                <w:color w:val="auto"/>
                <w:highlight w:val="none"/>
                <w:vertAlign w:val="baseline"/>
                <w:lang w:val="en-US" w:eastAsia="zh-CN"/>
              </w:rPr>
              <w:t>顶板/水害/冲击地压</w:t>
            </w:r>
          </w:p>
        </w:tc>
        <w:tc>
          <w:tcPr>
            <w:tcW w:w="879" w:type="dxa"/>
            <w:tcBorders>
              <w:top w:val="nil"/>
              <w:left w:val="nil"/>
              <w:bottom w:val="single" w:color="auto" w:sz="4" w:space="0"/>
              <w:right w:val="single" w:color="auto" w:sz="4" w:space="0"/>
            </w:tcBorders>
            <w:shd w:val="clear" w:color="auto" w:fill="auto"/>
            <w:noWrap/>
            <w:vAlign w:val="center"/>
          </w:tcPr>
          <w:p w14:paraId="3C78D702">
            <w:pPr>
              <w:pStyle w:val="44"/>
              <w:jc w:val="center"/>
              <w:rPr>
                <w:rFonts w:hint="default" w:ascii="仿宋" w:hAnsi="仿宋" w:eastAsia="仿宋" w:cs="宋体"/>
                <w:color w:val="auto"/>
                <w:kern w:val="0"/>
                <w:sz w:val="24"/>
                <w:highlight w:val="none"/>
                <w:lang w:val="en-US" w:eastAsia="zh-CN" w:bidi="ar"/>
              </w:rPr>
            </w:pPr>
            <w:r>
              <w:rPr>
                <w:rFonts w:hint="eastAsia"/>
                <w:color w:val="auto"/>
                <w:highlight w:val="none"/>
                <w:vertAlign w:val="baseline"/>
                <w:lang w:val="en-US" w:eastAsia="zh-CN"/>
              </w:rPr>
              <w:t>五采辅运下山</w:t>
            </w:r>
          </w:p>
        </w:tc>
        <w:tc>
          <w:tcPr>
            <w:tcW w:w="744" w:type="dxa"/>
            <w:tcBorders>
              <w:top w:val="nil"/>
              <w:left w:val="nil"/>
              <w:bottom w:val="single" w:color="auto" w:sz="4" w:space="0"/>
              <w:right w:val="single" w:color="auto" w:sz="4" w:space="0"/>
            </w:tcBorders>
            <w:shd w:val="clear" w:color="auto" w:fill="auto"/>
            <w:noWrap/>
            <w:vAlign w:val="center"/>
          </w:tcPr>
          <w:p w14:paraId="193CD039">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50343D8D">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031D2E6">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2</w:t>
            </w:r>
          </w:p>
        </w:tc>
        <w:tc>
          <w:tcPr>
            <w:tcW w:w="2028" w:type="dxa"/>
            <w:tcBorders>
              <w:top w:val="nil"/>
              <w:left w:val="nil"/>
              <w:bottom w:val="single" w:color="auto" w:sz="4" w:space="0"/>
              <w:right w:val="single" w:color="auto" w:sz="4" w:space="0"/>
            </w:tcBorders>
            <w:shd w:val="clear" w:color="auto" w:fill="auto"/>
            <w:noWrap/>
            <w:vAlign w:val="center"/>
          </w:tcPr>
          <w:p w14:paraId="24A2AEEC">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煤矿用履带式全液压坑道钻机</w:t>
            </w:r>
          </w:p>
        </w:tc>
        <w:tc>
          <w:tcPr>
            <w:tcW w:w="1880" w:type="dxa"/>
            <w:tcBorders>
              <w:top w:val="nil"/>
              <w:left w:val="nil"/>
              <w:bottom w:val="single" w:color="auto" w:sz="4" w:space="0"/>
              <w:right w:val="single" w:color="auto" w:sz="4" w:space="0"/>
            </w:tcBorders>
            <w:shd w:val="clear" w:color="auto" w:fill="auto"/>
            <w:noWrap/>
            <w:vAlign w:val="center"/>
          </w:tcPr>
          <w:p w14:paraId="1B47799F">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ZDY4000LP (S)</w:t>
            </w:r>
          </w:p>
        </w:tc>
        <w:tc>
          <w:tcPr>
            <w:tcW w:w="742" w:type="dxa"/>
            <w:tcBorders>
              <w:top w:val="nil"/>
              <w:left w:val="nil"/>
              <w:bottom w:val="single" w:color="auto" w:sz="4" w:space="0"/>
              <w:right w:val="single" w:color="auto" w:sz="4" w:space="0"/>
            </w:tcBorders>
            <w:shd w:val="clear" w:color="auto" w:fill="auto"/>
            <w:noWrap/>
            <w:vAlign w:val="center"/>
          </w:tcPr>
          <w:p w14:paraId="2D747036">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台</w:t>
            </w:r>
          </w:p>
        </w:tc>
        <w:tc>
          <w:tcPr>
            <w:tcW w:w="758" w:type="dxa"/>
            <w:tcBorders>
              <w:top w:val="nil"/>
              <w:left w:val="nil"/>
              <w:bottom w:val="single" w:color="auto" w:sz="4" w:space="0"/>
              <w:right w:val="single" w:color="auto" w:sz="4" w:space="0"/>
            </w:tcBorders>
            <w:shd w:val="clear" w:color="auto" w:fill="auto"/>
            <w:noWrap/>
            <w:vAlign w:val="center"/>
          </w:tcPr>
          <w:p w14:paraId="479D0889">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1328" w:type="dxa"/>
            <w:tcBorders>
              <w:top w:val="nil"/>
              <w:left w:val="nil"/>
              <w:bottom w:val="single" w:color="auto" w:sz="4" w:space="0"/>
              <w:right w:val="single" w:color="auto" w:sz="4" w:space="0"/>
            </w:tcBorders>
            <w:shd w:val="clear" w:color="auto" w:fill="auto"/>
            <w:noWrap/>
            <w:vAlign w:val="center"/>
          </w:tcPr>
          <w:p w14:paraId="55FECC99">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顶板/水害/冲击地压</w:t>
            </w:r>
          </w:p>
        </w:tc>
        <w:tc>
          <w:tcPr>
            <w:tcW w:w="879" w:type="dxa"/>
            <w:tcBorders>
              <w:top w:val="nil"/>
              <w:left w:val="nil"/>
              <w:bottom w:val="single" w:color="auto" w:sz="4" w:space="0"/>
              <w:right w:val="single" w:color="auto" w:sz="4" w:space="0"/>
            </w:tcBorders>
            <w:shd w:val="clear" w:color="auto" w:fill="auto"/>
            <w:noWrap/>
            <w:vAlign w:val="center"/>
          </w:tcPr>
          <w:p w14:paraId="035F1D4B">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5303运输巷</w:t>
            </w:r>
          </w:p>
        </w:tc>
        <w:tc>
          <w:tcPr>
            <w:tcW w:w="744" w:type="dxa"/>
            <w:tcBorders>
              <w:top w:val="nil"/>
              <w:left w:val="nil"/>
              <w:bottom w:val="single" w:color="auto" w:sz="4" w:space="0"/>
              <w:right w:val="single" w:color="auto" w:sz="4" w:space="0"/>
            </w:tcBorders>
            <w:shd w:val="clear" w:color="auto" w:fill="auto"/>
            <w:noWrap/>
            <w:vAlign w:val="center"/>
          </w:tcPr>
          <w:p w14:paraId="3A9ED9DD">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1E0D9ED9">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13B3D28">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3</w:t>
            </w:r>
          </w:p>
        </w:tc>
        <w:tc>
          <w:tcPr>
            <w:tcW w:w="2028" w:type="dxa"/>
            <w:tcBorders>
              <w:top w:val="nil"/>
              <w:left w:val="nil"/>
              <w:bottom w:val="single" w:color="auto" w:sz="4" w:space="0"/>
              <w:right w:val="single" w:color="auto" w:sz="4" w:space="0"/>
            </w:tcBorders>
            <w:shd w:val="clear" w:color="auto" w:fill="auto"/>
            <w:noWrap/>
            <w:vAlign w:val="center"/>
          </w:tcPr>
          <w:p w14:paraId="63A33915">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履带式液压钻机</w:t>
            </w:r>
          </w:p>
        </w:tc>
        <w:tc>
          <w:tcPr>
            <w:tcW w:w="1880" w:type="dxa"/>
            <w:tcBorders>
              <w:top w:val="nil"/>
              <w:left w:val="nil"/>
              <w:bottom w:val="single" w:color="auto" w:sz="4" w:space="0"/>
              <w:right w:val="single" w:color="auto" w:sz="4" w:space="0"/>
            </w:tcBorders>
            <w:shd w:val="clear" w:color="auto" w:fill="auto"/>
            <w:noWrap/>
            <w:vAlign w:val="center"/>
          </w:tcPr>
          <w:p w14:paraId="68A776C0">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LPS3400</w:t>
            </w:r>
          </w:p>
        </w:tc>
        <w:tc>
          <w:tcPr>
            <w:tcW w:w="742" w:type="dxa"/>
            <w:tcBorders>
              <w:top w:val="nil"/>
              <w:left w:val="nil"/>
              <w:bottom w:val="single" w:color="auto" w:sz="4" w:space="0"/>
              <w:right w:val="single" w:color="auto" w:sz="4" w:space="0"/>
            </w:tcBorders>
            <w:shd w:val="clear" w:color="auto" w:fill="auto"/>
            <w:noWrap/>
            <w:vAlign w:val="center"/>
          </w:tcPr>
          <w:p w14:paraId="25E4C897">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台</w:t>
            </w:r>
          </w:p>
        </w:tc>
        <w:tc>
          <w:tcPr>
            <w:tcW w:w="758" w:type="dxa"/>
            <w:tcBorders>
              <w:top w:val="nil"/>
              <w:left w:val="nil"/>
              <w:bottom w:val="single" w:color="auto" w:sz="4" w:space="0"/>
              <w:right w:val="single" w:color="auto" w:sz="4" w:space="0"/>
            </w:tcBorders>
            <w:shd w:val="clear" w:color="auto" w:fill="auto"/>
            <w:noWrap/>
            <w:vAlign w:val="center"/>
          </w:tcPr>
          <w:p w14:paraId="24471F95">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1328" w:type="dxa"/>
            <w:tcBorders>
              <w:top w:val="nil"/>
              <w:left w:val="nil"/>
              <w:bottom w:val="single" w:color="auto" w:sz="4" w:space="0"/>
              <w:right w:val="single" w:color="auto" w:sz="4" w:space="0"/>
            </w:tcBorders>
            <w:shd w:val="clear" w:color="auto" w:fill="auto"/>
            <w:noWrap/>
            <w:vAlign w:val="center"/>
          </w:tcPr>
          <w:p w14:paraId="2C543854">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顶板/冲击地压</w:t>
            </w:r>
          </w:p>
        </w:tc>
        <w:tc>
          <w:tcPr>
            <w:tcW w:w="879" w:type="dxa"/>
            <w:tcBorders>
              <w:top w:val="nil"/>
              <w:left w:val="nil"/>
              <w:bottom w:val="single" w:color="auto" w:sz="4" w:space="0"/>
              <w:right w:val="single" w:color="auto" w:sz="4" w:space="0"/>
            </w:tcBorders>
            <w:shd w:val="clear" w:color="auto" w:fill="auto"/>
            <w:noWrap/>
            <w:vAlign w:val="center"/>
          </w:tcPr>
          <w:p w14:paraId="5145B07B">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5303辅运巷</w:t>
            </w:r>
          </w:p>
        </w:tc>
        <w:tc>
          <w:tcPr>
            <w:tcW w:w="744" w:type="dxa"/>
            <w:tcBorders>
              <w:top w:val="nil"/>
              <w:left w:val="nil"/>
              <w:bottom w:val="single" w:color="auto" w:sz="4" w:space="0"/>
              <w:right w:val="single" w:color="auto" w:sz="4" w:space="0"/>
            </w:tcBorders>
            <w:shd w:val="clear" w:color="auto" w:fill="auto"/>
            <w:noWrap/>
            <w:vAlign w:val="center"/>
          </w:tcPr>
          <w:p w14:paraId="6FE6C992">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12D0FFEA">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010C91C">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4</w:t>
            </w:r>
          </w:p>
        </w:tc>
        <w:tc>
          <w:tcPr>
            <w:tcW w:w="2028" w:type="dxa"/>
            <w:tcBorders>
              <w:top w:val="nil"/>
              <w:left w:val="nil"/>
              <w:bottom w:val="single" w:color="auto" w:sz="4" w:space="0"/>
              <w:right w:val="single" w:color="auto" w:sz="4" w:space="0"/>
            </w:tcBorders>
            <w:shd w:val="clear" w:color="auto" w:fill="auto"/>
            <w:noWrap/>
            <w:vAlign w:val="center"/>
          </w:tcPr>
          <w:p w14:paraId="2590114E">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煤矿用履带式全液压坑道钻机</w:t>
            </w:r>
          </w:p>
        </w:tc>
        <w:tc>
          <w:tcPr>
            <w:tcW w:w="1880" w:type="dxa"/>
            <w:tcBorders>
              <w:top w:val="nil"/>
              <w:left w:val="nil"/>
              <w:bottom w:val="single" w:color="auto" w:sz="4" w:space="0"/>
              <w:right w:val="single" w:color="auto" w:sz="4" w:space="0"/>
            </w:tcBorders>
            <w:shd w:val="clear" w:color="auto" w:fill="auto"/>
            <w:noWrap/>
            <w:vAlign w:val="center"/>
          </w:tcPr>
          <w:p w14:paraId="4A431EBB">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ZDY4</w:t>
            </w:r>
            <w:r>
              <w:rPr>
                <w:rFonts w:hint="eastAsia"/>
                <w:color w:val="auto"/>
                <w:highlight w:val="none"/>
                <w:vertAlign w:val="baseline"/>
                <w:lang w:val="en-US" w:eastAsia="zh-CN"/>
              </w:rPr>
              <w:t>5</w:t>
            </w:r>
            <w:r>
              <w:rPr>
                <w:rFonts w:hint="eastAsia"/>
                <w:color w:val="auto"/>
                <w:highlight w:val="none"/>
                <w:vertAlign w:val="baseline"/>
              </w:rPr>
              <w:t>00LP (S)</w:t>
            </w:r>
          </w:p>
        </w:tc>
        <w:tc>
          <w:tcPr>
            <w:tcW w:w="742" w:type="dxa"/>
            <w:tcBorders>
              <w:top w:val="nil"/>
              <w:left w:val="nil"/>
              <w:bottom w:val="single" w:color="auto" w:sz="4" w:space="0"/>
              <w:right w:val="single" w:color="auto" w:sz="4" w:space="0"/>
            </w:tcBorders>
            <w:shd w:val="clear" w:color="auto" w:fill="auto"/>
            <w:noWrap/>
            <w:vAlign w:val="center"/>
          </w:tcPr>
          <w:p w14:paraId="0E47A750">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台</w:t>
            </w:r>
          </w:p>
        </w:tc>
        <w:tc>
          <w:tcPr>
            <w:tcW w:w="758" w:type="dxa"/>
            <w:tcBorders>
              <w:top w:val="nil"/>
              <w:left w:val="nil"/>
              <w:bottom w:val="single" w:color="auto" w:sz="4" w:space="0"/>
              <w:right w:val="single" w:color="auto" w:sz="4" w:space="0"/>
            </w:tcBorders>
            <w:shd w:val="clear" w:color="auto" w:fill="auto"/>
            <w:noWrap/>
            <w:vAlign w:val="center"/>
          </w:tcPr>
          <w:p w14:paraId="58D1358C">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1328" w:type="dxa"/>
            <w:tcBorders>
              <w:top w:val="nil"/>
              <w:left w:val="nil"/>
              <w:bottom w:val="single" w:color="auto" w:sz="4" w:space="0"/>
              <w:right w:val="single" w:color="auto" w:sz="4" w:space="0"/>
            </w:tcBorders>
            <w:shd w:val="clear" w:color="auto" w:fill="auto"/>
            <w:noWrap/>
            <w:vAlign w:val="center"/>
          </w:tcPr>
          <w:p w14:paraId="65F1C24B">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顶板/水害/冲击地压</w:t>
            </w:r>
          </w:p>
        </w:tc>
        <w:tc>
          <w:tcPr>
            <w:tcW w:w="879" w:type="dxa"/>
            <w:tcBorders>
              <w:top w:val="nil"/>
              <w:left w:val="nil"/>
              <w:bottom w:val="single" w:color="auto" w:sz="4" w:space="0"/>
              <w:right w:val="single" w:color="auto" w:sz="4" w:space="0"/>
            </w:tcBorders>
            <w:shd w:val="clear" w:color="auto" w:fill="auto"/>
            <w:noWrap/>
            <w:vAlign w:val="center"/>
          </w:tcPr>
          <w:p w14:paraId="71D2F5AC">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5303运输巷</w:t>
            </w:r>
          </w:p>
        </w:tc>
        <w:tc>
          <w:tcPr>
            <w:tcW w:w="744" w:type="dxa"/>
            <w:tcBorders>
              <w:top w:val="nil"/>
              <w:left w:val="nil"/>
              <w:bottom w:val="single" w:color="auto" w:sz="4" w:space="0"/>
              <w:right w:val="single" w:color="auto" w:sz="4" w:space="0"/>
            </w:tcBorders>
            <w:shd w:val="clear" w:color="auto" w:fill="auto"/>
            <w:noWrap/>
            <w:vAlign w:val="center"/>
          </w:tcPr>
          <w:p w14:paraId="1514E7D4">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1F4E46C6">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D6A6686">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5</w:t>
            </w:r>
          </w:p>
        </w:tc>
        <w:tc>
          <w:tcPr>
            <w:tcW w:w="2028" w:type="dxa"/>
            <w:tcBorders>
              <w:top w:val="nil"/>
              <w:left w:val="nil"/>
              <w:bottom w:val="single" w:color="auto" w:sz="4" w:space="0"/>
              <w:right w:val="single" w:color="auto" w:sz="4" w:space="0"/>
            </w:tcBorders>
            <w:shd w:val="clear" w:color="auto" w:fill="auto"/>
            <w:noWrap/>
            <w:vAlign w:val="center"/>
          </w:tcPr>
          <w:p w14:paraId="4F5FAA18">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履带式液压钻机</w:t>
            </w:r>
          </w:p>
        </w:tc>
        <w:tc>
          <w:tcPr>
            <w:tcW w:w="1880" w:type="dxa"/>
            <w:tcBorders>
              <w:top w:val="nil"/>
              <w:left w:val="nil"/>
              <w:bottom w:val="single" w:color="auto" w:sz="4" w:space="0"/>
              <w:right w:val="single" w:color="auto" w:sz="4" w:space="0"/>
            </w:tcBorders>
            <w:shd w:val="clear" w:color="auto" w:fill="auto"/>
            <w:noWrap/>
            <w:vAlign w:val="center"/>
          </w:tcPr>
          <w:p w14:paraId="4D9F6FFD">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LPS3</w:t>
            </w:r>
            <w:r>
              <w:rPr>
                <w:rFonts w:hint="eastAsia"/>
                <w:color w:val="auto"/>
                <w:highlight w:val="none"/>
                <w:vertAlign w:val="baseline"/>
                <w:lang w:val="en-US" w:eastAsia="zh-CN"/>
              </w:rPr>
              <w:t>5</w:t>
            </w:r>
            <w:r>
              <w:rPr>
                <w:rFonts w:hint="eastAsia"/>
                <w:color w:val="auto"/>
                <w:highlight w:val="none"/>
                <w:vertAlign w:val="baseline"/>
              </w:rPr>
              <w:t>00</w:t>
            </w:r>
          </w:p>
        </w:tc>
        <w:tc>
          <w:tcPr>
            <w:tcW w:w="742" w:type="dxa"/>
            <w:tcBorders>
              <w:top w:val="nil"/>
              <w:left w:val="nil"/>
              <w:bottom w:val="single" w:color="auto" w:sz="4" w:space="0"/>
              <w:right w:val="single" w:color="auto" w:sz="4" w:space="0"/>
            </w:tcBorders>
            <w:shd w:val="clear" w:color="auto" w:fill="auto"/>
            <w:noWrap/>
            <w:vAlign w:val="center"/>
          </w:tcPr>
          <w:p w14:paraId="23EBDA07">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台</w:t>
            </w:r>
          </w:p>
        </w:tc>
        <w:tc>
          <w:tcPr>
            <w:tcW w:w="758" w:type="dxa"/>
            <w:tcBorders>
              <w:top w:val="nil"/>
              <w:left w:val="nil"/>
              <w:bottom w:val="single" w:color="auto" w:sz="4" w:space="0"/>
              <w:right w:val="single" w:color="auto" w:sz="4" w:space="0"/>
            </w:tcBorders>
            <w:shd w:val="clear" w:color="auto" w:fill="auto"/>
            <w:noWrap/>
            <w:vAlign w:val="center"/>
          </w:tcPr>
          <w:p w14:paraId="135672C4">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1328" w:type="dxa"/>
            <w:tcBorders>
              <w:top w:val="nil"/>
              <w:left w:val="nil"/>
              <w:bottom w:val="single" w:color="auto" w:sz="4" w:space="0"/>
              <w:right w:val="single" w:color="auto" w:sz="4" w:space="0"/>
            </w:tcBorders>
            <w:shd w:val="clear" w:color="auto" w:fill="auto"/>
            <w:noWrap/>
            <w:vAlign w:val="center"/>
          </w:tcPr>
          <w:p w14:paraId="4131BE33">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顶板/冲击地压</w:t>
            </w:r>
          </w:p>
        </w:tc>
        <w:tc>
          <w:tcPr>
            <w:tcW w:w="879" w:type="dxa"/>
            <w:tcBorders>
              <w:top w:val="nil"/>
              <w:left w:val="nil"/>
              <w:bottom w:val="single" w:color="auto" w:sz="4" w:space="0"/>
              <w:right w:val="single" w:color="auto" w:sz="4" w:space="0"/>
            </w:tcBorders>
            <w:shd w:val="clear" w:color="auto" w:fill="auto"/>
            <w:noWrap/>
            <w:vAlign w:val="center"/>
          </w:tcPr>
          <w:p w14:paraId="68F65D8C">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5301运输巷</w:t>
            </w:r>
          </w:p>
        </w:tc>
        <w:tc>
          <w:tcPr>
            <w:tcW w:w="744" w:type="dxa"/>
            <w:tcBorders>
              <w:top w:val="nil"/>
              <w:left w:val="nil"/>
              <w:bottom w:val="single" w:color="auto" w:sz="4" w:space="0"/>
              <w:right w:val="single" w:color="auto" w:sz="4" w:space="0"/>
            </w:tcBorders>
            <w:shd w:val="clear" w:color="auto" w:fill="auto"/>
            <w:noWrap/>
            <w:vAlign w:val="center"/>
          </w:tcPr>
          <w:p w14:paraId="4C60AEF1">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0680649A">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C95E156">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6</w:t>
            </w:r>
          </w:p>
        </w:tc>
        <w:tc>
          <w:tcPr>
            <w:tcW w:w="2028" w:type="dxa"/>
            <w:tcBorders>
              <w:top w:val="nil"/>
              <w:left w:val="nil"/>
              <w:bottom w:val="single" w:color="auto" w:sz="4" w:space="0"/>
              <w:right w:val="single" w:color="auto" w:sz="4" w:space="0"/>
            </w:tcBorders>
            <w:shd w:val="clear" w:color="auto" w:fill="auto"/>
            <w:noWrap/>
            <w:vAlign w:val="center"/>
          </w:tcPr>
          <w:p w14:paraId="6EAEBD6B">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钻杆</w:t>
            </w:r>
          </w:p>
        </w:tc>
        <w:tc>
          <w:tcPr>
            <w:tcW w:w="1880" w:type="dxa"/>
            <w:tcBorders>
              <w:top w:val="nil"/>
              <w:left w:val="nil"/>
              <w:bottom w:val="single" w:color="auto" w:sz="4" w:space="0"/>
              <w:right w:val="single" w:color="auto" w:sz="4" w:space="0"/>
            </w:tcBorders>
            <w:shd w:val="clear" w:color="auto" w:fill="auto"/>
            <w:noWrap/>
            <w:vAlign w:val="center"/>
          </w:tcPr>
          <w:p w14:paraId="78397F82">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1000mmx中89mm麻花</w:t>
            </w:r>
          </w:p>
        </w:tc>
        <w:tc>
          <w:tcPr>
            <w:tcW w:w="742" w:type="dxa"/>
            <w:tcBorders>
              <w:top w:val="nil"/>
              <w:left w:val="nil"/>
              <w:bottom w:val="single" w:color="auto" w:sz="4" w:space="0"/>
              <w:right w:val="single" w:color="auto" w:sz="4" w:space="0"/>
            </w:tcBorders>
            <w:shd w:val="clear" w:color="auto" w:fill="auto"/>
            <w:noWrap/>
            <w:vAlign w:val="center"/>
          </w:tcPr>
          <w:p w14:paraId="20B5BD69">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米</w:t>
            </w:r>
          </w:p>
        </w:tc>
        <w:tc>
          <w:tcPr>
            <w:tcW w:w="758" w:type="dxa"/>
            <w:tcBorders>
              <w:top w:val="nil"/>
              <w:left w:val="nil"/>
              <w:bottom w:val="single" w:color="auto" w:sz="4" w:space="0"/>
              <w:right w:val="single" w:color="auto" w:sz="4" w:space="0"/>
            </w:tcBorders>
            <w:shd w:val="clear" w:color="auto" w:fill="auto"/>
            <w:noWrap/>
            <w:vAlign w:val="center"/>
          </w:tcPr>
          <w:p w14:paraId="41C5F0FE">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150</w:t>
            </w:r>
          </w:p>
        </w:tc>
        <w:tc>
          <w:tcPr>
            <w:tcW w:w="1328" w:type="dxa"/>
            <w:tcBorders>
              <w:top w:val="nil"/>
              <w:left w:val="nil"/>
              <w:bottom w:val="single" w:color="auto" w:sz="4" w:space="0"/>
              <w:right w:val="single" w:color="auto" w:sz="4" w:space="0"/>
            </w:tcBorders>
            <w:shd w:val="clear" w:color="auto" w:fill="auto"/>
            <w:noWrap/>
            <w:vAlign w:val="center"/>
          </w:tcPr>
          <w:p w14:paraId="513EF515">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顶板/水害/冲击地压</w:t>
            </w:r>
          </w:p>
        </w:tc>
        <w:tc>
          <w:tcPr>
            <w:tcW w:w="879" w:type="dxa"/>
            <w:tcBorders>
              <w:top w:val="nil"/>
              <w:left w:val="nil"/>
              <w:bottom w:val="single" w:color="auto" w:sz="4" w:space="0"/>
              <w:right w:val="single" w:color="auto" w:sz="4" w:space="0"/>
            </w:tcBorders>
            <w:shd w:val="clear" w:color="auto" w:fill="auto"/>
            <w:noWrap/>
            <w:vAlign w:val="center"/>
          </w:tcPr>
          <w:p w14:paraId="5FCAEC61">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5303运输巷</w:t>
            </w:r>
          </w:p>
        </w:tc>
        <w:tc>
          <w:tcPr>
            <w:tcW w:w="744" w:type="dxa"/>
            <w:tcBorders>
              <w:top w:val="nil"/>
              <w:left w:val="nil"/>
              <w:bottom w:val="single" w:color="auto" w:sz="4" w:space="0"/>
              <w:right w:val="single" w:color="auto" w:sz="4" w:space="0"/>
            </w:tcBorders>
            <w:shd w:val="clear" w:color="auto" w:fill="auto"/>
            <w:noWrap/>
            <w:vAlign w:val="center"/>
          </w:tcPr>
          <w:p w14:paraId="5C03EBEB">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467AFB0D">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72D5D2B">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7</w:t>
            </w:r>
          </w:p>
        </w:tc>
        <w:tc>
          <w:tcPr>
            <w:tcW w:w="2028" w:type="dxa"/>
            <w:tcBorders>
              <w:top w:val="nil"/>
              <w:left w:val="nil"/>
              <w:bottom w:val="single" w:color="auto" w:sz="4" w:space="0"/>
              <w:right w:val="single" w:color="auto" w:sz="4" w:space="0"/>
            </w:tcBorders>
            <w:shd w:val="clear" w:color="auto" w:fill="auto"/>
            <w:noWrap/>
            <w:vAlign w:val="center"/>
          </w:tcPr>
          <w:p w14:paraId="59D6177B">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钻杆</w:t>
            </w:r>
          </w:p>
        </w:tc>
        <w:tc>
          <w:tcPr>
            <w:tcW w:w="1880" w:type="dxa"/>
            <w:tcBorders>
              <w:top w:val="nil"/>
              <w:left w:val="nil"/>
              <w:bottom w:val="single" w:color="auto" w:sz="4" w:space="0"/>
              <w:right w:val="single" w:color="auto" w:sz="4" w:space="0"/>
            </w:tcBorders>
            <w:shd w:val="clear" w:color="auto" w:fill="auto"/>
            <w:noWrap/>
            <w:vAlign w:val="center"/>
          </w:tcPr>
          <w:p w14:paraId="20CD3CDD">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1000mmx中</w:t>
            </w:r>
            <w:r>
              <w:rPr>
                <w:rFonts w:hint="eastAsia"/>
                <w:color w:val="auto"/>
                <w:highlight w:val="none"/>
                <w:vertAlign w:val="baseline"/>
                <w:lang w:val="en-US" w:eastAsia="zh-CN"/>
              </w:rPr>
              <w:t>73</w:t>
            </w:r>
            <w:r>
              <w:rPr>
                <w:rFonts w:hint="eastAsia"/>
                <w:color w:val="auto"/>
                <w:highlight w:val="none"/>
                <w:vertAlign w:val="baseline"/>
              </w:rPr>
              <w:t>mm本体刻槽</w:t>
            </w:r>
          </w:p>
        </w:tc>
        <w:tc>
          <w:tcPr>
            <w:tcW w:w="742" w:type="dxa"/>
            <w:tcBorders>
              <w:top w:val="nil"/>
              <w:left w:val="nil"/>
              <w:bottom w:val="single" w:color="auto" w:sz="4" w:space="0"/>
              <w:right w:val="single" w:color="auto" w:sz="4" w:space="0"/>
            </w:tcBorders>
            <w:shd w:val="clear" w:color="auto" w:fill="auto"/>
            <w:noWrap/>
            <w:vAlign w:val="center"/>
          </w:tcPr>
          <w:p w14:paraId="1757B74F">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米</w:t>
            </w:r>
          </w:p>
        </w:tc>
        <w:tc>
          <w:tcPr>
            <w:tcW w:w="758" w:type="dxa"/>
            <w:tcBorders>
              <w:top w:val="nil"/>
              <w:left w:val="nil"/>
              <w:bottom w:val="single" w:color="auto" w:sz="4" w:space="0"/>
              <w:right w:val="single" w:color="auto" w:sz="4" w:space="0"/>
            </w:tcBorders>
            <w:shd w:val="clear" w:color="auto" w:fill="auto"/>
            <w:noWrap/>
            <w:vAlign w:val="center"/>
          </w:tcPr>
          <w:p w14:paraId="1DAE7591">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400</w:t>
            </w:r>
          </w:p>
        </w:tc>
        <w:tc>
          <w:tcPr>
            <w:tcW w:w="1328" w:type="dxa"/>
            <w:tcBorders>
              <w:top w:val="nil"/>
              <w:left w:val="nil"/>
              <w:bottom w:val="single" w:color="auto" w:sz="4" w:space="0"/>
              <w:right w:val="single" w:color="auto" w:sz="4" w:space="0"/>
            </w:tcBorders>
            <w:shd w:val="clear" w:color="auto" w:fill="auto"/>
            <w:noWrap/>
            <w:vAlign w:val="center"/>
          </w:tcPr>
          <w:p w14:paraId="2B57249B">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顶板/水害/冲击地压</w:t>
            </w:r>
          </w:p>
        </w:tc>
        <w:tc>
          <w:tcPr>
            <w:tcW w:w="879" w:type="dxa"/>
            <w:tcBorders>
              <w:top w:val="nil"/>
              <w:left w:val="nil"/>
              <w:bottom w:val="single" w:color="auto" w:sz="4" w:space="0"/>
              <w:right w:val="single" w:color="auto" w:sz="4" w:space="0"/>
            </w:tcBorders>
            <w:shd w:val="clear" w:color="auto" w:fill="auto"/>
            <w:noWrap/>
            <w:vAlign w:val="center"/>
          </w:tcPr>
          <w:p w14:paraId="6F919D57">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5303运输巷</w:t>
            </w:r>
          </w:p>
        </w:tc>
        <w:tc>
          <w:tcPr>
            <w:tcW w:w="744" w:type="dxa"/>
            <w:tcBorders>
              <w:top w:val="nil"/>
              <w:left w:val="nil"/>
              <w:bottom w:val="single" w:color="auto" w:sz="4" w:space="0"/>
              <w:right w:val="single" w:color="auto" w:sz="4" w:space="0"/>
            </w:tcBorders>
            <w:shd w:val="clear" w:color="auto" w:fill="auto"/>
            <w:noWrap/>
            <w:vAlign w:val="center"/>
          </w:tcPr>
          <w:p w14:paraId="3991DA6F">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318936DC">
        <w:tblPrEx>
          <w:tblCellMar>
            <w:top w:w="0" w:type="dxa"/>
            <w:left w:w="108" w:type="dxa"/>
            <w:bottom w:w="0" w:type="dxa"/>
            <w:right w:w="108" w:type="dxa"/>
          </w:tblCellMar>
        </w:tblPrEx>
        <w:trPr>
          <w:trHeight w:val="454" w:hRule="atLeast"/>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879430B">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8</w:t>
            </w:r>
          </w:p>
        </w:tc>
        <w:tc>
          <w:tcPr>
            <w:tcW w:w="2028" w:type="dxa"/>
            <w:tcBorders>
              <w:top w:val="nil"/>
              <w:left w:val="nil"/>
              <w:bottom w:val="single" w:color="auto" w:sz="4" w:space="0"/>
              <w:right w:val="single" w:color="auto" w:sz="4" w:space="0"/>
            </w:tcBorders>
            <w:shd w:val="clear" w:color="auto" w:fill="auto"/>
            <w:noWrap/>
            <w:vAlign w:val="center"/>
          </w:tcPr>
          <w:p w14:paraId="0292BA29">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注浆泵</w:t>
            </w:r>
          </w:p>
        </w:tc>
        <w:tc>
          <w:tcPr>
            <w:tcW w:w="1880" w:type="dxa"/>
            <w:tcBorders>
              <w:top w:val="nil"/>
              <w:left w:val="nil"/>
              <w:bottom w:val="single" w:color="auto" w:sz="4" w:space="0"/>
              <w:right w:val="single" w:color="auto" w:sz="4" w:space="0"/>
            </w:tcBorders>
            <w:shd w:val="clear" w:color="auto" w:fill="auto"/>
            <w:noWrap/>
            <w:vAlign w:val="center"/>
          </w:tcPr>
          <w:p w14:paraId="37F73323">
            <w:pPr>
              <w:pStyle w:val="44"/>
              <w:jc w:val="center"/>
              <w:rPr>
                <w:rFonts w:ascii="仿宋" w:hAnsi="仿宋" w:eastAsia="仿宋" w:cs="宋体"/>
                <w:color w:val="auto"/>
                <w:kern w:val="0"/>
                <w:sz w:val="24"/>
                <w:highlight w:val="none"/>
                <w:lang w:bidi="ar"/>
              </w:rPr>
            </w:pPr>
            <w:r>
              <w:rPr>
                <w:rFonts w:hint="eastAsia"/>
                <w:color w:val="auto"/>
                <w:highlight w:val="none"/>
                <w:vertAlign w:val="baseline"/>
              </w:rPr>
              <w:t>ZBQ22/4</w:t>
            </w:r>
          </w:p>
        </w:tc>
        <w:tc>
          <w:tcPr>
            <w:tcW w:w="742" w:type="dxa"/>
            <w:tcBorders>
              <w:top w:val="nil"/>
              <w:left w:val="nil"/>
              <w:bottom w:val="single" w:color="auto" w:sz="4" w:space="0"/>
              <w:right w:val="single" w:color="auto" w:sz="4" w:space="0"/>
            </w:tcBorders>
            <w:shd w:val="clear" w:color="auto" w:fill="auto"/>
            <w:noWrap/>
            <w:vAlign w:val="center"/>
          </w:tcPr>
          <w:p w14:paraId="19527CCC">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台</w:t>
            </w:r>
          </w:p>
        </w:tc>
        <w:tc>
          <w:tcPr>
            <w:tcW w:w="758" w:type="dxa"/>
            <w:tcBorders>
              <w:top w:val="nil"/>
              <w:left w:val="nil"/>
              <w:bottom w:val="single" w:color="auto" w:sz="4" w:space="0"/>
              <w:right w:val="single" w:color="auto" w:sz="4" w:space="0"/>
            </w:tcBorders>
            <w:shd w:val="clear" w:color="auto" w:fill="auto"/>
            <w:noWrap/>
            <w:vAlign w:val="center"/>
          </w:tcPr>
          <w:p w14:paraId="42A5E5D9">
            <w:pPr>
              <w:pStyle w:val="44"/>
              <w:jc w:val="center"/>
              <w:rPr>
                <w:rFonts w:ascii="仿宋" w:hAnsi="仿宋" w:eastAsia="仿宋" w:cs="宋体"/>
                <w:color w:val="auto"/>
                <w:kern w:val="0"/>
                <w:sz w:val="24"/>
                <w:highlight w:val="none"/>
                <w:lang w:bidi="ar"/>
              </w:rPr>
            </w:pPr>
            <w:r>
              <w:rPr>
                <w:rFonts w:hint="eastAsia"/>
                <w:color w:val="auto"/>
                <w:highlight w:val="none"/>
                <w:vertAlign w:val="baseline"/>
                <w:lang w:val="en-US" w:eastAsia="zh-CN"/>
              </w:rPr>
              <w:t>1</w:t>
            </w:r>
          </w:p>
        </w:tc>
        <w:tc>
          <w:tcPr>
            <w:tcW w:w="1328" w:type="dxa"/>
            <w:tcBorders>
              <w:top w:val="nil"/>
              <w:left w:val="nil"/>
              <w:bottom w:val="single" w:color="auto" w:sz="4" w:space="0"/>
              <w:right w:val="single" w:color="auto" w:sz="4" w:space="0"/>
            </w:tcBorders>
            <w:shd w:val="clear" w:color="auto" w:fill="auto"/>
            <w:noWrap/>
            <w:vAlign w:val="center"/>
          </w:tcPr>
          <w:p w14:paraId="50C7FFA4">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顶板/水害/冲击地压</w:t>
            </w:r>
          </w:p>
        </w:tc>
        <w:tc>
          <w:tcPr>
            <w:tcW w:w="879" w:type="dxa"/>
            <w:tcBorders>
              <w:top w:val="nil"/>
              <w:left w:val="nil"/>
              <w:bottom w:val="single" w:color="auto" w:sz="4" w:space="0"/>
              <w:right w:val="single" w:color="auto" w:sz="4" w:space="0"/>
            </w:tcBorders>
            <w:shd w:val="clear" w:color="auto" w:fill="auto"/>
            <w:noWrap/>
            <w:vAlign w:val="center"/>
          </w:tcPr>
          <w:p w14:paraId="587E718D">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5303运输巷</w:t>
            </w:r>
          </w:p>
        </w:tc>
        <w:tc>
          <w:tcPr>
            <w:tcW w:w="744" w:type="dxa"/>
            <w:tcBorders>
              <w:top w:val="nil"/>
              <w:left w:val="nil"/>
              <w:bottom w:val="single" w:color="auto" w:sz="4" w:space="0"/>
              <w:right w:val="single" w:color="auto" w:sz="4" w:space="0"/>
            </w:tcBorders>
            <w:shd w:val="clear" w:color="auto" w:fill="auto"/>
            <w:noWrap/>
            <w:vAlign w:val="center"/>
          </w:tcPr>
          <w:p w14:paraId="27E5CAA2">
            <w:pPr>
              <w:pStyle w:val="44"/>
              <w:jc w:val="center"/>
              <w:rPr>
                <w:rFonts w:hint="eastAsia" w:ascii="仿宋" w:hAnsi="仿宋" w:eastAsia="仿宋" w:cs="宋体"/>
                <w:color w:val="auto"/>
                <w:kern w:val="0"/>
                <w:sz w:val="24"/>
                <w:highlight w:val="none"/>
                <w:lang w:bidi="ar"/>
              </w:rPr>
            </w:pPr>
            <w:r>
              <w:rPr>
                <w:rFonts w:hint="eastAsia"/>
                <w:color w:val="auto"/>
                <w:highlight w:val="none"/>
                <w:vertAlign w:val="baseline"/>
                <w:lang w:val="en-US" w:eastAsia="zh-CN"/>
              </w:rPr>
              <w:t>完好</w:t>
            </w:r>
          </w:p>
        </w:tc>
      </w:tr>
      <w:tr w14:paraId="7429906D">
        <w:tblPrEx>
          <w:tblCellMar>
            <w:top w:w="0" w:type="dxa"/>
            <w:left w:w="108" w:type="dxa"/>
            <w:bottom w:w="0" w:type="dxa"/>
            <w:right w:w="108" w:type="dxa"/>
          </w:tblCellMar>
        </w:tblPrEx>
        <w:trPr>
          <w:trHeight w:val="454" w:hRule="atLeast"/>
        </w:trPr>
        <w:tc>
          <w:tcPr>
            <w:tcW w:w="9054" w:type="dxa"/>
            <w:gridSpan w:val="8"/>
            <w:tcBorders>
              <w:top w:val="nil"/>
              <w:left w:val="single" w:color="auto" w:sz="4" w:space="0"/>
              <w:bottom w:val="single" w:color="auto" w:sz="4" w:space="0"/>
              <w:right w:val="single" w:color="auto" w:sz="4" w:space="0"/>
            </w:tcBorders>
            <w:shd w:val="clear" w:color="auto" w:fill="auto"/>
            <w:noWrap/>
            <w:vAlign w:val="center"/>
          </w:tcPr>
          <w:p w14:paraId="62093735">
            <w:pPr>
              <w:widowControl/>
              <w:jc w:val="center"/>
              <w:textAlignment w:val="center"/>
              <w:rPr>
                <w:rFonts w:hint="default" w:ascii="仿宋" w:hAnsi="仿宋" w:eastAsia="仿宋" w:cs="宋体"/>
                <w:color w:val="auto"/>
                <w:kern w:val="0"/>
                <w:sz w:val="24"/>
                <w:highlight w:val="none"/>
                <w:lang w:val="en-US" w:eastAsia="zh-CN" w:bidi="ar"/>
              </w:rPr>
            </w:pPr>
            <w:r>
              <w:rPr>
                <w:rFonts w:hint="eastAsia"/>
                <w:color w:val="auto"/>
                <w:highlight w:val="none"/>
                <w:vertAlign w:val="baseline"/>
              </w:rPr>
              <w:t>管理责任人:</w:t>
            </w:r>
            <w:r>
              <w:rPr>
                <w:rFonts w:hint="eastAsia"/>
                <w:color w:val="auto"/>
                <w:highlight w:val="none"/>
                <w:vertAlign w:val="baseline"/>
                <w:lang w:val="en-US" w:eastAsia="zh-CN"/>
              </w:rPr>
              <w:t xml:space="preserve">秦强         </w:t>
            </w:r>
            <w:r>
              <w:rPr>
                <w:rFonts w:hint="eastAsia"/>
                <w:color w:val="auto"/>
                <w:highlight w:val="none"/>
                <w:vertAlign w:val="baseline"/>
              </w:rPr>
              <w:t>联系电话:18300405356</w:t>
            </w:r>
            <w:r>
              <w:rPr>
                <w:rFonts w:hint="eastAsia"/>
                <w:color w:val="auto"/>
                <w:highlight w:val="none"/>
                <w:vertAlign w:val="baseline"/>
                <w:lang w:val="en-US" w:eastAsia="zh-CN"/>
              </w:rPr>
              <w:t xml:space="preserve">            </w:t>
            </w:r>
            <w:r>
              <w:rPr>
                <w:rFonts w:hint="eastAsia"/>
                <w:color w:val="auto"/>
                <w:highlight w:val="none"/>
                <w:vertAlign w:val="baseline"/>
              </w:rPr>
              <w:t>办公电话:99</w:t>
            </w:r>
            <w:r>
              <w:rPr>
                <w:rFonts w:hint="eastAsia"/>
                <w:color w:val="auto"/>
                <w:highlight w:val="none"/>
                <w:vertAlign w:val="baseline"/>
                <w:lang w:val="en-US" w:eastAsia="zh-CN"/>
              </w:rPr>
              <w:t>9407</w:t>
            </w:r>
          </w:p>
        </w:tc>
      </w:tr>
    </w:tbl>
    <w:p w14:paraId="2CB9C2DA">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7</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防冲设备明细</w:t>
      </w:r>
    </w:p>
    <w:tbl>
      <w:tblPr>
        <w:tblStyle w:val="28"/>
        <w:tblW w:w="4997" w:type="pct"/>
        <w:tblInd w:w="0" w:type="dxa"/>
        <w:tblLayout w:type="autofit"/>
        <w:tblCellMar>
          <w:top w:w="0" w:type="dxa"/>
          <w:left w:w="30" w:type="dxa"/>
          <w:bottom w:w="0" w:type="dxa"/>
          <w:right w:w="30" w:type="dxa"/>
        </w:tblCellMar>
      </w:tblPr>
      <w:tblGrid>
        <w:gridCol w:w="583"/>
        <w:gridCol w:w="1893"/>
        <w:gridCol w:w="1659"/>
        <w:gridCol w:w="967"/>
        <w:gridCol w:w="675"/>
        <w:gridCol w:w="1362"/>
        <w:gridCol w:w="867"/>
        <w:gridCol w:w="894"/>
      </w:tblGrid>
      <w:tr w14:paraId="69C023E5">
        <w:tblPrEx>
          <w:tblCellMar>
            <w:top w:w="0" w:type="dxa"/>
            <w:left w:w="30" w:type="dxa"/>
            <w:bottom w:w="0" w:type="dxa"/>
            <w:right w:w="30" w:type="dxa"/>
          </w:tblCellMar>
        </w:tblPrEx>
        <w:trPr>
          <w:trHeight w:val="454" w:hRule="atLeast"/>
        </w:trPr>
        <w:tc>
          <w:tcPr>
            <w:tcW w:w="328" w:type="pct"/>
            <w:tcBorders>
              <w:top w:val="single" w:color="000000" w:sz="6" w:space="0"/>
              <w:left w:val="single" w:color="auto" w:sz="6" w:space="0"/>
              <w:bottom w:val="single" w:color="auto" w:sz="6" w:space="0"/>
              <w:right w:val="single" w:color="auto" w:sz="6" w:space="0"/>
            </w:tcBorders>
            <w:vAlign w:val="center"/>
          </w:tcPr>
          <w:p w14:paraId="6408359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序号</w:t>
            </w:r>
          </w:p>
        </w:tc>
        <w:tc>
          <w:tcPr>
            <w:tcW w:w="1064" w:type="pct"/>
            <w:tcBorders>
              <w:top w:val="single" w:color="000000" w:sz="6" w:space="0"/>
              <w:left w:val="single" w:color="auto" w:sz="6" w:space="0"/>
              <w:bottom w:val="single" w:color="auto" w:sz="6" w:space="0"/>
              <w:right w:val="single" w:color="auto" w:sz="6" w:space="0"/>
            </w:tcBorders>
            <w:vAlign w:val="center"/>
          </w:tcPr>
          <w:p w14:paraId="3AEB6E7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设备名称</w:t>
            </w:r>
          </w:p>
        </w:tc>
        <w:tc>
          <w:tcPr>
            <w:tcW w:w="932" w:type="pct"/>
            <w:tcBorders>
              <w:top w:val="single" w:color="000000" w:sz="6" w:space="0"/>
              <w:left w:val="single" w:color="auto" w:sz="6" w:space="0"/>
              <w:bottom w:val="single" w:color="auto" w:sz="6" w:space="0"/>
              <w:right w:val="single" w:color="auto" w:sz="6" w:space="0"/>
            </w:tcBorders>
            <w:vAlign w:val="center"/>
          </w:tcPr>
          <w:p w14:paraId="6245B9F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设备型号</w:t>
            </w:r>
          </w:p>
        </w:tc>
        <w:tc>
          <w:tcPr>
            <w:tcW w:w="543" w:type="pct"/>
            <w:tcBorders>
              <w:top w:val="single" w:color="000000" w:sz="6" w:space="0"/>
              <w:left w:val="single" w:color="auto" w:sz="6" w:space="0"/>
              <w:bottom w:val="single" w:color="auto" w:sz="6" w:space="0"/>
              <w:right w:val="single" w:color="auto" w:sz="6" w:space="0"/>
            </w:tcBorders>
            <w:vAlign w:val="center"/>
          </w:tcPr>
          <w:p w14:paraId="3A68FBF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单位</w:t>
            </w:r>
          </w:p>
        </w:tc>
        <w:tc>
          <w:tcPr>
            <w:tcW w:w="379" w:type="pct"/>
            <w:tcBorders>
              <w:top w:val="single" w:color="000000" w:sz="6" w:space="0"/>
              <w:left w:val="single" w:color="auto" w:sz="6" w:space="0"/>
              <w:bottom w:val="single" w:color="auto" w:sz="6" w:space="0"/>
              <w:right w:val="single" w:color="auto" w:sz="6" w:space="0"/>
            </w:tcBorders>
            <w:vAlign w:val="center"/>
          </w:tcPr>
          <w:p w14:paraId="5AB2576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数量</w:t>
            </w:r>
          </w:p>
        </w:tc>
        <w:tc>
          <w:tcPr>
            <w:tcW w:w="765" w:type="pct"/>
            <w:tcBorders>
              <w:top w:val="single" w:color="auto" w:sz="6" w:space="0"/>
              <w:left w:val="single" w:color="auto" w:sz="6" w:space="0"/>
              <w:bottom w:val="single" w:color="auto" w:sz="6" w:space="0"/>
              <w:right w:val="single" w:color="auto" w:sz="6" w:space="0"/>
            </w:tcBorders>
            <w:vAlign w:val="center"/>
          </w:tcPr>
          <w:p w14:paraId="6C8EE44C">
            <w:pPr>
              <w:widowControl/>
              <w:jc w:val="left"/>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使用条件</w:t>
            </w:r>
          </w:p>
        </w:tc>
        <w:tc>
          <w:tcPr>
            <w:tcW w:w="487" w:type="pct"/>
            <w:tcBorders>
              <w:top w:val="single" w:color="auto" w:sz="6" w:space="0"/>
              <w:left w:val="single" w:color="auto" w:sz="6" w:space="0"/>
              <w:bottom w:val="single" w:color="auto" w:sz="6" w:space="0"/>
              <w:right w:val="single" w:color="auto" w:sz="6" w:space="0"/>
            </w:tcBorders>
            <w:vAlign w:val="center"/>
          </w:tcPr>
          <w:p w14:paraId="0C90D8CE">
            <w:pPr>
              <w:widowControl/>
              <w:jc w:val="left"/>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存放地点</w:t>
            </w:r>
          </w:p>
        </w:tc>
        <w:tc>
          <w:tcPr>
            <w:tcW w:w="500" w:type="pct"/>
            <w:tcBorders>
              <w:top w:val="single" w:color="auto" w:sz="6" w:space="0"/>
              <w:left w:val="single" w:color="auto" w:sz="6" w:space="0"/>
              <w:bottom w:val="single" w:color="auto" w:sz="6" w:space="0"/>
              <w:right w:val="single" w:color="auto" w:sz="6" w:space="0"/>
            </w:tcBorders>
            <w:vAlign w:val="center"/>
          </w:tcPr>
          <w:p w14:paraId="3BEA4807">
            <w:pPr>
              <w:widowControl/>
              <w:jc w:val="left"/>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性能</w:t>
            </w:r>
          </w:p>
        </w:tc>
      </w:tr>
      <w:tr w14:paraId="3AA622CB">
        <w:tblPrEx>
          <w:tblCellMar>
            <w:top w:w="0" w:type="dxa"/>
            <w:left w:w="30" w:type="dxa"/>
            <w:bottom w:w="0" w:type="dxa"/>
            <w:right w:w="30" w:type="dxa"/>
          </w:tblCellMar>
        </w:tblPrEx>
        <w:trPr>
          <w:trHeight w:val="454" w:hRule="atLeast"/>
        </w:trPr>
        <w:tc>
          <w:tcPr>
            <w:tcW w:w="328" w:type="pct"/>
            <w:tcBorders>
              <w:top w:val="single" w:color="auto" w:sz="6" w:space="0"/>
              <w:left w:val="single" w:color="auto" w:sz="6" w:space="0"/>
              <w:bottom w:val="single" w:color="auto" w:sz="6" w:space="0"/>
              <w:right w:val="single" w:color="auto" w:sz="6" w:space="0"/>
            </w:tcBorders>
            <w:vAlign w:val="center"/>
          </w:tcPr>
          <w:p w14:paraId="56664C3A">
            <w:pPr>
              <w:widowControl/>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1064" w:type="pct"/>
            <w:tcBorders>
              <w:top w:val="single" w:color="auto" w:sz="6" w:space="0"/>
              <w:left w:val="single" w:color="auto" w:sz="6" w:space="0"/>
              <w:bottom w:val="single" w:color="auto" w:sz="6" w:space="0"/>
              <w:right w:val="single" w:color="auto" w:sz="6" w:space="0"/>
            </w:tcBorders>
            <w:vAlign w:val="center"/>
          </w:tcPr>
          <w:p w14:paraId="3280353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履带式液压钻机</w:t>
            </w:r>
          </w:p>
        </w:tc>
        <w:tc>
          <w:tcPr>
            <w:tcW w:w="932" w:type="pct"/>
            <w:tcBorders>
              <w:top w:val="single" w:color="auto" w:sz="6" w:space="0"/>
              <w:left w:val="single" w:color="auto" w:sz="6" w:space="0"/>
              <w:bottom w:val="single" w:color="auto" w:sz="6" w:space="0"/>
              <w:right w:val="single" w:color="auto" w:sz="6" w:space="0"/>
            </w:tcBorders>
            <w:vAlign w:val="center"/>
          </w:tcPr>
          <w:p w14:paraId="794B63F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LPS3400</w:t>
            </w:r>
          </w:p>
        </w:tc>
        <w:tc>
          <w:tcPr>
            <w:tcW w:w="543" w:type="pct"/>
            <w:tcBorders>
              <w:top w:val="single" w:color="auto" w:sz="6" w:space="0"/>
              <w:left w:val="single" w:color="auto" w:sz="6" w:space="0"/>
              <w:bottom w:val="single" w:color="auto" w:sz="6" w:space="0"/>
              <w:right w:val="single" w:color="auto" w:sz="6" w:space="0"/>
            </w:tcBorders>
            <w:vAlign w:val="center"/>
          </w:tcPr>
          <w:p w14:paraId="47FBC13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台</w:t>
            </w:r>
          </w:p>
        </w:tc>
        <w:tc>
          <w:tcPr>
            <w:tcW w:w="379" w:type="pct"/>
            <w:tcBorders>
              <w:top w:val="single" w:color="auto" w:sz="6" w:space="0"/>
              <w:left w:val="single" w:color="auto" w:sz="6" w:space="0"/>
              <w:bottom w:val="single" w:color="auto" w:sz="6" w:space="0"/>
              <w:right w:val="single" w:color="auto" w:sz="6" w:space="0"/>
            </w:tcBorders>
            <w:vAlign w:val="center"/>
          </w:tcPr>
          <w:p w14:paraId="3B391A68">
            <w:pPr>
              <w:widowControl/>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765" w:type="pct"/>
            <w:tcBorders>
              <w:top w:val="single" w:color="auto" w:sz="6" w:space="0"/>
              <w:left w:val="single" w:color="auto" w:sz="6" w:space="0"/>
              <w:bottom w:val="single" w:color="auto" w:sz="6" w:space="0"/>
              <w:right w:val="single" w:color="auto" w:sz="6" w:space="0"/>
            </w:tcBorders>
            <w:vAlign w:val="center"/>
          </w:tcPr>
          <w:p w14:paraId="70198C3F">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顶板/水害/冲击地压</w:t>
            </w:r>
          </w:p>
        </w:tc>
        <w:tc>
          <w:tcPr>
            <w:tcW w:w="487" w:type="pct"/>
            <w:tcBorders>
              <w:top w:val="single" w:color="auto" w:sz="6" w:space="0"/>
              <w:left w:val="single" w:color="auto" w:sz="6" w:space="0"/>
              <w:bottom w:val="single" w:color="auto" w:sz="6" w:space="0"/>
              <w:right w:val="single" w:color="auto" w:sz="6" w:space="0"/>
            </w:tcBorders>
            <w:vAlign w:val="center"/>
          </w:tcPr>
          <w:p w14:paraId="048AD49F">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5303辅运巷</w:t>
            </w:r>
          </w:p>
        </w:tc>
        <w:tc>
          <w:tcPr>
            <w:tcW w:w="500" w:type="pct"/>
            <w:tcBorders>
              <w:top w:val="single" w:color="auto" w:sz="6" w:space="0"/>
              <w:left w:val="single" w:color="auto" w:sz="6" w:space="0"/>
              <w:bottom w:val="single" w:color="auto" w:sz="6" w:space="0"/>
              <w:right w:val="single" w:color="auto" w:sz="6" w:space="0"/>
            </w:tcBorders>
            <w:vAlign w:val="center"/>
          </w:tcPr>
          <w:p w14:paraId="09776DD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62D32919">
        <w:tblPrEx>
          <w:tblCellMar>
            <w:top w:w="0" w:type="dxa"/>
            <w:left w:w="30" w:type="dxa"/>
            <w:bottom w:w="0" w:type="dxa"/>
            <w:right w:w="30" w:type="dxa"/>
          </w:tblCellMar>
        </w:tblPrEx>
        <w:trPr>
          <w:trHeight w:val="454" w:hRule="atLeast"/>
        </w:trPr>
        <w:tc>
          <w:tcPr>
            <w:tcW w:w="328" w:type="pct"/>
            <w:tcBorders>
              <w:top w:val="single" w:color="auto" w:sz="6" w:space="0"/>
              <w:left w:val="single" w:color="auto" w:sz="6" w:space="0"/>
              <w:bottom w:val="single" w:color="auto" w:sz="6" w:space="0"/>
              <w:right w:val="single" w:color="auto" w:sz="6" w:space="0"/>
            </w:tcBorders>
            <w:vAlign w:val="center"/>
          </w:tcPr>
          <w:p w14:paraId="222B7E42">
            <w:pPr>
              <w:widowControl/>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2</w:t>
            </w:r>
          </w:p>
        </w:tc>
        <w:tc>
          <w:tcPr>
            <w:tcW w:w="1064" w:type="pct"/>
            <w:tcBorders>
              <w:top w:val="single" w:color="auto" w:sz="6" w:space="0"/>
              <w:left w:val="single" w:color="auto" w:sz="6" w:space="0"/>
              <w:bottom w:val="single" w:color="auto" w:sz="6" w:space="0"/>
              <w:right w:val="single" w:color="auto" w:sz="6" w:space="0"/>
            </w:tcBorders>
            <w:vAlign w:val="center"/>
          </w:tcPr>
          <w:p w14:paraId="155EFBB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煤矿用履带式全液压坑道钻机</w:t>
            </w:r>
          </w:p>
        </w:tc>
        <w:tc>
          <w:tcPr>
            <w:tcW w:w="932" w:type="pct"/>
            <w:tcBorders>
              <w:top w:val="single" w:color="auto" w:sz="6" w:space="0"/>
              <w:left w:val="single" w:color="auto" w:sz="6" w:space="0"/>
              <w:bottom w:val="single" w:color="auto" w:sz="6" w:space="0"/>
              <w:right w:val="single" w:color="auto" w:sz="6" w:space="0"/>
            </w:tcBorders>
            <w:vAlign w:val="center"/>
          </w:tcPr>
          <w:p w14:paraId="55B4A99F">
            <w:pPr>
              <w:widowControl/>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ZDY4600LPS</w:t>
            </w:r>
          </w:p>
        </w:tc>
        <w:tc>
          <w:tcPr>
            <w:tcW w:w="543" w:type="pct"/>
            <w:tcBorders>
              <w:top w:val="single" w:color="auto" w:sz="6" w:space="0"/>
              <w:left w:val="single" w:color="auto" w:sz="6" w:space="0"/>
              <w:bottom w:val="single" w:color="auto" w:sz="6" w:space="0"/>
              <w:right w:val="single" w:color="auto" w:sz="6" w:space="0"/>
            </w:tcBorders>
            <w:vAlign w:val="center"/>
          </w:tcPr>
          <w:p w14:paraId="62CB1A8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台</w:t>
            </w:r>
          </w:p>
        </w:tc>
        <w:tc>
          <w:tcPr>
            <w:tcW w:w="379" w:type="pct"/>
            <w:tcBorders>
              <w:top w:val="single" w:color="auto" w:sz="6" w:space="0"/>
              <w:left w:val="single" w:color="auto" w:sz="6" w:space="0"/>
              <w:bottom w:val="single" w:color="auto" w:sz="6" w:space="0"/>
              <w:right w:val="single" w:color="auto" w:sz="6" w:space="0"/>
            </w:tcBorders>
            <w:vAlign w:val="center"/>
          </w:tcPr>
          <w:p w14:paraId="205A0E38">
            <w:pPr>
              <w:widowControl/>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w:t>
            </w:r>
          </w:p>
        </w:tc>
        <w:tc>
          <w:tcPr>
            <w:tcW w:w="765" w:type="pct"/>
            <w:tcBorders>
              <w:top w:val="single" w:color="auto" w:sz="6" w:space="0"/>
              <w:left w:val="single" w:color="auto" w:sz="6" w:space="0"/>
              <w:bottom w:val="single" w:color="auto" w:sz="6" w:space="0"/>
              <w:right w:val="single" w:color="auto" w:sz="6" w:space="0"/>
            </w:tcBorders>
            <w:vAlign w:val="center"/>
          </w:tcPr>
          <w:p w14:paraId="0C3BC55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顶板/水害/冲击地压</w:t>
            </w:r>
          </w:p>
        </w:tc>
        <w:tc>
          <w:tcPr>
            <w:tcW w:w="487" w:type="pct"/>
            <w:tcBorders>
              <w:top w:val="single" w:color="auto" w:sz="6" w:space="0"/>
              <w:left w:val="single" w:color="auto" w:sz="6" w:space="0"/>
              <w:bottom w:val="single" w:color="auto" w:sz="6" w:space="0"/>
              <w:right w:val="single" w:color="auto" w:sz="6" w:space="0"/>
            </w:tcBorders>
            <w:vAlign w:val="center"/>
          </w:tcPr>
          <w:p w14:paraId="6A3C8477">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5303运输巷道巷</w:t>
            </w:r>
          </w:p>
        </w:tc>
        <w:tc>
          <w:tcPr>
            <w:tcW w:w="500" w:type="pct"/>
            <w:tcBorders>
              <w:top w:val="single" w:color="auto" w:sz="6" w:space="0"/>
              <w:left w:val="single" w:color="auto" w:sz="6" w:space="0"/>
              <w:bottom w:val="single" w:color="auto" w:sz="6" w:space="0"/>
              <w:right w:val="single" w:color="auto" w:sz="6" w:space="0"/>
            </w:tcBorders>
            <w:vAlign w:val="center"/>
          </w:tcPr>
          <w:p w14:paraId="3B87832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完好</w:t>
            </w:r>
          </w:p>
        </w:tc>
      </w:tr>
      <w:tr w14:paraId="2A8A882E">
        <w:tblPrEx>
          <w:tblCellMar>
            <w:top w:w="0" w:type="dxa"/>
            <w:left w:w="30" w:type="dxa"/>
            <w:bottom w:w="0" w:type="dxa"/>
            <w:right w:w="30" w:type="dxa"/>
          </w:tblCellMar>
        </w:tblPrEx>
        <w:trPr>
          <w:trHeight w:val="454" w:hRule="atLeast"/>
        </w:trPr>
        <w:tc>
          <w:tcPr>
            <w:tcW w:w="5000" w:type="pct"/>
            <w:gridSpan w:val="8"/>
            <w:tcBorders>
              <w:top w:val="single" w:color="auto" w:sz="6" w:space="0"/>
              <w:left w:val="single" w:color="auto" w:sz="6" w:space="0"/>
              <w:bottom w:val="single" w:color="auto" w:sz="6" w:space="0"/>
              <w:right w:val="single" w:color="auto" w:sz="6" w:space="0"/>
            </w:tcBorders>
            <w:vAlign w:val="center"/>
          </w:tcPr>
          <w:p w14:paraId="1EB1DB51">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管理责任人：</w:t>
            </w:r>
            <w:r>
              <w:rPr>
                <w:rFonts w:hint="eastAsia" w:ascii="仿宋" w:hAnsi="仿宋" w:eastAsia="仿宋" w:cs="宋体"/>
                <w:color w:val="auto"/>
                <w:kern w:val="0"/>
                <w:sz w:val="24"/>
                <w:highlight w:val="none"/>
                <w:lang w:val="en-US" w:eastAsia="zh-CN" w:bidi="ar"/>
              </w:rPr>
              <w:t>秦强</w:t>
            </w:r>
            <w:r>
              <w:rPr>
                <w:rFonts w:hint="eastAsia" w:ascii="仿宋" w:hAnsi="仿宋" w:eastAsia="仿宋" w:cs="宋体"/>
                <w:color w:val="auto"/>
                <w:kern w:val="0"/>
                <w:sz w:val="24"/>
                <w:highlight w:val="none"/>
                <w:lang w:bidi="ar"/>
              </w:rPr>
              <w:t xml:space="preserve">    联系电话：</w:t>
            </w:r>
            <w:r>
              <w:rPr>
                <w:rFonts w:hint="eastAsia" w:ascii="仿宋" w:hAnsi="仿宋" w:eastAsia="仿宋" w:cs="宋体"/>
                <w:color w:val="auto"/>
                <w:kern w:val="0"/>
                <w:sz w:val="24"/>
                <w:highlight w:val="none"/>
                <w:lang w:val="en-US" w:eastAsia="zh-CN" w:bidi="ar"/>
              </w:rPr>
              <w:t>18300405356</w:t>
            </w:r>
            <w:r>
              <w:rPr>
                <w:rFonts w:hint="eastAsia" w:ascii="仿宋" w:hAnsi="仿宋" w:eastAsia="仿宋" w:cs="宋体"/>
                <w:color w:val="auto"/>
                <w:kern w:val="0"/>
                <w:sz w:val="24"/>
                <w:highlight w:val="none"/>
                <w:lang w:bidi="ar"/>
              </w:rPr>
              <w:t xml:space="preserve">   办公电话：</w:t>
            </w:r>
            <w:r>
              <w:rPr>
                <w:rFonts w:hint="eastAsia" w:ascii="仿宋" w:hAnsi="仿宋" w:eastAsia="仿宋" w:cs="宋体"/>
                <w:color w:val="auto"/>
                <w:kern w:val="0"/>
                <w:sz w:val="24"/>
                <w:highlight w:val="none"/>
                <w:lang w:val="en-US" w:eastAsia="zh-CN" w:bidi="ar"/>
              </w:rPr>
              <w:t>999407</w:t>
            </w:r>
          </w:p>
        </w:tc>
      </w:tr>
    </w:tbl>
    <w:p w14:paraId="67AE3810">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8</w:t>
      </w:r>
      <w:r>
        <w:rPr>
          <w:rFonts w:hint="eastAsia" w:ascii="仿宋_GB2312" w:hAnsi="仿宋_GB2312" w:eastAsia="仿宋_GB2312" w:cs="仿宋_GB2312"/>
          <w:b/>
          <w:color w:val="auto"/>
          <w:kern w:val="2"/>
          <w:sz w:val="32"/>
          <w:szCs w:val="32"/>
          <w:highlight w:val="none"/>
        </w:rPr>
        <w:t xml:space="preserve">  自救器接力站台账</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083"/>
        <w:gridCol w:w="991"/>
        <w:gridCol w:w="2291"/>
      </w:tblGrid>
      <w:tr w14:paraId="4C10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4" w:type="pct"/>
            <w:shd w:val="clear" w:color="auto" w:fill="auto"/>
            <w:noWrap/>
            <w:vAlign w:val="center"/>
          </w:tcPr>
          <w:p w14:paraId="78A1B3C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序号</w:t>
            </w:r>
          </w:p>
        </w:tc>
        <w:tc>
          <w:tcPr>
            <w:tcW w:w="2804" w:type="pct"/>
            <w:shd w:val="clear" w:color="auto" w:fill="auto"/>
            <w:noWrap/>
            <w:vAlign w:val="center"/>
          </w:tcPr>
          <w:p w14:paraId="7A53A32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地点</w:t>
            </w:r>
          </w:p>
        </w:tc>
        <w:tc>
          <w:tcPr>
            <w:tcW w:w="546" w:type="pct"/>
            <w:shd w:val="clear" w:color="auto" w:fill="auto"/>
            <w:noWrap/>
            <w:vAlign w:val="center"/>
          </w:tcPr>
          <w:p w14:paraId="40C41E3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数量</w:t>
            </w:r>
          </w:p>
        </w:tc>
        <w:tc>
          <w:tcPr>
            <w:tcW w:w="1264" w:type="pct"/>
          </w:tcPr>
          <w:p w14:paraId="2F8D4E67">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备注</w:t>
            </w:r>
          </w:p>
        </w:tc>
      </w:tr>
      <w:tr w14:paraId="5ED4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4" w:type="pct"/>
            <w:shd w:val="clear" w:color="auto" w:fill="auto"/>
            <w:noWrap/>
            <w:vAlign w:val="center"/>
          </w:tcPr>
          <w:p w14:paraId="6E5CBF4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w:t>
            </w:r>
          </w:p>
        </w:tc>
        <w:tc>
          <w:tcPr>
            <w:tcW w:w="2804" w:type="pct"/>
            <w:shd w:val="clear" w:color="auto" w:fill="auto"/>
            <w:noWrap/>
            <w:vAlign w:val="center"/>
          </w:tcPr>
          <w:p w14:paraId="3A82960B">
            <w:pPr>
              <w:widowControl/>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5301辅运巷</w:t>
            </w:r>
          </w:p>
        </w:tc>
        <w:tc>
          <w:tcPr>
            <w:tcW w:w="546" w:type="pct"/>
            <w:shd w:val="clear" w:color="auto" w:fill="auto"/>
            <w:noWrap/>
            <w:vAlign w:val="center"/>
          </w:tcPr>
          <w:p w14:paraId="631F175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48</w:t>
            </w:r>
            <w:r>
              <w:rPr>
                <w:rFonts w:hint="eastAsia" w:ascii="仿宋" w:hAnsi="仿宋" w:eastAsia="仿宋" w:cs="宋体"/>
                <w:color w:val="auto"/>
                <w:kern w:val="0"/>
                <w:sz w:val="24"/>
                <w:highlight w:val="none"/>
                <w:lang w:bidi="ar"/>
              </w:rPr>
              <w:t>个自救器</w:t>
            </w:r>
          </w:p>
        </w:tc>
        <w:tc>
          <w:tcPr>
            <w:tcW w:w="1264" w:type="pct"/>
            <w:vAlign w:val="center"/>
          </w:tcPr>
          <w:p w14:paraId="2C59F63F">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型号：ZYX45(A)</w:t>
            </w:r>
          </w:p>
        </w:tc>
      </w:tr>
      <w:tr w14:paraId="5E30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4" w:type="pct"/>
            <w:shd w:val="clear" w:color="auto" w:fill="auto"/>
            <w:noWrap/>
            <w:vAlign w:val="center"/>
          </w:tcPr>
          <w:p w14:paraId="2C4A4FA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w:t>
            </w:r>
          </w:p>
        </w:tc>
        <w:tc>
          <w:tcPr>
            <w:tcW w:w="2804" w:type="pct"/>
            <w:shd w:val="clear" w:color="auto" w:fill="auto"/>
            <w:noWrap/>
            <w:vAlign w:val="center"/>
          </w:tcPr>
          <w:p w14:paraId="72ADA7F2">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东区回风联络巷通道风门中间</w:t>
            </w:r>
          </w:p>
        </w:tc>
        <w:tc>
          <w:tcPr>
            <w:tcW w:w="546" w:type="pct"/>
            <w:shd w:val="clear" w:color="auto" w:fill="auto"/>
            <w:noWrap/>
            <w:vAlign w:val="center"/>
          </w:tcPr>
          <w:p w14:paraId="025A5BC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48</w:t>
            </w:r>
            <w:r>
              <w:rPr>
                <w:rFonts w:hint="eastAsia" w:ascii="仿宋" w:hAnsi="仿宋" w:eastAsia="仿宋" w:cs="宋体"/>
                <w:color w:val="auto"/>
                <w:kern w:val="0"/>
                <w:sz w:val="24"/>
                <w:highlight w:val="none"/>
                <w:lang w:bidi="ar"/>
              </w:rPr>
              <w:t>个自救器</w:t>
            </w:r>
          </w:p>
        </w:tc>
        <w:tc>
          <w:tcPr>
            <w:tcW w:w="1264" w:type="pct"/>
            <w:vAlign w:val="center"/>
          </w:tcPr>
          <w:p w14:paraId="5BA9F527">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型号：ZYX45(A)</w:t>
            </w:r>
          </w:p>
        </w:tc>
      </w:tr>
      <w:tr w14:paraId="38A6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4" w:type="pct"/>
            <w:shd w:val="clear" w:color="auto" w:fill="auto"/>
            <w:noWrap/>
            <w:vAlign w:val="center"/>
          </w:tcPr>
          <w:p w14:paraId="5E847A5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3</w:t>
            </w:r>
          </w:p>
        </w:tc>
        <w:tc>
          <w:tcPr>
            <w:tcW w:w="2804" w:type="pct"/>
            <w:shd w:val="clear" w:color="auto" w:fill="auto"/>
            <w:noWrap/>
            <w:vAlign w:val="center"/>
          </w:tcPr>
          <w:p w14:paraId="34DF3848">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四采一中车场</w:t>
            </w:r>
          </w:p>
        </w:tc>
        <w:tc>
          <w:tcPr>
            <w:tcW w:w="546" w:type="pct"/>
            <w:shd w:val="clear" w:color="auto" w:fill="auto"/>
            <w:noWrap/>
            <w:vAlign w:val="center"/>
          </w:tcPr>
          <w:p w14:paraId="5C46EBF8">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48</w:t>
            </w:r>
            <w:r>
              <w:rPr>
                <w:rFonts w:hint="eastAsia" w:ascii="仿宋" w:hAnsi="仿宋" w:eastAsia="仿宋" w:cs="宋体"/>
                <w:color w:val="auto"/>
                <w:kern w:val="0"/>
                <w:sz w:val="24"/>
                <w:highlight w:val="none"/>
                <w:lang w:bidi="ar"/>
              </w:rPr>
              <w:t>个自救器</w:t>
            </w:r>
          </w:p>
        </w:tc>
        <w:tc>
          <w:tcPr>
            <w:tcW w:w="1264" w:type="pct"/>
            <w:vAlign w:val="center"/>
          </w:tcPr>
          <w:p w14:paraId="0CBD6128">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型号：ZYX45(A)</w:t>
            </w:r>
          </w:p>
        </w:tc>
      </w:tr>
      <w:tr w14:paraId="74BC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4" w:type="pct"/>
            <w:shd w:val="clear" w:color="auto" w:fill="auto"/>
            <w:noWrap/>
            <w:vAlign w:val="center"/>
          </w:tcPr>
          <w:p w14:paraId="656EC4F4">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4</w:t>
            </w:r>
          </w:p>
        </w:tc>
        <w:tc>
          <w:tcPr>
            <w:tcW w:w="2804" w:type="pct"/>
            <w:shd w:val="clear" w:color="auto" w:fill="auto"/>
            <w:noWrap/>
            <w:vAlign w:val="center"/>
          </w:tcPr>
          <w:p w14:paraId="1F89C3E4">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610联络巷</w:t>
            </w:r>
          </w:p>
        </w:tc>
        <w:tc>
          <w:tcPr>
            <w:tcW w:w="546" w:type="pct"/>
            <w:shd w:val="clear" w:color="auto" w:fill="auto"/>
            <w:noWrap/>
            <w:vAlign w:val="center"/>
          </w:tcPr>
          <w:p w14:paraId="2C2621C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48</w:t>
            </w:r>
            <w:r>
              <w:rPr>
                <w:rFonts w:hint="eastAsia" w:ascii="仿宋" w:hAnsi="仿宋" w:eastAsia="仿宋" w:cs="宋体"/>
                <w:color w:val="auto"/>
                <w:kern w:val="0"/>
                <w:sz w:val="24"/>
                <w:highlight w:val="none"/>
                <w:lang w:bidi="ar"/>
              </w:rPr>
              <w:t>个自救器</w:t>
            </w:r>
          </w:p>
        </w:tc>
        <w:tc>
          <w:tcPr>
            <w:tcW w:w="1264" w:type="pct"/>
            <w:vAlign w:val="center"/>
          </w:tcPr>
          <w:p w14:paraId="4681482C">
            <w:pPr>
              <w:widowControl/>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型号：ZYX45(A)</w:t>
            </w:r>
          </w:p>
        </w:tc>
      </w:tr>
    </w:tbl>
    <w:p w14:paraId="60499BF2">
      <w:pPr>
        <w:rPr>
          <w:color w:val="auto"/>
          <w:highlight w:val="none"/>
        </w:rPr>
      </w:pPr>
    </w:p>
    <w:p w14:paraId="5D330437">
      <w:pPr>
        <w:wordWrap w:val="0"/>
        <w:spacing w:line="560" w:lineRule="exact"/>
        <w:outlineLvl w:val="0"/>
        <w:rPr>
          <w:rFonts w:ascii="黑体" w:hAnsi="黑体" w:eastAsia="黑体" w:cs="黑体"/>
          <w:b/>
          <w:color w:val="auto"/>
          <w:sz w:val="30"/>
          <w:szCs w:val="30"/>
          <w:highlight w:val="none"/>
        </w:rPr>
      </w:pPr>
      <w:bookmarkStart w:id="598" w:name="_Toc20369"/>
      <w:r>
        <w:rPr>
          <w:rFonts w:hint="eastAsia" w:ascii="黑体" w:hAnsi="黑体" w:eastAsia="黑体" w:cs="黑体"/>
          <w:b/>
          <w:color w:val="auto"/>
          <w:sz w:val="30"/>
          <w:szCs w:val="30"/>
          <w:highlight w:val="none"/>
        </w:rPr>
        <w:t>5 有关应急部门、机构或人员的联系方式</w:t>
      </w:r>
      <w:bookmarkEnd w:id="591"/>
      <w:bookmarkEnd w:id="592"/>
      <w:bookmarkEnd w:id="593"/>
      <w:bookmarkEnd w:id="594"/>
      <w:bookmarkEnd w:id="595"/>
      <w:bookmarkEnd w:id="596"/>
      <w:bookmarkEnd w:id="597"/>
      <w:bookmarkEnd w:id="598"/>
    </w:p>
    <w:p w14:paraId="2E83BF50">
      <w:pPr>
        <w:spacing w:line="440" w:lineRule="exact"/>
        <w:ind w:firstLine="560" w:firstLineChars="200"/>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应急物资管理责任人及联系方式见表</w:t>
      </w:r>
      <w:r>
        <w:rPr>
          <w:rFonts w:hint="eastAsia" w:ascii="仿宋_GB2312" w:hAnsi="仿宋_GB2312" w:eastAsia="仿宋_GB2312" w:cs="仿宋_GB2312"/>
          <w:color w:val="auto"/>
          <w:kern w:val="0"/>
          <w:sz w:val="28"/>
          <w:szCs w:val="28"/>
          <w:highlight w:val="none"/>
          <w:lang w:val="en-US" w:eastAsia="zh-CN"/>
        </w:rPr>
        <w:t>9</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事故应急专家通信联系方式表见表</w:t>
      </w:r>
      <w:r>
        <w:rPr>
          <w:rFonts w:hint="eastAsia" w:ascii="仿宋_GB2312" w:hAnsi="仿宋_GB2312" w:eastAsia="仿宋_GB2312" w:cs="仿宋_GB2312"/>
          <w:color w:val="auto"/>
          <w:kern w:val="0"/>
          <w:sz w:val="28"/>
          <w:szCs w:val="28"/>
          <w:highlight w:val="none"/>
          <w:lang w:val="en-US" w:eastAsia="zh-CN"/>
        </w:rPr>
        <w:t>10</w:t>
      </w:r>
      <w:r>
        <w:rPr>
          <w:rFonts w:hint="eastAsia" w:ascii="仿宋_GB2312" w:hAnsi="仿宋_GB2312" w:eastAsia="仿宋_GB2312" w:cs="仿宋_GB2312"/>
          <w:color w:val="auto"/>
          <w:kern w:val="0"/>
          <w:sz w:val="28"/>
          <w:szCs w:val="28"/>
          <w:highlight w:val="none"/>
        </w:rPr>
        <w:t>，外部应急专家联系方式见表1</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，应急指挥部相关人员联系方式见表1</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，上级公司、政府主管部门及协议单位联系方式见表1</w:t>
      </w:r>
      <w:r>
        <w:rPr>
          <w:rFonts w:hint="eastAsia" w:ascii="仿宋_GB2312" w:hAnsi="仿宋_GB2312" w:eastAsia="仿宋_GB2312" w:cs="仿宋_GB2312"/>
          <w:color w:val="auto"/>
          <w:kern w:val="0"/>
          <w:sz w:val="28"/>
          <w:szCs w:val="28"/>
          <w:highlight w:val="none"/>
          <w:lang w:val="en-US" w:eastAsia="zh-CN"/>
        </w:rPr>
        <w:t>3</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eastAsia="zh-CN"/>
        </w:rPr>
        <w:t>长城一矿</w:t>
      </w:r>
      <w:r>
        <w:rPr>
          <w:rFonts w:hint="eastAsia" w:ascii="仿宋_GB2312" w:hAnsi="仿宋_GB2312" w:eastAsia="仿宋_GB2312" w:cs="仿宋_GB2312"/>
          <w:color w:val="auto"/>
          <w:kern w:val="0"/>
          <w:sz w:val="28"/>
          <w:szCs w:val="28"/>
          <w:highlight w:val="none"/>
        </w:rPr>
        <w:t>兼职救护队人员信息</w:t>
      </w:r>
      <w:r>
        <w:rPr>
          <w:rFonts w:hint="eastAsia" w:ascii="仿宋_GB2312" w:hAnsi="仿宋_GB2312" w:eastAsia="仿宋_GB2312" w:cs="仿宋_GB2312"/>
          <w:color w:val="auto"/>
          <w:kern w:val="0"/>
          <w:sz w:val="28"/>
          <w:szCs w:val="28"/>
          <w:highlight w:val="none"/>
          <w:lang w:val="en-US" w:eastAsia="zh-CN"/>
        </w:rPr>
        <w:t>见</w:t>
      </w:r>
      <w:r>
        <w:rPr>
          <w:rFonts w:hint="eastAsia" w:ascii="仿宋_GB2312" w:hAnsi="仿宋_GB2312" w:eastAsia="仿宋_GB2312" w:cs="仿宋_GB2312"/>
          <w:color w:val="auto"/>
          <w:kern w:val="0"/>
          <w:sz w:val="28"/>
          <w:szCs w:val="28"/>
          <w:highlight w:val="none"/>
        </w:rPr>
        <w:t>表1</w:t>
      </w:r>
      <w:r>
        <w:rPr>
          <w:rFonts w:hint="eastAsia" w:ascii="仿宋_GB2312" w:hAnsi="仿宋_GB2312" w:eastAsia="仿宋_GB2312" w:cs="仿宋_GB2312"/>
          <w:color w:val="auto"/>
          <w:kern w:val="0"/>
          <w:sz w:val="28"/>
          <w:szCs w:val="28"/>
          <w:highlight w:val="none"/>
          <w:lang w:val="en-US" w:eastAsia="zh-CN"/>
        </w:rPr>
        <w:t>4</w:t>
      </w:r>
      <w:r>
        <w:rPr>
          <w:rFonts w:hint="eastAsia" w:ascii="仿宋_GB2312" w:hAnsi="仿宋_GB2312" w:eastAsia="仿宋_GB2312" w:cs="仿宋_GB2312"/>
          <w:color w:val="auto"/>
          <w:kern w:val="0"/>
          <w:sz w:val="28"/>
          <w:szCs w:val="28"/>
          <w:highlight w:val="none"/>
        </w:rPr>
        <w:t xml:space="preserve"> </w:t>
      </w: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rPr>
        <w:t>随单位、人员变化及时调整由应急管理办公室及时更新。</w:t>
      </w:r>
    </w:p>
    <w:p w14:paraId="6EF97DF0">
      <w:pPr>
        <w:pStyle w:val="44"/>
        <w:spacing w:line="360" w:lineRule="auto"/>
        <w:jc w:val="center"/>
        <w:outlineLvl w:val="3"/>
        <w:rPr>
          <w:rFonts w:ascii="仿宋_GB2312" w:hAnsi="仿宋_GB2312" w:eastAsia="仿宋_GB2312" w:cs="仿宋_GB2312"/>
          <w:b/>
          <w:color w:val="auto"/>
          <w:kern w:val="2"/>
          <w:sz w:val="32"/>
          <w:szCs w:val="32"/>
          <w:highlight w:val="none"/>
        </w:rPr>
      </w:pPr>
      <w:bookmarkStart w:id="599" w:name="_Toc12879"/>
      <w:bookmarkStart w:id="600" w:name="_Toc13565"/>
      <w:bookmarkStart w:id="601" w:name="_Toc23960"/>
      <w:bookmarkStart w:id="602" w:name="_Toc25527"/>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 xml:space="preserve">9 </w:t>
      </w:r>
      <w:r>
        <w:rPr>
          <w:rFonts w:hint="eastAsia" w:ascii="仿宋_GB2312" w:hAnsi="仿宋_GB2312" w:eastAsia="仿宋_GB2312" w:cs="仿宋_GB2312"/>
          <w:b/>
          <w:color w:val="auto"/>
          <w:kern w:val="2"/>
          <w:sz w:val="32"/>
          <w:szCs w:val="32"/>
          <w:highlight w:val="none"/>
        </w:rPr>
        <w:t>应急物资管理责任人及联系方式</w:t>
      </w:r>
    </w:p>
    <w:tbl>
      <w:tblPr>
        <w:tblStyle w:val="28"/>
        <w:tblW w:w="5000" w:type="pct"/>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1422"/>
        <w:gridCol w:w="1246"/>
        <w:gridCol w:w="1596"/>
        <w:gridCol w:w="1188"/>
        <w:gridCol w:w="1811"/>
      </w:tblGrid>
      <w:tr w14:paraId="1C2D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992" w:type="pct"/>
            <w:vAlign w:val="center"/>
          </w:tcPr>
          <w:p w14:paraId="4617550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单位</w:t>
            </w:r>
          </w:p>
        </w:tc>
        <w:tc>
          <w:tcPr>
            <w:tcW w:w="784" w:type="pct"/>
            <w:vAlign w:val="center"/>
          </w:tcPr>
          <w:p w14:paraId="7C1237DB">
            <w:pPr>
              <w:widowControl/>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职务</w:t>
            </w:r>
          </w:p>
        </w:tc>
        <w:tc>
          <w:tcPr>
            <w:tcW w:w="687" w:type="pct"/>
            <w:vAlign w:val="center"/>
          </w:tcPr>
          <w:p w14:paraId="43BBD52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姓名</w:t>
            </w:r>
          </w:p>
        </w:tc>
        <w:tc>
          <w:tcPr>
            <w:tcW w:w="880" w:type="pct"/>
            <w:vAlign w:val="center"/>
          </w:tcPr>
          <w:p w14:paraId="1338F92F">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仓库名称</w:t>
            </w:r>
          </w:p>
        </w:tc>
        <w:tc>
          <w:tcPr>
            <w:tcW w:w="655" w:type="pct"/>
            <w:vAlign w:val="center"/>
          </w:tcPr>
          <w:p w14:paraId="0EAD235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办公电话</w:t>
            </w:r>
          </w:p>
        </w:tc>
        <w:tc>
          <w:tcPr>
            <w:tcW w:w="999" w:type="pct"/>
            <w:vAlign w:val="center"/>
          </w:tcPr>
          <w:p w14:paraId="72CAEA57">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手机号码</w:t>
            </w:r>
          </w:p>
        </w:tc>
      </w:tr>
      <w:tr w14:paraId="7BA4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992" w:type="pct"/>
            <w:vAlign w:val="center"/>
          </w:tcPr>
          <w:p w14:paraId="5D20BCA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机电管理部</w:t>
            </w:r>
          </w:p>
        </w:tc>
        <w:tc>
          <w:tcPr>
            <w:tcW w:w="784" w:type="pct"/>
            <w:vAlign w:val="center"/>
          </w:tcPr>
          <w:p w14:paraId="05C7A0B0">
            <w:pPr>
              <w:widowControl/>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副总工程师</w:t>
            </w:r>
          </w:p>
        </w:tc>
        <w:tc>
          <w:tcPr>
            <w:tcW w:w="687" w:type="pct"/>
            <w:vAlign w:val="center"/>
          </w:tcPr>
          <w:p w14:paraId="6C2DD142">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田吉伟</w:t>
            </w:r>
          </w:p>
        </w:tc>
        <w:tc>
          <w:tcPr>
            <w:tcW w:w="880" w:type="pct"/>
            <w:vAlign w:val="center"/>
          </w:tcPr>
          <w:p w14:paraId="61B2B7E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雨季三防库</w:t>
            </w:r>
          </w:p>
        </w:tc>
        <w:tc>
          <w:tcPr>
            <w:tcW w:w="655" w:type="pct"/>
            <w:vAlign w:val="center"/>
          </w:tcPr>
          <w:p w14:paraId="69872037">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999230</w:t>
            </w:r>
          </w:p>
        </w:tc>
        <w:tc>
          <w:tcPr>
            <w:tcW w:w="999" w:type="pct"/>
            <w:vAlign w:val="center"/>
          </w:tcPr>
          <w:p w14:paraId="5CB45EF6">
            <w:pPr>
              <w:widowControl/>
              <w:jc w:val="center"/>
              <w:textAlignment w:val="center"/>
              <w:rPr>
                <w:rFonts w:hint="eastAsia"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13792120828</w:t>
            </w:r>
          </w:p>
        </w:tc>
      </w:tr>
      <w:tr w14:paraId="1CF1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992" w:type="pct"/>
            <w:vAlign w:val="center"/>
          </w:tcPr>
          <w:p w14:paraId="0EF6F8F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机电管理部</w:t>
            </w:r>
          </w:p>
        </w:tc>
        <w:tc>
          <w:tcPr>
            <w:tcW w:w="784" w:type="pct"/>
            <w:vAlign w:val="center"/>
          </w:tcPr>
          <w:p w14:paraId="2B68AD56">
            <w:pPr>
              <w:widowControl/>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一般管理</w:t>
            </w:r>
          </w:p>
        </w:tc>
        <w:tc>
          <w:tcPr>
            <w:tcW w:w="687" w:type="pct"/>
            <w:vAlign w:val="center"/>
          </w:tcPr>
          <w:p w14:paraId="486C0399">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范  翔</w:t>
            </w:r>
          </w:p>
        </w:tc>
        <w:tc>
          <w:tcPr>
            <w:tcW w:w="880" w:type="pct"/>
            <w:vAlign w:val="center"/>
          </w:tcPr>
          <w:p w14:paraId="7C4F511B">
            <w:pPr>
              <w:widowControl/>
              <w:adjustRightInd w:val="0"/>
              <w:snapToGrid w:val="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雨季三防库</w:t>
            </w:r>
          </w:p>
        </w:tc>
        <w:tc>
          <w:tcPr>
            <w:tcW w:w="655" w:type="pct"/>
            <w:vAlign w:val="center"/>
          </w:tcPr>
          <w:p w14:paraId="5F9F76FD">
            <w:pPr>
              <w:widowControl/>
              <w:adjustRightInd w:val="0"/>
              <w:snapToGrid w:val="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99</w:t>
            </w:r>
            <w:r>
              <w:rPr>
                <w:rFonts w:hint="eastAsia" w:ascii="仿宋" w:hAnsi="仿宋" w:eastAsia="仿宋" w:cs="宋体"/>
                <w:color w:val="auto"/>
                <w:kern w:val="0"/>
                <w:sz w:val="24"/>
                <w:highlight w:val="none"/>
                <w:lang w:val="en-US" w:eastAsia="zh-CN" w:bidi="ar"/>
              </w:rPr>
              <w:t>9355</w:t>
            </w:r>
          </w:p>
        </w:tc>
        <w:tc>
          <w:tcPr>
            <w:tcW w:w="999" w:type="pct"/>
            <w:vAlign w:val="center"/>
          </w:tcPr>
          <w:p w14:paraId="440A4BE2">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15847473159</w:t>
            </w:r>
          </w:p>
        </w:tc>
      </w:tr>
      <w:tr w14:paraId="1545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exact"/>
        </w:trPr>
        <w:tc>
          <w:tcPr>
            <w:tcW w:w="992" w:type="pct"/>
            <w:vAlign w:val="center"/>
          </w:tcPr>
          <w:p w14:paraId="6C7BA92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运营管理部</w:t>
            </w:r>
          </w:p>
        </w:tc>
        <w:tc>
          <w:tcPr>
            <w:tcW w:w="784" w:type="pct"/>
            <w:vAlign w:val="center"/>
          </w:tcPr>
          <w:p w14:paraId="690E1A5D">
            <w:pPr>
              <w:widowControl/>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主任</w:t>
            </w:r>
          </w:p>
        </w:tc>
        <w:tc>
          <w:tcPr>
            <w:tcW w:w="687" w:type="pct"/>
            <w:vAlign w:val="center"/>
          </w:tcPr>
          <w:p w14:paraId="5F83E363">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韩超</w:t>
            </w:r>
          </w:p>
        </w:tc>
        <w:tc>
          <w:tcPr>
            <w:tcW w:w="880" w:type="pct"/>
            <w:vAlign w:val="center"/>
          </w:tcPr>
          <w:p w14:paraId="5BE51EE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装备库</w:t>
            </w:r>
          </w:p>
        </w:tc>
        <w:tc>
          <w:tcPr>
            <w:tcW w:w="655" w:type="pct"/>
            <w:vAlign w:val="center"/>
          </w:tcPr>
          <w:p w14:paraId="34F5C057">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99</w:t>
            </w:r>
            <w:r>
              <w:rPr>
                <w:rFonts w:hint="eastAsia" w:ascii="仿宋" w:hAnsi="仿宋" w:eastAsia="仿宋" w:cs="宋体"/>
                <w:color w:val="auto"/>
                <w:kern w:val="0"/>
                <w:sz w:val="24"/>
                <w:highlight w:val="none"/>
                <w:lang w:val="en-US" w:eastAsia="zh-CN" w:bidi="ar"/>
              </w:rPr>
              <w:t>9398</w:t>
            </w:r>
          </w:p>
        </w:tc>
        <w:tc>
          <w:tcPr>
            <w:tcW w:w="999" w:type="pct"/>
            <w:vAlign w:val="center"/>
          </w:tcPr>
          <w:p w14:paraId="7FCA972E">
            <w:pPr>
              <w:widowControl/>
              <w:jc w:val="center"/>
              <w:textAlignment w:val="center"/>
              <w:rPr>
                <w:rFonts w:hint="default" w:ascii="仿宋" w:hAnsi="仿宋" w:eastAsia="仿宋" w:cs="宋体"/>
                <w:color w:val="auto"/>
                <w:kern w:val="0"/>
                <w:sz w:val="24"/>
                <w:highlight w:val="none"/>
                <w:lang w:val="en-US" w:eastAsia="zh-CN" w:bidi="ar"/>
              </w:rPr>
            </w:pPr>
            <w:r>
              <w:rPr>
                <w:rFonts w:hint="default" w:ascii="仿宋" w:hAnsi="仿宋" w:eastAsia="仿宋" w:cs="宋体"/>
                <w:color w:val="auto"/>
                <w:kern w:val="0"/>
                <w:sz w:val="24"/>
                <w:highlight w:val="none"/>
                <w:lang w:val="en-US" w:eastAsia="zh-CN" w:bidi="ar"/>
              </w:rPr>
              <w:t>15053868578</w:t>
            </w:r>
          </w:p>
        </w:tc>
      </w:tr>
      <w:tr w14:paraId="209A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trPr>
        <w:tc>
          <w:tcPr>
            <w:tcW w:w="992" w:type="pct"/>
            <w:vAlign w:val="center"/>
          </w:tcPr>
          <w:p w14:paraId="612D6B3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运营管理部</w:t>
            </w:r>
          </w:p>
        </w:tc>
        <w:tc>
          <w:tcPr>
            <w:tcW w:w="784" w:type="pct"/>
            <w:vAlign w:val="center"/>
          </w:tcPr>
          <w:p w14:paraId="602AAC03">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副主任</w:t>
            </w:r>
          </w:p>
        </w:tc>
        <w:tc>
          <w:tcPr>
            <w:tcW w:w="687" w:type="pct"/>
            <w:vAlign w:val="center"/>
          </w:tcPr>
          <w:p w14:paraId="0023C7B4">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王坤坤</w:t>
            </w:r>
          </w:p>
        </w:tc>
        <w:tc>
          <w:tcPr>
            <w:tcW w:w="880" w:type="pct"/>
            <w:vAlign w:val="center"/>
          </w:tcPr>
          <w:p w14:paraId="3AFDA64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装备库</w:t>
            </w:r>
          </w:p>
        </w:tc>
        <w:tc>
          <w:tcPr>
            <w:tcW w:w="655" w:type="pct"/>
            <w:vAlign w:val="center"/>
          </w:tcPr>
          <w:p w14:paraId="0C0D3A49">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999205</w:t>
            </w:r>
          </w:p>
        </w:tc>
        <w:tc>
          <w:tcPr>
            <w:tcW w:w="999" w:type="pct"/>
            <w:vAlign w:val="center"/>
          </w:tcPr>
          <w:p w14:paraId="6963A6DD">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15947589678</w:t>
            </w:r>
          </w:p>
        </w:tc>
      </w:tr>
      <w:tr w14:paraId="10FB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trPr>
        <w:tc>
          <w:tcPr>
            <w:tcW w:w="992" w:type="pct"/>
            <w:vAlign w:val="center"/>
          </w:tcPr>
          <w:p w14:paraId="642F31D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通防工区</w:t>
            </w:r>
          </w:p>
        </w:tc>
        <w:tc>
          <w:tcPr>
            <w:tcW w:w="784" w:type="pct"/>
            <w:vAlign w:val="center"/>
          </w:tcPr>
          <w:p w14:paraId="10BB4D60">
            <w:pPr>
              <w:widowControl/>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区长</w:t>
            </w:r>
          </w:p>
        </w:tc>
        <w:tc>
          <w:tcPr>
            <w:tcW w:w="687" w:type="pct"/>
            <w:vAlign w:val="center"/>
          </w:tcPr>
          <w:p w14:paraId="07B0B0AD">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王晓功</w:t>
            </w:r>
          </w:p>
        </w:tc>
        <w:tc>
          <w:tcPr>
            <w:tcW w:w="880" w:type="pct"/>
            <w:vAlign w:val="center"/>
          </w:tcPr>
          <w:p w14:paraId="7F0A39E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消防材料库</w:t>
            </w:r>
          </w:p>
        </w:tc>
        <w:tc>
          <w:tcPr>
            <w:tcW w:w="655" w:type="pct"/>
            <w:vAlign w:val="center"/>
          </w:tcPr>
          <w:p w14:paraId="5206FA84">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99</w:t>
            </w:r>
            <w:r>
              <w:rPr>
                <w:rFonts w:hint="eastAsia" w:ascii="仿宋" w:hAnsi="仿宋" w:eastAsia="仿宋" w:cs="宋体"/>
                <w:color w:val="auto"/>
                <w:kern w:val="0"/>
                <w:sz w:val="24"/>
                <w:highlight w:val="none"/>
                <w:lang w:val="en-US" w:eastAsia="zh-CN" w:bidi="ar"/>
              </w:rPr>
              <w:t>9256</w:t>
            </w:r>
          </w:p>
        </w:tc>
        <w:tc>
          <w:tcPr>
            <w:tcW w:w="999" w:type="pct"/>
            <w:vAlign w:val="center"/>
          </w:tcPr>
          <w:p w14:paraId="4E3F0BAA">
            <w:pPr>
              <w:widowControl/>
              <w:jc w:val="center"/>
              <w:textAlignment w:val="center"/>
              <w:rPr>
                <w:rFonts w:hint="eastAsia" w:ascii="仿宋" w:hAnsi="仿宋" w:eastAsia="仿宋" w:cs="宋体"/>
                <w:color w:val="auto"/>
                <w:kern w:val="0"/>
                <w:sz w:val="24"/>
                <w:highlight w:val="none"/>
                <w:lang w:val="en-US" w:eastAsia="zh-CN" w:bidi="ar"/>
              </w:rPr>
            </w:pPr>
            <w:r>
              <w:rPr>
                <w:rFonts w:hint="default" w:ascii="仿宋" w:hAnsi="仿宋" w:eastAsia="仿宋" w:cs="宋体"/>
                <w:color w:val="auto"/>
                <w:kern w:val="0"/>
                <w:sz w:val="24"/>
                <w:highlight w:val="none"/>
                <w:lang w:val="en-US" w:eastAsia="zh-CN" w:bidi="ar"/>
              </w:rPr>
              <w:t>18295493024</w:t>
            </w:r>
          </w:p>
        </w:tc>
      </w:tr>
      <w:bookmarkEnd w:id="599"/>
      <w:bookmarkEnd w:id="600"/>
      <w:bookmarkEnd w:id="601"/>
      <w:bookmarkEnd w:id="602"/>
    </w:tbl>
    <w:p w14:paraId="21290C2A">
      <w:pPr>
        <w:pStyle w:val="44"/>
        <w:spacing w:line="360" w:lineRule="auto"/>
        <w:jc w:val="center"/>
        <w:outlineLvl w:val="9"/>
        <w:rPr>
          <w:rFonts w:ascii="仿宋_GB2312" w:hAnsi="仿宋_GB2312" w:eastAsia="仿宋_GB2312" w:cs="仿宋_GB2312"/>
          <w:b/>
          <w:color w:val="auto"/>
          <w:kern w:val="2"/>
          <w:sz w:val="32"/>
          <w:szCs w:val="32"/>
          <w:highlight w:val="none"/>
        </w:rPr>
      </w:pPr>
      <w:bookmarkStart w:id="603" w:name="_Toc23085"/>
      <w:bookmarkStart w:id="604" w:name="_Toc13960"/>
      <w:bookmarkStart w:id="605" w:name="_Toc20116"/>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10</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生产安全事故应急救援内部专家联系表</w:t>
      </w:r>
    </w:p>
    <w:tbl>
      <w:tblPr>
        <w:tblStyle w:val="28"/>
        <w:tblW w:w="5000" w:type="pct"/>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113"/>
        <w:gridCol w:w="1463"/>
        <w:gridCol w:w="1616"/>
        <w:gridCol w:w="2060"/>
        <w:gridCol w:w="1975"/>
      </w:tblGrid>
      <w:tr w14:paraId="655A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460" w:type="pct"/>
            <w:vAlign w:val="center"/>
          </w:tcPr>
          <w:p w14:paraId="5294D73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序号</w:t>
            </w:r>
          </w:p>
        </w:tc>
        <w:tc>
          <w:tcPr>
            <w:tcW w:w="614" w:type="pct"/>
            <w:vAlign w:val="center"/>
          </w:tcPr>
          <w:p w14:paraId="69973DE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姓  名</w:t>
            </w:r>
          </w:p>
        </w:tc>
        <w:tc>
          <w:tcPr>
            <w:tcW w:w="807" w:type="pct"/>
            <w:vAlign w:val="center"/>
          </w:tcPr>
          <w:p w14:paraId="125FCFE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职务、资质</w:t>
            </w:r>
          </w:p>
        </w:tc>
        <w:tc>
          <w:tcPr>
            <w:tcW w:w="891" w:type="pct"/>
            <w:vAlign w:val="center"/>
          </w:tcPr>
          <w:p w14:paraId="25125E4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专业特长</w:t>
            </w:r>
          </w:p>
        </w:tc>
        <w:tc>
          <w:tcPr>
            <w:tcW w:w="1136" w:type="pct"/>
            <w:vAlign w:val="center"/>
          </w:tcPr>
          <w:p w14:paraId="50B7164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联系电话</w:t>
            </w:r>
          </w:p>
        </w:tc>
        <w:tc>
          <w:tcPr>
            <w:tcW w:w="1089" w:type="pct"/>
            <w:vAlign w:val="center"/>
          </w:tcPr>
          <w:p w14:paraId="2A0A09F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联系电话</w:t>
            </w:r>
          </w:p>
        </w:tc>
      </w:tr>
      <w:tr w14:paraId="0A4F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2921F428">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w:t>
            </w:r>
          </w:p>
        </w:tc>
        <w:tc>
          <w:tcPr>
            <w:tcW w:w="614" w:type="pct"/>
            <w:vAlign w:val="center"/>
          </w:tcPr>
          <w:p w14:paraId="1C33588B">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14"/>
                <w:sz w:val="21"/>
                <w:szCs w:val="21"/>
                <w:highlight w:val="none"/>
                <w:lang w:eastAsia="zh-CN"/>
              </w:rPr>
              <w:t>郑永胜</w:t>
            </w:r>
          </w:p>
        </w:tc>
        <w:tc>
          <w:tcPr>
            <w:tcW w:w="807" w:type="pct"/>
            <w:vAlign w:val="center"/>
          </w:tcPr>
          <w:p w14:paraId="7E3F83D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eastAsia="zh-CN" w:bidi="ar"/>
              </w:rPr>
              <w:t>高级工程师</w:t>
            </w:r>
          </w:p>
        </w:tc>
        <w:tc>
          <w:tcPr>
            <w:tcW w:w="891" w:type="pct"/>
            <w:vAlign w:val="center"/>
          </w:tcPr>
          <w:p w14:paraId="19732D3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安全管理</w:t>
            </w:r>
          </w:p>
        </w:tc>
        <w:tc>
          <w:tcPr>
            <w:tcW w:w="1136" w:type="pct"/>
            <w:vAlign w:val="center"/>
          </w:tcPr>
          <w:p w14:paraId="09444DE5">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3"/>
                <w:highlight w:val="none"/>
                <w:lang w:eastAsia="zh-CN"/>
              </w:rPr>
              <w:t>18253869867</w:t>
            </w:r>
          </w:p>
        </w:tc>
        <w:tc>
          <w:tcPr>
            <w:tcW w:w="1089" w:type="pct"/>
            <w:vAlign w:val="center"/>
          </w:tcPr>
          <w:p w14:paraId="2A61FB0D">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999211</w:t>
            </w:r>
          </w:p>
        </w:tc>
      </w:tr>
      <w:tr w14:paraId="397B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31F304C7">
            <w:pPr>
              <w:widowControl/>
              <w:jc w:val="center"/>
              <w:textAlignment w:val="center"/>
              <w:rPr>
                <w:rFonts w:hint="eastAsia"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val="en-US" w:eastAsia="zh-CN" w:bidi="ar"/>
              </w:rPr>
              <w:t>2</w:t>
            </w:r>
          </w:p>
        </w:tc>
        <w:tc>
          <w:tcPr>
            <w:tcW w:w="614" w:type="pct"/>
            <w:shd w:val="clear" w:color="auto" w:fill="auto"/>
            <w:vAlign w:val="center"/>
          </w:tcPr>
          <w:p w14:paraId="2B9558FA">
            <w:pPr>
              <w:pStyle w:val="62"/>
              <w:jc w:val="center"/>
              <w:rPr>
                <w:rFonts w:hint="eastAsia"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eastAsia="zh-CN"/>
              </w:rPr>
              <w:t>姜桂森</w:t>
            </w:r>
          </w:p>
        </w:tc>
        <w:tc>
          <w:tcPr>
            <w:tcW w:w="807" w:type="pct"/>
            <w:shd w:val="clear" w:color="auto" w:fill="auto"/>
            <w:vAlign w:val="center"/>
          </w:tcPr>
          <w:p w14:paraId="4F7E3F45">
            <w:pPr>
              <w:widowControl/>
              <w:jc w:val="center"/>
              <w:textAlignment w:val="center"/>
              <w:rPr>
                <w:rFonts w:hint="eastAsia"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eastAsia="zh-CN" w:bidi="ar"/>
              </w:rPr>
              <w:t>高级工程师</w:t>
            </w:r>
          </w:p>
        </w:tc>
        <w:tc>
          <w:tcPr>
            <w:tcW w:w="891" w:type="pct"/>
            <w:shd w:val="clear" w:color="auto" w:fill="auto"/>
            <w:vAlign w:val="center"/>
          </w:tcPr>
          <w:p w14:paraId="559CC4CF">
            <w:pPr>
              <w:widowControl/>
              <w:jc w:val="center"/>
              <w:textAlignment w:val="center"/>
              <w:rPr>
                <w:rFonts w:hint="eastAsia"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安全管理</w:t>
            </w:r>
          </w:p>
        </w:tc>
        <w:tc>
          <w:tcPr>
            <w:tcW w:w="1136" w:type="pct"/>
            <w:shd w:val="clear" w:color="auto" w:fill="auto"/>
            <w:vAlign w:val="center"/>
          </w:tcPr>
          <w:p w14:paraId="31DC8EC1">
            <w:pPr>
              <w:jc w:val="center"/>
              <w:rPr>
                <w:rFonts w:hint="eastAsia" w:ascii="仿宋" w:hAnsi="仿宋" w:eastAsia="仿宋" w:cs="宋体"/>
                <w:color w:val="auto"/>
                <w:kern w:val="0"/>
                <w:sz w:val="24"/>
                <w:szCs w:val="24"/>
                <w:highlight w:val="none"/>
                <w:lang w:val="en-US" w:eastAsia="zh-CN" w:bidi="ar"/>
              </w:rPr>
            </w:pPr>
            <w:r>
              <w:rPr>
                <w:rFonts w:hint="eastAsia" w:cs="Times New Roman"/>
                <w:color w:val="auto"/>
                <w:spacing w:val="3"/>
                <w:highlight w:val="none"/>
                <w:lang w:eastAsia="zh-CN"/>
              </w:rPr>
              <w:t>15163861689</w:t>
            </w:r>
          </w:p>
        </w:tc>
        <w:tc>
          <w:tcPr>
            <w:tcW w:w="1089" w:type="pct"/>
            <w:shd w:val="clear" w:color="auto" w:fill="auto"/>
            <w:vAlign w:val="center"/>
          </w:tcPr>
          <w:p w14:paraId="265179C6">
            <w:pPr>
              <w:jc w:val="center"/>
              <w:rPr>
                <w:rFonts w:hint="default" w:ascii="仿宋" w:hAnsi="仿宋" w:eastAsia="仿宋" w:cs="宋体"/>
                <w:color w:val="auto"/>
                <w:kern w:val="0"/>
                <w:sz w:val="24"/>
                <w:szCs w:val="24"/>
                <w:highlight w:val="none"/>
                <w:lang w:val="en-US" w:eastAsia="zh-CN" w:bidi="ar"/>
              </w:rPr>
            </w:pPr>
            <w:r>
              <w:rPr>
                <w:rFonts w:hint="default" w:ascii="Times New Roman" w:hAnsi="Times New Roman" w:eastAsia="宋体" w:cs="Times New Roman"/>
                <w:color w:val="auto"/>
                <w:spacing w:val="2"/>
                <w:highlight w:val="none"/>
              </w:rPr>
              <w:t>999413</w:t>
            </w:r>
          </w:p>
        </w:tc>
      </w:tr>
      <w:tr w14:paraId="56A9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79FA9DC3">
            <w:pPr>
              <w:widowControl/>
              <w:jc w:val="center"/>
              <w:textAlignment w:val="center"/>
              <w:rPr>
                <w:rFonts w:hint="eastAsia"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3</w:t>
            </w:r>
          </w:p>
        </w:tc>
        <w:tc>
          <w:tcPr>
            <w:tcW w:w="614" w:type="pct"/>
            <w:shd w:val="clear" w:color="auto" w:fill="auto"/>
            <w:vAlign w:val="center"/>
          </w:tcPr>
          <w:p w14:paraId="421A750D">
            <w:pPr>
              <w:pStyle w:val="62"/>
              <w:jc w:val="center"/>
              <w:rPr>
                <w:rFonts w:hint="eastAsia" w:ascii="Times New Roman" w:hAnsi="Times New Roman" w:eastAsia="宋体" w:cs="Times New Roman"/>
                <w:color w:val="auto"/>
                <w:spacing w:val="14"/>
                <w:sz w:val="21"/>
                <w:szCs w:val="21"/>
                <w:highlight w:val="none"/>
                <w:lang w:val="en-US" w:eastAsia="zh-CN"/>
              </w:rPr>
            </w:pPr>
            <w:r>
              <w:rPr>
                <w:rFonts w:hint="default" w:ascii="Times New Roman" w:hAnsi="Times New Roman" w:eastAsia="宋体" w:cs="Times New Roman"/>
                <w:color w:val="auto"/>
                <w:spacing w:val="14"/>
                <w:sz w:val="21"/>
                <w:szCs w:val="21"/>
                <w:highlight w:val="none"/>
                <w:lang w:eastAsia="zh-CN"/>
              </w:rPr>
              <w:t>李光富</w:t>
            </w:r>
          </w:p>
        </w:tc>
        <w:tc>
          <w:tcPr>
            <w:tcW w:w="807" w:type="pct"/>
            <w:shd w:val="clear" w:color="auto" w:fill="auto"/>
            <w:vAlign w:val="center"/>
          </w:tcPr>
          <w:p w14:paraId="25E831E5">
            <w:pPr>
              <w:widowControl/>
              <w:jc w:val="center"/>
              <w:textAlignment w:val="center"/>
              <w:rPr>
                <w:rFonts w:hint="eastAsia"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工程师</w:t>
            </w:r>
          </w:p>
        </w:tc>
        <w:tc>
          <w:tcPr>
            <w:tcW w:w="891" w:type="pct"/>
            <w:shd w:val="clear" w:color="auto" w:fill="auto"/>
            <w:vAlign w:val="center"/>
          </w:tcPr>
          <w:p w14:paraId="56110432">
            <w:pPr>
              <w:widowControl/>
              <w:jc w:val="center"/>
              <w:textAlignment w:val="center"/>
              <w:rPr>
                <w:rFonts w:hint="eastAsia"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安全管理</w:t>
            </w:r>
          </w:p>
        </w:tc>
        <w:tc>
          <w:tcPr>
            <w:tcW w:w="1136" w:type="pct"/>
            <w:shd w:val="clear" w:color="auto" w:fill="auto"/>
            <w:vAlign w:val="center"/>
          </w:tcPr>
          <w:p w14:paraId="468F9875">
            <w:pPr>
              <w:jc w:val="center"/>
              <w:rPr>
                <w:rFonts w:hint="eastAsia" w:ascii="仿宋" w:hAnsi="仿宋" w:eastAsia="仿宋" w:cs="宋体"/>
                <w:color w:val="auto"/>
                <w:kern w:val="0"/>
                <w:sz w:val="24"/>
                <w:szCs w:val="24"/>
                <w:highlight w:val="none"/>
                <w:lang w:val="en-US" w:eastAsia="zh-CN" w:bidi="ar"/>
              </w:rPr>
            </w:pPr>
            <w:r>
              <w:rPr>
                <w:rFonts w:hint="default" w:ascii="Times New Roman" w:hAnsi="Times New Roman" w:eastAsia="宋体" w:cs="Times New Roman"/>
                <w:color w:val="auto"/>
                <w:spacing w:val="3"/>
                <w:highlight w:val="none"/>
              </w:rPr>
              <w:t>13255480123</w:t>
            </w:r>
          </w:p>
        </w:tc>
        <w:tc>
          <w:tcPr>
            <w:tcW w:w="1089" w:type="pct"/>
            <w:shd w:val="clear" w:color="auto" w:fill="auto"/>
            <w:vAlign w:val="center"/>
          </w:tcPr>
          <w:p w14:paraId="768AD45B">
            <w:pPr>
              <w:jc w:val="center"/>
              <w:rPr>
                <w:rFonts w:hint="default" w:ascii="仿宋" w:hAnsi="仿宋" w:eastAsia="仿宋" w:cs="宋体"/>
                <w:color w:val="auto"/>
                <w:kern w:val="0"/>
                <w:sz w:val="24"/>
                <w:szCs w:val="24"/>
                <w:highlight w:val="none"/>
                <w:lang w:val="en-US" w:eastAsia="zh-CN" w:bidi="ar"/>
              </w:rPr>
            </w:pPr>
            <w:r>
              <w:rPr>
                <w:rFonts w:hint="default" w:ascii="Times New Roman" w:hAnsi="Times New Roman" w:eastAsia="宋体" w:cs="Times New Roman"/>
                <w:color w:val="auto"/>
                <w:spacing w:val="2"/>
                <w:highlight w:val="none"/>
              </w:rPr>
              <w:t>999271</w:t>
            </w:r>
          </w:p>
        </w:tc>
      </w:tr>
      <w:tr w14:paraId="2F89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4EB1D339">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4</w:t>
            </w:r>
          </w:p>
        </w:tc>
        <w:tc>
          <w:tcPr>
            <w:tcW w:w="614" w:type="pct"/>
            <w:shd w:val="clear" w:color="auto" w:fill="auto"/>
            <w:vAlign w:val="center"/>
          </w:tcPr>
          <w:p w14:paraId="6A7BC475">
            <w:pPr>
              <w:pStyle w:val="62"/>
              <w:jc w:val="center"/>
              <w:rPr>
                <w:rFonts w:hint="eastAsia"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杨</w:t>
            </w:r>
            <w:r>
              <w:rPr>
                <w:rFonts w:hint="eastAsia" w:ascii="Times New Roman" w:hAnsi="Times New Roman" w:eastAsia="宋体" w:cs="Times New Roman"/>
                <w:color w:val="auto"/>
                <w:spacing w:val="14"/>
                <w:sz w:val="21"/>
                <w:szCs w:val="21"/>
                <w:highlight w:val="none"/>
                <w:lang w:val="en-US" w:eastAsia="zh-CN"/>
              </w:rPr>
              <w:t xml:space="preserve">  </w:t>
            </w:r>
            <w:r>
              <w:rPr>
                <w:rFonts w:hint="default" w:ascii="Times New Roman" w:hAnsi="Times New Roman" w:eastAsia="宋体" w:cs="Times New Roman"/>
                <w:color w:val="auto"/>
                <w:spacing w:val="14"/>
                <w:sz w:val="21"/>
                <w:szCs w:val="21"/>
                <w:highlight w:val="none"/>
                <w:lang w:eastAsia="zh-CN"/>
              </w:rPr>
              <w:t>勇</w:t>
            </w:r>
          </w:p>
        </w:tc>
        <w:tc>
          <w:tcPr>
            <w:tcW w:w="807" w:type="pct"/>
            <w:shd w:val="clear" w:color="auto" w:fill="auto"/>
            <w:vAlign w:val="center"/>
          </w:tcPr>
          <w:p w14:paraId="45B7940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shd w:val="clear" w:color="auto" w:fill="auto"/>
            <w:vAlign w:val="center"/>
          </w:tcPr>
          <w:p w14:paraId="12215AC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采煤专业</w:t>
            </w:r>
          </w:p>
        </w:tc>
        <w:tc>
          <w:tcPr>
            <w:tcW w:w="1136" w:type="pct"/>
            <w:shd w:val="clear" w:color="auto" w:fill="auto"/>
            <w:vAlign w:val="center"/>
          </w:tcPr>
          <w:p w14:paraId="668B4CE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13562813214</w:t>
            </w:r>
          </w:p>
        </w:tc>
        <w:tc>
          <w:tcPr>
            <w:tcW w:w="1089" w:type="pct"/>
            <w:shd w:val="clear" w:color="auto" w:fill="auto"/>
            <w:vAlign w:val="center"/>
          </w:tcPr>
          <w:p w14:paraId="3B5DAF22">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390</w:t>
            </w:r>
          </w:p>
        </w:tc>
      </w:tr>
      <w:tr w14:paraId="5AA5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3069A6CC">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5</w:t>
            </w:r>
          </w:p>
        </w:tc>
        <w:tc>
          <w:tcPr>
            <w:tcW w:w="614" w:type="pct"/>
            <w:shd w:val="clear" w:color="auto" w:fill="auto"/>
            <w:vAlign w:val="center"/>
          </w:tcPr>
          <w:p w14:paraId="6E19B28B">
            <w:pPr>
              <w:pStyle w:val="62"/>
              <w:jc w:val="center"/>
              <w:rPr>
                <w:rFonts w:hint="eastAsia" w:ascii="Times New Roman" w:hAnsi="Times New Roman" w:eastAsia="宋体" w:cs="Times New Roman"/>
                <w:color w:val="auto"/>
                <w:spacing w:val="14"/>
                <w:sz w:val="21"/>
                <w:szCs w:val="21"/>
                <w:highlight w:val="none"/>
                <w:lang w:val="en-US" w:eastAsia="en-US"/>
              </w:rPr>
            </w:pPr>
            <w:r>
              <w:rPr>
                <w:rFonts w:hint="default" w:ascii="Times New Roman" w:hAnsi="Times New Roman" w:eastAsia="宋体" w:cs="Times New Roman"/>
                <w:color w:val="auto"/>
                <w:spacing w:val="14"/>
                <w:sz w:val="21"/>
                <w:szCs w:val="21"/>
                <w:highlight w:val="none"/>
                <w:lang w:eastAsia="zh-CN"/>
              </w:rPr>
              <w:t>王</w:t>
            </w:r>
            <w:r>
              <w:rPr>
                <w:rFonts w:hint="eastAsia" w:ascii="Times New Roman" w:hAnsi="Times New Roman" w:eastAsia="宋体" w:cs="Times New Roman"/>
                <w:color w:val="auto"/>
                <w:spacing w:val="14"/>
                <w:sz w:val="21"/>
                <w:szCs w:val="21"/>
                <w:highlight w:val="none"/>
                <w:lang w:val="en-US" w:eastAsia="zh-CN"/>
              </w:rPr>
              <w:t xml:space="preserve">  </w:t>
            </w:r>
            <w:r>
              <w:rPr>
                <w:rFonts w:hint="default" w:ascii="Times New Roman" w:hAnsi="Times New Roman" w:eastAsia="宋体" w:cs="Times New Roman"/>
                <w:color w:val="auto"/>
                <w:spacing w:val="14"/>
                <w:sz w:val="21"/>
                <w:szCs w:val="21"/>
                <w:highlight w:val="none"/>
                <w:lang w:eastAsia="zh-CN"/>
              </w:rPr>
              <w:t>强</w:t>
            </w:r>
          </w:p>
        </w:tc>
        <w:tc>
          <w:tcPr>
            <w:tcW w:w="807" w:type="pct"/>
            <w:shd w:val="clear" w:color="auto" w:fill="auto"/>
            <w:vAlign w:val="center"/>
          </w:tcPr>
          <w:p w14:paraId="374CD675">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注册安全工程师</w:t>
            </w:r>
          </w:p>
        </w:tc>
        <w:tc>
          <w:tcPr>
            <w:tcW w:w="891" w:type="pct"/>
            <w:shd w:val="clear" w:color="auto" w:fill="auto"/>
            <w:vAlign w:val="center"/>
          </w:tcPr>
          <w:p w14:paraId="58C66D25">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采煤专业</w:t>
            </w:r>
          </w:p>
        </w:tc>
        <w:tc>
          <w:tcPr>
            <w:tcW w:w="1136" w:type="pct"/>
            <w:shd w:val="clear" w:color="auto" w:fill="auto"/>
            <w:vAlign w:val="center"/>
          </w:tcPr>
          <w:p w14:paraId="5622FAA7">
            <w:pPr>
              <w:jc w:val="center"/>
              <w:rPr>
                <w:rFonts w:ascii="仿宋" w:hAnsi="仿宋" w:eastAsia="仿宋" w:cs="宋体"/>
                <w:color w:val="auto"/>
                <w:kern w:val="0"/>
                <w:sz w:val="24"/>
                <w:szCs w:val="24"/>
                <w:highlight w:val="none"/>
                <w:lang w:val="en-US" w:eastAsia="zh-CN" w:bidi="ar"/>
              </w:rPr>
            </w:pPr>
            <w:r>
              <w:rPr>
                <w:rFonts w:hint="default" w:ascii="Times New Roman" w:hAnsi="Times New Roman" w:eastAsia="宋体" w:cs="Times New Roman"/>
                <w:color w:val="auto"/>
                <w:spacing w:val="3"/>
                <w:highlight w:val="none"/>
              </w:rPr>
              <w:t>13562818219</w:t>
            </w:r>
          </w:p>
        </w:tc>
        <w:tc>
          <w:tcPr>
            <w:tcW w:w="1089" w:type="pct"/>
            <w:shd w:val="clear" w:color="auto" w:fill="auto"/>
            <w:vAlign w:val="center"/>
          </w:tcPr>
          <w:p w14:paraId="26FFF89E">
            <w:pPr>
              <w:jc w:val="center"/>
              <w:rPr>
                <w:rFonts w:ascii="仿宋" w:hAnsi="仿宋" w:eastAsia="仿宋" w:cs="宋体"/>
                <w:color w:val="auto"/>
                <w:kern w:val="0"/>
                <w:sz w:val="24"/>
                <w:szCs w:val="24"/>
                <w:highlight w:val="none"/>
                <w:lang w:val="en-US" w:eastAsia="zh-CN" w:bidi="ar"/>
              </w:rPr>
            </w:pPr>
            <w:r>
              <w:rPr>
                <w:rFonts w:hint="default" w:ascii="Times New Roman" w:hAnsi="Times New Roman" w:eastAsia="宋体" w:cs="Times New Roman"/>
                <w:color w:val="auto"/>
                <w:spacing w:val="2"/>
                <w:highlight w:val="none"/>
              </w:rPr>
              <w:t>999290</w:t>
            </w:r>
          </w:p>
        </w:tc>
      </w:tr>
      <w:tr w14:paraId="56A5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3C13B079">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6</w:t>
            </w:r>
          </w:p>
        </w:tc>
        <w:tc>
          <w:tcPr>
            <w:tcW w:w="614" w:type="pct"/>
            <w:vAlign w:val="center"/>
          </w:tcPr>
          <w:p w14:paraId="75123106">
            <w:pPr>
              <w:pStyle w:val="62"/>
              <w:jc w:val="center"/>
              <w:rPr>
                <w:rFonts w:hint="eastAsia"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巩庆刚</w:t>
            </w:r>
          </w:p>
        </w:tc>
        <w:tc>
          <w:tcPr>
            <w:tcW w:w="807" w:type="pct"/>
            <w:vAlign w:val="center"/>
          </w:tcPr>
          <w:p w14:paraId="055ACB8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0FB407B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采煤专业</w:t>
            </w:r>
          </w:p>
        </w:tc>
        <w:tc>
          <w:tcPr>
            <w:tcW w:w="1136" w:type="pct"/>
            <w:vAlign w:val="center"/>
          </w:tcPr>
          <w:p w14:paraId="247AF9C2">
            <w:pPr>
              <w:jc w:val="center"/>
              <w:textAlignment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3"/>
                <w:highlight w:val="none"/>
              </w:rPr>
              <w:t>18253866879</w:t>
            </w:r>
          </w:p>
        </w:tc>
        <w:tc>
          <w:tcPr>
            <w:tcW w:w="1089" w:type="pct"/>
            <w:vAlign w:val="center"/>
          </w:tcPr>
          <w:p w14:paraId="43B8C0A6">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999316</w:t>
            </w:r>
          </w:p>
        </w:tc>
      </w:tr>
      <w:tr w14:paraId="6AE9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593EA796">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7</w:t>
            </w:r>
          </w:p>
        </w:tc>
        <w:tc>
          <w:tcPr>
            <w:tcW w:w="614" w:type="pct"/>
            <w:vAlign w:val="center"/>
          </w:tcPr>
          <w:p w14:paraId="270524A4">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eastAsia="zh-CN"/>
              </w:rPr>
              <w:t>刘传明</w:t>
            </w:r>
          </w:p>
        </w:tc>
        <w:tc>
          <w:tcPr>
            <w:tcW w:w="807" w:type="pct"/>
            <w:vAlign w:val="center"/>
          </w:tcPr>
          <w:p w14:paraId="3112D53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3793289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掘进专业</w:t>
            </w:r>
          </w:p>
        </w:tc>
        <w:tc>
          <w:tcPr>
            <w:tcW w:w="1136" w:type="pct"/>
            <w:vAlign w:val="center"/>
          </w:tcPr>
          <w:p w14:paraId="364CDF53">
            <w:pPr>
              <w:jc w:val="center"/>
              <w:rPr>
                <w:rFonts w:hint="eastAsia" w:ascii="仿宋" w:hAnsi="仿宋" w:eastAsia="仿宋" w:cs="宋体"/>
                <w:color w:val="auto"/>
                <w:kern w:val="0"/>
                <w:sz w:val="24"/>
                <w:highlight w:val="none"/>
                <w:lang w:eastAsia="zh-CN" w:bidi="ar"/>
              </w:rPr>
            </w:pPr>
            <w:r>
              <w:rPr>
                <w:rFonts w:hint="eastAsia" w:cs="Times New Roman"/>
                <w:color w:val="auto"/>
                <w:spacing w:val="3"/>
                <w:highlight w:val="none"/>
                <w:lang w:eastAsia="zh-CN"/>
              </w:rPr>
              <w:t>13562817949</w:t>
            </w:r>
          </w:p>
        </w:tc>
        <w:tc>
          <w:tcPr>
            <w:tcW w:w="1089" w:type="pct"/>
            <w:vAlign w:val="center"/>
          </w:tcPr>
          <w:p w14:paraId="7CEBA0E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999229</w:t>
            </w:r>
          </w:p>
        </w:tc>
      </w:tr>
      <w:tr w14:paraId="29EE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1CBF3963">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8</w:t>
            </w:r>
          </w:p>
        </w:tc>
        <w:tc>
          <w:tcPr>
            <w:tcW w:w="614" w:type="pct"/>
            <w:vAlign w:val="center"/>
          </w:tcPr>
          <w:p w14:paraId="1E2652F0">
            <w:pPr>
              <w:pStyle w:val="62"/>
              <w:jc w:val="center"/>
              <w:rPr>
                <w:rFonts w:hint="eastAsia"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郭汉青</w:t>
            </w:r>
          </w:p>
        </w:tc>
        <w:tc>
          <w:tcPr>
            <w:tcW w:w="807" w:type="pct"/>
            <w:vAlign w:val="center"/>
          </w:tcPr>
          <w:p w14:paraId="4A0C5D1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283F3CB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掘进专业</w:t>
            </w:r>
          </w:p>
        </w:tc>
        <w:tc>
          <w:tcPr>
            <w:tcW w:w="1136" w:type="pct"/>
            <w:vAlign w:val="center"/>
          </w:tcPr>
          <w:p w14:paraId="0BDF82E9">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highlight w:val="none"/>
              </w:rPr>
              <w:t>18253869707</w:t>
            </w:r>
          </w:p>
        </w:tc>
        <w:tc>
          <w:tcPr>
            <w:tcW w:w="1089" w:type="pct"/>
            <w:vAlign w:val="center"/>
          </w:tcPr>
          <w:p w14:paraId="71D85E28">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999298</w:t>
            </w:r>
          </w:p>
        </w:tc>
      </w:tr>
      <w:tr w14:paraId="63B6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633AF25F">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9</w:t>
            </w:r>
          </w:p>
        </w:tc>
        <w:tc>
          <w:tcPr>
            <w:tcW w:w="614" w:type="pct"/>
            <w:vAlign w:val="center"/>
          </w:tcPr>
          <w:p w14:paraId="51C2F099">
            <w:pPr>
              <w:pStyle w:val="62"/>
              <w:jc w:val="center"/>
              <w:rPr>
                <w:rFonts w:hint="eastAsia"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陈雪敏</w:t>
            </w:r>
          </w:p>
        </w:tc>
        <w:tc>
          <w:tcPr>
            <w:tcW w:w="807" w:type="pct"/>
            <w:vAlign w:val="center"/>
          </w:tcPr>
          <w:p w14:paraId="0B22150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7D2A02E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掘进专业</w:t>
            </w:r>
          </w:p>
        </w:tc>
        <w:tc>
          <w:tcPr>
            <w:tcW w:w="1136" w:type="pct"/>
            <w:vAlign w:val="center"/>
          </w:tcPr>
          <w:p w14:paraId="13CC6F5A">
            <w:pPr>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3"/>
                <w:highlight w:val="none"/>
              </w:rPr>
              <w:t>18104848895</w:t>
            </w:r>
          </w:p>
        </w:tc>
        <w:tc>
          <w:tcPr>
            <w:tcW w:w="1089" w:type="pct"/>
            <w:vAlign w:val="center"/>
          </w:tcPr>
          <w:p w14:paraId="2A9D8175">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999275</w:t>
            </w:r>
          </w:p>
        </w:tc>
      </w:tr>
      <w:tr w14:paraId="721A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401D0212">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10</w:t>
            </w:r>
          </w:p>
        </w:tc>
        <w:tc>
          <w:tcPr>
            <w:tcW w:w="614" w:type="pct"/>
            <w:vAlign w:val="center"/>
          </w:tcPr>
          <w:p w14:paraId="5331ABF2">
            <w:pPr>
              <w:pStyle w:val="62"/>
              <w:jc w:val="center"/>
              <w:rPr>
                <w:rFonts w:hint="eastAsia"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成</w:t>
            </w:r>
            <w:r>
              <w:rPr>
                <w:rFonts w:hint="eastAsia" w:ascii="Times New Roman" w:hAnsi="Times New Roman" w:eastAsia="宋体" w:cs="Times New Roman"/>
                <w:color w:val="auto"/>
                <w:spacing w:val="14"/>
                <w:sz w:val="21"/>
                <w:szCs w:val="21"/>
                <w:highlight w:val="none"/>
                <w:lang w:val="en-US" w:eastAsia="zh-CN"/>
              </w:rPr>
              <w:t xml:space="preserve">  </w:t>
            </w:r>
            <w:r>
              <w:rPr>
                <w:rFonts w:hint="default" w:ascii="Times New Roman" w:hAnsi="Times New Roman" w:eastAsia="宋体" w:cs="Times New Roman"/>
                <w:color w:val="auto"/>
                <w:spacing w:val="14"/>
                <w:sz w:val="21"/>
                <w:szCs w:val="21"/>
                <w:highlight w:val="none"/>
                <w:lang w:eastAsia="zh-CN"/>
              </w:rPr>
              <w:t>琦</w:t>
            </w:r>
          </w:p>
        </w:tc>
        <w:tc>
          <w:tcPr>
            <w:tcW w:w="807" w:type="pct"/>
            <w:vAlign w:val="center"/>
          </w:tcPr>
          <w:p w14:paraId="4ED0ED5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1F7C4AF4">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防冲专业</w:t>
            </w:r>
          </w:p>
        </w:tc>
        <w:tc>
          <w:tcPr>
            <w:tcW w:w="1136" w:type="pct"/>
            <w:vAlign w:val="center"/>
          </w:tcPr>
          <w:p w14:paraId="3CB6DF3F">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13953861521</w:t>
            </w:r>
          </w:p>
        </w:tc>
        <w:tc>
          <w:tcPr>
            <w:tcW w:w="1089" w:type="pct"/>
            <w:vAlign w:val="center"/>
          </w:tcPr>
          <w:p w14:paraId="438D0216">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999328</w:t>
            </w:r>
          </w:p>
        </w:tc>
      </w:tr>
      <w:tr w14:paraId="598E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490BB4E3">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11</w:t>
            </w:r>
          </w:p>
        </w:tc>
        <w:tc>
          <w:tcPr>
            <w:tcW w:w="614" w:type="pct"/>
            <w:vAlign w:val="center"/>
          </w:tcPr>
          <w:p w14:paraId="1C6411D3">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秦  强</w:t>
            </w:r>
          </w:p>
        </w:tc>
        <w:tc>
          <w:tcPr>
            <w:tcW w:w="807" w:type="pct"/>
            <w:vAlign w:val="center"/>
          </w:tcPr>
          <w:p w14:paraId="1D19D314">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4C94831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防冲专业</w:t>
            </w:r>
          </w:p>
        </w:tc>
        <w:tc>
          <w:tcPr>
            <w:tcW w:w="1136" w:type="pct"/>
            <w:vAlign w:val="center"/>
          </w:tcPr>
          <w:p w14:paraId="3044322B">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18300405356</w:t>
            </w:r>
          </w:p>
        </w:tc>
        <w:tc>
          <w:tcPr>
            <w:tcW w:w="1089" w:type="pct"/>
            <w:vAlign w:val="center"/>
          </w:tcPr>
          <w:p w14:paraId="78FC2292">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9994</w:t>
            </w:r>
            <w:r>
              <w:rPr>
                <w:rFonts w:hint="eastAsia" w:cs="Times New Roman"/>
                <w:color w:val="auto"/>
                <w:spacing w:val="2"/>
                <w:highlight w:val="none"/>
                <w:lang w:val="en-US" w:eastAsia="zh-CN"/>
              </w:rPr>
              <w:t>0</w:t>
            </w:r>
            <w:r>
              <w:rPr>
                <w:rFonts w:hint="default" w:ascii="Times New Roman" w:hAnsi="Times New Roman" w:eastAsia="宋体" w:cs="Times New Roman"/>
                <w:color w:val="auto"/>
                <w:spacing w:val="2"/>
                <w:highlight w:val="none"/>
              </w:rPr>
              <w:t>7</w:t>
            </w:r>
          </w:p>
        </w:tc>
      </w:tr>
      <w:tr w14:paraId="5CC9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3B68E7EE">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12</w:t>
            </w:r>
          </w:p>
        </w:tc>
        <w:tc>
          <w:tcPr>
            <w:tcW w:w="614" w:type="pct"/>
            <w:vAlign w:val="center"/>
          </w:tcPr>
          <w:p w14:paraId="10D88658">
            <w:pPr>
              <w:pStyle w:val="62"/>
              <w:jc w:val="center"/>
              <w:rPr>
                <w:rFonts w:hint="default"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val="en-US" w:eastAsia="zh-CN"/>
              </w:rPr>
              <w:t>王安生</w:t>
            </w:r>
          </w:p>
        </w:tc>
        <w:tc>
          <w:tcPr>
            <w:tcW w:w="807" w:type="pct"/>
            <w:vAlign w:val="center"/>
          </w:tcPr>
          <w:p w14:paraId="05261D64">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工程师</w:t>
            </w:r>
            <w:r>
              <w:rPr>
                <w:rFonts w:hint="eastAsia" w:ascii="仿宋" w:hAnsi="仿宋" w:eastAsia="仿宋" w:cs="宋体"/>
                <w:color w:val="auto"/>
                <w:kern w:val="0"/>
                <w:sz w:val="24"/>
                <w:highlight w:val="none"/>
                <w:lang w:val="en-US" w:eastAsia="zh-CN" w:bidi="ar"/>
              </w:rPr>
              <w:t xml:space="preserve"> </w:t>
            </w:r>
          </w:p>
        </w:tc>
        <w:tc>
          <w:tcPr>
            <w:tcW w:w="891" w:type="pct"/>
            <w:vAlign w:val="center"/>
          </w:tcPr>
          <w:p w14:paraId="46889B04">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防冲专业</w:t>
            </w:r>
          </w:p>
        </w:tc>
        <w:tc>
          <w:tcPr>
            <w:tcW w:w="1136" w:type="pct"/>
            <w:vAlign w:val="center"/>
          </w:tcPr>
          <w:p w14:paraId="1DC6D7E2">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13037982996</w:t>
            </w:r>
          </w:p>
        </w:tc>
        <w:tc>
          <w:tcPr>
            <w:tcW w:w="1089" w:type="pct"/>
            <w:vAlign w:val="center"/>
          </w:tcPr>
          <w:p w14:paraId="6AAE16FD">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999288</w:t>
            </w:r>
          </w:p>
        </w:tc>
      </w:tr>
      <w:tr w14:paraId="7E0C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2E27A5C6">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13</w:t>
            </w:r>
          </w:p>
        </w:tc>
        <w:tc>
          <w:tcPr>
            <w:tcW w:w="614" w:type="pct"/>
            <w:vAlign w:val="center"/>
          </w:tcPr>
          <w:p w14:paraId="66F51DE9">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刘业兵</w:t>
            </w:r>
          </w:p>
        </w:tc>
        <w:tc>
          <w:tcPr>
            <w:tcW w:w="807" w:type="pct"/>
            <w:vAlign w:val="center"/>
          </w:tcPr>
          <w:p w14:paraId="267E062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5ABB983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调度应急</w:t>
            </w:r>
          </w:p>
        </w:tc>
        <w:tc>
          <w:tcPr>
            <w:tcW w:w="1136" w:type="pct"/>
            <w:vAlign w:val="center"/>
          </w:tcPr>
          <w:p w14:paraId="268AFBE1">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18253869967</w:t>
            </w:r>
          </w:p>
        </w:tc>
        <w:tc>
          <w:tcPr>
            <w:tcW w:w="1089" w:type="pct"/>
            <w:vAlign w:val="center"/>
          </w:tcPr>
          <w:p w14:paraId="5FAAB551">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999213</w:t>
            </w:r>
          </w:p>
        </w:tc>
      </w:tr>
      <w:tr w14:paraId="7A58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39EC4908">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14</w:t>
            </w:r>
          </w:p>
        </w:tc>
        <w:tc>
          <w:tcPr>
            <w:tcW w:w="614" w:type="pct"/>
            <w:vAlign w:val="center"/>
          </w:tcPr>
          <w:p w14:paraId="739553B0">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王志刚</w:t>
            </w:r>
          </w:p>
        </w:tc>
        <w:tc>
          <w:tcPr>
            <w:tcW w:w="807" w:type="pct"/>
            <w:vAlign w:val="center"/>
          </w:tcPr>
          <w:p w14:paraId="117A4D0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66A5C3E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调度应急</w:t>
            </w:r>
          </w:p>
        </w:tc>
        <w:tc>
          <w:tcPr>
            <w:tcW w:w="1136" w:type="pct"/>
            <w:vAlign w:val="center"/>
          </w:tcPr>
          <w:p w14:paraId="2B033E89">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18953861107</w:t>
            </w:r>
          </w:p>
        </w:tc>
        <w:tc>
          <w:tcPr>
            <w:tcW w:w="1089" w:type="pct"/>
            <w:vAlign w:val="center"/>
          </w:tcPr>
          <w:p w14:paraId="7DEC1F54">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999218</w:t>
            </w:r>
          </w:p>
        </w:tc>
      </w:tr>
      <w:tr w14:paraId="3A83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1F973CDA">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15</w:t>
            </w:r>
          </w:p>
        </w:tc>
        <w:tc>
          <w:tcPr>
            <w:tcW w:w="614" w:type="pct"/>
            <w:vAlign w:val="center"/>
          </w:tcPr>
          <w:p w14:paraId="4BE98FB8">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韩  超</w:t>
            </w:r>
          </w:p>
        </w:tc>
        <w:tc>
          <w:tcPr>
            <w:tcW w:w="807" w:type="pct"/>
            <w:vAlign w:val="center"/>
          </w:tcPr>
          <w:p w14:paraId="01546A68">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工程师</w:t>
            </w:r>
            <w:r>
              <w:rPr>
                <w:rFonts w:hint="eastAsia" w:ascii="仿宋" w:hAnsi="仿宋" w:eastAsia="仿宋" w:cs="宋体"/>
                <w:color w:val="auto"/>
                <w:kern w:val="0"/>
                <w:sz w:val="24"/>
                <w:highlight w:val="none"/>
                <w:lang w:val="en-US" w:eastAsia="zh-CN" w:bidi="ar"/>
              </w:rPr>
              <w:t xml:space="preserve"> </w:t>
            </w:r>
          </w:p>
        </w:tc>
        <w:tc>
          <w:tcPr>
            <w:tcW w:w="891" w:type="pct"/>
            <w:vAlign w:val="center"/>
          </w:tcPr>
          <w:p w14:paraId="73F874D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调度应急</w:t>
            </w:r>
          </w:p>
        </w:tc>
        <w:tc>
          <w:tcPr>
            <w:tcW w:w="1136" w:type="pct"/>
            <w:vAlign w:val="center"/>
          </w:tcPr>
          <w:p w14:paraId="2B3503A0">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4"/>
                <w:highlight w:val="none"/>
                <w:lang w:val="en-US" w:eastAsia="zh-CN"/>
              </w:rPr>
              <w:t>15053868578</w:t>
            </w:r>
          </w:p>
        </w:tc>
        <w:tc>
          <w:tcPr>
            <w:tcW w:w="1089" w:type="pct"/>
            <w:vAlign w:val="center"/>
          </w:tcPr>
          <w:p w14:paraId="36E88D46">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999398</w:t>
            </w:r>
          </w:p>
        </w:tc>
      </w:tr>
      <w:tr w14:paraId="7ACD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6966DCC1">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16</w:t>
            </w:r>
          </w:p>
        </w:tc>
        <w:tc>
          <w:tcPr>
            <w:tcW w:w="614" w:type="pct"/>
            <w:vAlign w:val="center"/>
          </w:tcPr>
          <w:p w14:paraId="69215622">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史华伟</w:t>
            </w:r>
          </w:p>
        </w:tc>
        <w:tc>
          <w:tcPr>
            <w:tcW w:w="807" w:type="pct"/>
            <w:vAlign w:val="center"/>
          </w:tcPr>
          <w:p w14:paraId="2E634F4F">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eastAsia="zh-CN" w:bidi="ar"/>
              </w:rPr>
              <w:t>高级</w:t>
            </w:r>
            <w:r>
              <w:rPr>
                <w:rFonts w:hint="eastAsia" w:ascii="仿宋" w:hAnsi="仿宋" w:eastAsia="仿宋" w:cs="宋体"/>
                <w:color w:val="auto"/>
                <w:kern w:val="0"/>
                <w:sz w:val="24"/>
                <w:highlight w:val="none"/>
                <w:lang w:bidi="ar"/>
              </w:rPr>
              <w:t>工程师</w:t>
            </w:r>
          </w:p>
        </w:tc>
        <w:tc>
          <w:tcPr>
            <w:tcW w:w="891" w:type="pct"/>
            <w:vAlign w:val="center"/>
          </w:tcPr>
          <w:p w14:paraId="5859A238">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机电专业</w:t>
            </w:r>
          </w:p>
        </w:tc>
        <w:tc>
          <w:tcPr>
            <w:tcW w:w="1136" w:type="pct"/>
            <w:vAlign w:val="center"/>
          </w:tcPr>
          <w:p w14:paraId="1E087515">
            <w:pPr>
              <w:widowControl/>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13562818219</w:t>
            </w:r>
          </w:p>
        </w:tc>
        <w:tc>
          <w:tcPr>
            <w:tcW w:w="1089" w:type="pct"/>
            <w:vAlign w:val="center"/>
          </w:tcPr>
          <w:p w14:paraId="730F8EC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999348</w:t>
            </w:r>
          </w:p>
        </w:tc>
      </w:tr>
      <w:tr w14:paraId="29C3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22AD05AC">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17</w:t>
            </w:r>
          </w:p>
        </w:tc>
        <w:tc>
          <w:tcPr>
            <w:tcW w:w="614" w:type="pct"/>
            <w:vAlign w:val="center"/>
          </w:tcPr>
          <w:p w14:paraId="4D3F698B">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巩振刚</w:t>
            </w:r>
          </w:p>
        </w:tc>
        <w:tc>
          <w:tcPr>
            <w:tcW w:w="807" w:type="pct"/>
            <w:vAlign w:val="center"/>
          </w:tcPr>
          <w:p w14:paraId="151ED0D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eastAsia="zh-CN" w:bidi="ar"/>
              </w:rPr>
              <w:t>高级</w:t>
            </w:r>
            <w:r>
              <w:rPr>
                <w:rFonts w:hint="eastAsia" w:ascii="仿宋" w:hAnsi="仿宋" w:eastAsia="仿宋" w:cs="宋体"/>
                <w:color w:val="auto"/>
                <w:kern w:val="0"/>
                <w:sz w:val="24"/>
                <w:highlight w:val="none"/>
                <w:lang w:bidi="ar"/>
              </w:rPr>
              <w:t>工程师</w:t>
            </w:r>
          </w:p>
        </w:tc>
        <w:tc>
          <w:tcPr>
            <w:tcW w:w="891" w:type="pct"/>
            <w:vAlign w:val="center"/>
          </w:tcPr>
          <w:p w14:paraId="3CE47CD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机电专业</w:t>
            </w:r>
          </w:p>
        </w:tc>
        <w:tc>
          <w:tcPr>
            <w:tcW w:w="1136" w:type="pct"/>
            <w:vAlign w:val="center"/>
          </w:tcPr>
          <w:p w14:paraId="31548EA7">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13255480123</w:t>
            </w:r>
          </w:p>
        </w:tc>
        <w:tc>
          <w:tcPr>
            <w:tcW w:w="1089" w:type="pct"/>
            <w:vAlign w:val="center"/>
          </w:tcPr>
          <w:p w14:paraId="3FC7E9EB">
            <w:pPr>
              <w:jc w:val="center"/>
              <w:textAlignment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999485</w:t>
            </w:r>
          </w:p>
        </w:tc>
      </w:tr>
      <w:tr w14:paraId="5D71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05B08E35">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18</w:t>
            </w:r>
          </w:p>
        </w:tc>
        <w:tc>
          <w:tcPr>
            <w:tcW w:w="614" w:type="pct"/>
            <w:vAlign w:val="center"/>
          </w:tcPr>
          <w:p w14:paraId="16E4197C">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田吉伟</w:t>
            </w:r>
          </w:p>
        </w:tc>
        <w:tc>
          <w:tcPr>
            <w:tcW w:w="807" w:type="pct"/>
            <w:vAlign w:val="center"/>
          </w:tcPr>
          <w:p w14:paraId="49E73D2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6FCCFE0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机电专业</w:t>
            </w:r>
          </w:p>
        </w:tc>
        <w:tc>
          <w:tcPr>
            <w:tcW w:w="1136" w:type="pct"/>
            <w:vAlign w:val="center"/>
          </w:tcPr>
          <w:p w14:paraId="02554CE2">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3"/>
                <w:highlight w:val="none"/>
                <w:lang w:val="en-US" w:eastAsia="zh-CN"/>
              </w:rPr>
              <w:t>13792120828</w:t>
            </w:r>
          </w:p>
        </w:tc>
        <w:tc>
          <w:tcPr>
            <w:tcW w:w="1089" w:type="pct"/>
            <w:vAlign w:val="center"/>
          </w:tcPr>
          <w:p w14:paraId="602AF98C">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2"/>
                <w:highlight w:val="none"/>
                <w:lang w:val="en-US" w:eastAsia="zh-CN"/>
              </w:rPr>
              <w:t>999230</w:t>
            </w:r>
          </w:p>
        </w:tc>
      </w:tr>
      <w:tr w14:paraId="24F1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48466D47">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19</w:t>
            </w:r>
          </w:p>
        </w:tc>
        <w:tc>
          <w:tcPr>
            <w:tcW w:w="614" w:type="pct"/>
            <w:vAlign w:val="center"/>
          </w:tcPr>
          <w:p w14:paraId="5F184560">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牛  迪</w:t>
            </w:r>
          </w:p>
        </w:tc>
        <w:tc>
          <w:tcPr>
            <w:tcW w:w="807" w:type="pct"/>
            <w:vAlign w:val="center"/>
          </w:tcPr>
          <w:p w14:paraId="5A2186F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5051344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运输</w:t>
            </w:r>
            <w:r>
              <w:rPr>
                <w:rFonts w:hint="eastAsia" w:ascii="仿宋" w:hAnsi="仿宋" w:eastAsia="仿宋" w:cs="宋体"/>
                <w:color w:val="auto"/>
                <w:kern w:val="0"/>
                <w:sz w:val="24"/>
                <w:highlight w:val="none"/>
                <w:lang w:bidi="ar"/>
              </w:rPr>
              <w:t>专业</w:t>
            </w:r>
          </w:p>
        </w:tc>
        <w:tc>
          <w:tcPr>
            <w:tcW w:w="1136" w:type="pct"/>
            <w:vAlign w:val="center"/>
          </w:tcPr>
          <w:p w14:paraId="09581A72">
            <w:pPr>
              <w:jc w:val="center"/>
              <w:textAlignment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15469867536</w:t>
            </w:r>
          </w:p>
        </w:tc>
        <w:tc>
          <w:tcPr>
            <w:tcW w:w="1089" w:type="pct"/>
            <w:vAlign w:val="center"/>
          </w:tcPr>
          <w:p w14:paraId="22179060">
            <w:pPr>
              <w:jc w:val="center"/>
              <w:textAlignment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999450</w:t>
            </w:r>
          </w:p>
        </w:tc>
      </w:tr>
      <w:tr w14:paraId="1191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6B5CC043">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20</w:t>
            </w:r>
          </w:p>
        </w:tc>
        <w:tc>
          <w:tcPr>
            <w:tcW w:w="614" w:type="pct"/>
            <w:vAlign w:val="center"/>
          </w:tcPr>
          <w:p w14:paraId="30B16732">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罗  庚</w:t>
            </w:r>
          </w:p>
        </w:tc>
        <w:tc>
          <w:tcPr>
            <w:tcW w:w="807" w:type="pct"/>
            <w:vAlign w:val="center"/>
          </w:tcPr>
          <w:p w14:paraId="08ED25C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4418280F">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运输</w:t>
            </w:r>
            <w:r>
              <w:rPr>
                <w:rFonts w:hint="eastAsia" w:ascii="仿宋" w:hAnsi="仿宋" w:eastAsia="仿宋" w:cs="宋体"/>
                <w:color w:val="auto"/>
                <w:kern w:val="0"/>
                <w:sz w:val="24"/>
                <w:highlight w:val="none"/>
                <w:lang w:bidi="ar"/>
              </w:rPr>
              <w:t>专业</w:t>
            </w:r>
          </w:p>
        </w:tc>
        <w:tc>
          <w:tcPr>
            <w:tcW w:w="1136" w:type="pct"/>
            <w:vAlign w:val="center"/>
          </w:tcPr>
          <w:p w14:paraId="7228DB00">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15963853900</w:t>
            </w:r>
          </w:p>
        </w:tc>
        <w:tc>
          <w:tcPr>
            <w:tcW w:w="1089" w:type="pct"/>
            <w:vAlign w:val="center"/>
          </w:tcPr>
          <w:p w14:paraId="1BF2CFB7">
            <w:pPr>
              <w:jc w:val="center"/>
              <w:rPr>
                <w:rFonts w:hint="default" w:ascii="仿宋" w:hAnsi="仿宋" w:eastAsia="宋体" w:cs="宋体"/>
                <w:color w:val="auto"/>
                <w:kern w:val="0"/>
                <w:sz w:val="24"/>
                <w:highlight w:val="none"/>
                <w:lang w:val="en-US" w:eastAsia="zh-CN" w:bidi="ar"/>
              </w:rPr>
            </w:pPr>
            <w:r>
              <w:rPr>
                <w:rFonts w:hint="default" w:ascii="Times New Roman" w:hAnsi="Times New Roman" w:eastAsia="宋体" w:cs="Times New Roman"/>
                <w:color w:val="auto"/>
                <w:spacing w:val="2"/>
                <w:highlight w:val="none"/>
              </w:rPr>
              <w:t>999</w:t>
            </w:r>
            <w:r>
              <w:rPr>
                <w:rFonts w:hint="eastAsia" w:cs="Times New Roman"/>
                <w:color w:val="auto"/>
                <w:spacing w:val="2"/>
                <w:highlight w:val="none"/>
                <w:lang w:val="en-US" w:eastAsia="zh-CN"/>
              </w:rPr>
              <w:t>355</w:t>
            </w:r>
          </w:p>
        </w:tc>
      </w:tr>
      <w:tr w14:paraId="6BD2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5709869A">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21</w:t>
            </w:r>
          </w:p>
        </w:tc>
        <w:tc>
          <w:tcPr>
            <w:tcW w:w="614" w:type="pct"/>
            <w:vAlign w:val="center"/>
          </w:tcPr>
          <w:p w14:paraId="72746CAA">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闫延卿</w:t>
            </w:r>
          </w:p>
        </w:tc>
        <w:tc>
          <w:tcPr>
            <w:tcW w:w="807" w:type="pct"/>
            <w:vAlign w:val="center"/>
          </w:tcPr>
          <w:p w14:paraId="65298B4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4CF4CE0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运输专业</w:t>
            </w:r>
          </w:p>
        </w:tc>
        <w:tc>
          <w:tcPr>
            <w:tcW w:w="1136" w:type="pct"/>
            <w:vAlign w:val="center"/>
          </w:tcPr>
          <w:p w14:paraId="28766C11">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13327063163</w:t>
            </w:r>
          </w:p>
        </w:tc>
        <w:tc>
          <w:tcPr>
            <w:tcW w:w="1089" w:type="pct"/>
            <w:vAlign w:val="center"/>
          </w:tcPr>
          <w:p w14:paraId="055CE1A5">
            <w:pPr>
              <w:jc w:val="center"/>
              <w:rPr>
                <w:rFonts w:hint="default" w:ascii="仿宋" w:hAnsi="仿宋" w:eastAsia="宋体" w:cs="宋体"/>
                <w:color w:val="auto"/>
                <w:kern w:val="0"/>
                <w:sz w:val="24"/>
                <w:highlight w:val="none"/>
                <w:lang w:val="en-US" w:eastAsia="zh-CN" w:bidi="ar"/>
              </w:rPr>
            </w:pPr>
            <w:r>
              <w:rPr>
                <w:rFonts w:hint="default" w:ascii="Times New Roman" w:hAnsi="Times New Roman" w:eastAsia="宋体" w:cs="Times New Roman"/>
                <w:color w:val="auto"/>
                <w:spacing w:val="2"/>
                <w:highlight w:val="none"/>
              </w:rPr>
              <w:t>999</w:t>
            </w:r>
            <w:r>
              <w:rPr>
                <w:rFonts w:hint="eastAsia" w:cs="Times New Roman"/>
                <w:color w:val="auto"/>
                <w:spacing w:val="2"/>
                <w:highlight w:val="none"/>
                <w:lang w:val="en-US" w:eastAsia="zh-CN"/>
              </w:rPr>
              <w:t>388</w:t>
            </w:r>
          </w:p>
        </w:tc>
      </w:tr>
      <w:tr w14:paraId="1B1E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6DBF30D6">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22</w:t>
            </w:r>
          </w:p>
        </w:tc>
        <w:tc>
          <w:tcPr>
            <w:tcW w:w="614" w:type="pct"/>
            <w:vAlign w:val="center"/>
          </w:tcPr>
          <w:p w14:paraId="19FDA582">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谢秀伟</w:t>
            </w:r>
          </w:p>
        </w:tc>
        <w:tc>
          <w:tcPr>
            <w:tcW w:w="807" w:type="pct"/>
            <w:vAlign w:val="center"/>
          </w:tcPr>
          <w:p w14:paraId="7AB58C7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1F8A65B8">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地测专业</w:t>
            </w:r>
          </w:p>
        </w:tc>
        <w:tc>
          <w:tcPr>
            <w:tcW w:w="1136" w:type="pct"/>
            <w:vAlign w:val="center"/>
          </w:tcPr>
          <w:p w14:paraId="7E274B7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15853870199</w:t>
            </w:r>
          </w:p>
        </w:tc>
        <w:tc>
          <w:tcPr>
            <w:tcW w:w="1089" w:type="pct"/>
            <w:vAlign w:val="center"/>
          </w:tcPr>
          <w:p w14:paraId="05D842A3">
            <w:pPr>
              <w:jc w:val="center"/>
              <w:rPr>
                <w:rFonts w:hint="default" w:ascii="仿宋" w:hAnsi="仿宋" w:eastAsia="宋体" w:cs="宋体"/>
                <w:color w:val="auto"/>
                <w:kern w:val="0"/>
                <w:sz w:val="24"/>
                <w:highlight w:val="none"/>
                <w:lang w:val="en-US" w:eastAsia="zh-CN" w:bidi="ar"/>
              </w:rPr>
            </w:pPr>
            <w:r>
              <w:rPr>
                <w:rFonts w:hint="default" w:ascii="Times New Roman" w:hAnsi="Times New Roman" w:eastAsia="宋体" w:cs="Times New Roman"/>
                <w:color w:val="auto"/>
                <w:spacing w:val="2"/>
                <w:highlight w:val="none"/>
              </w:rPr>
              <w:t>999</w:t>
            </w:r>
            <w:r>
              <w:rPr>
                <w:rFonts w:hint="eastAsia" w:cs="Times New Roman"/>
                <w:color w:val="auto"/>
                <w:spacing w:val="2"/>
                <w:highlight w:val="none"/>
                <w:lang w:val="en-US" w:eastAsia="zh-CN"/>
              </w:rPr>
              <w:t>419</w:t>
            </w:r>
          </w:p>
        </w:tc>
      </w:tr>
      <w:tr w14:paraId="166C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6C7AD2E9">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23</w:t>
            </w:r>
          </w:p>
        </w:tc>
        <w:tc>
          <w:tcPr>
            <w:tcW w:w="614" w:type="pct"/>
            <w:vAlign w:val="center"/>
          </w:tcPr>
          <w:p w14:paraId="3D7AD02A">
            <w:pPr>
              <w:pStyle w:val="62"/>
              <w:jc w:val="center"/>
              <w:rPr>
                <w:rFonts w:hint="eastAsia"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val="en-US" w:eastAsia="zh-CN"/>
              </w:rPr>
              <w:t>安玉伟</w:t>
            </w:r>
          </w:p>
        </w:tc>
        <w:tc>
          <w:tcPr>
            <w:tcW w:w="807" w:type="pct"/>
            <w:vAlign w:val="center"/>
          </w:tcPr>
          <w:p w14:paraId="169874B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eastAsia="zh-CN" w:bidi="ar"/>
              </w:rPr>
              <w:t>高级</w:t>
            </w:r>
            <w:r>
              <w:rPr>
                <w:rFonts w:hint="eastAsia" w:ascii="仿宋" w:hAnsi="仿宋" w:eastAsia="仿宋" w:cs="宋体"/>
                <w:color w:val="auto"/>
                <w:kern w:val="0"/>
                <w:sz w:val="24"/>
                <w:highlight w:val="none"/>
                <w:lang w:bidi="ar"/>
              </w:rPr>
              <w:t>工程师</w:t>
            </w:r>
          </w:p>
        </w:tc>
        <w:tc>
          <w:tcPr>
            <w:tcW w:w="891" w:type="pct"/>
            <w:vAlign w:val="center"/>
          </w:tcPr>
          <w:p w14:paraId="36E5A6C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地测专业</w:t>
            </w:r>
          </w:p>
        </w:tc>
        <w:tc>
          <w:tcPr>
            <w:tcW w:w="1136" w:type="pct"/>
            <w:vAlign w:val="center"/>
          </w:tcPr>
          <w:p w14:paraId="073D5AB7">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3"/>
                <w:highlight w:val="none"/>
                <w:lang w:val="en-US" w:eastAsia="zh-CN"/>
              </w:rPr>
              <w:t>13848471695</w:t>
            </w:r>
          </w:p>
        </w:tc>
        <w:tc>
          <w:tcPr>
            <w:tcW w:w="1089" w:type="pct"/>
            <w:vAlign w:val="center"/>
          </w:tcPr>
          <w:p w14:paraId="54361B9A">
            <w:pPr>
              <w:jc w:val="center"/>
              <w:rPr>
                <w:rFonts w:hint="default" w:ascii="仿宋" w:hAnsi="仿宋" w:eastAsia="宋体" w:cs="宋体"/>
                <w:color w:val="auto"/>
                <w:kern w:val="0"/>
                <w:sz w:val="24"/>
                <w:highlight w:val="none"/>
                <w:lang w:val="en-US" w:eastAsia="zh-CN" w:bidi="ar"/>
              </w:rPr>
            </w:pPr>
            <w:r>
              <w:rPr>
                <w:rFonts w:hint="default" w:ascii="Times New Roman" w:hAnsi="Times New Roman" w:eastAsia="宋体" w:cs="Times New Roman"/>
                <w:color w:val="auto"/>
                <w:spacing w:val="2"/>
                <w:highlight w:val="none"/>
              </w:rPr>
              <w:t>999</w:t>
            </w:r>
            <w:r>
              <w:rPr>
                <w:rFonts w:hint="eastAsia" w:cs="Times New Roman"/>
                <w:color w:val="auto"/>
                <w:spacing w:val="2"/>
                <w:highlight w:val="none"/>
                <w:lang w:val="en-US" w:eastAsia="zh-CN"/>
              </w:rPr>
              <w:t>265</w:t>
            </w:r>
          </w:p>
        </w:tc>
      </w:tr>
      <w:tr w14:paraId="37FC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7366E459">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24</w:t>
            </w:r>
          </w:p>
        </w:tc>
        <w:tc>
          <w:tcPr>
            <w:tcW w:w="614" w:type="pct"/>
            <w:vAlign w:val="center"/>
          </w:tcPr>
          <w:p w14:paraId="50253C0A">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潘洪涛</w:t>
            </w:r>
          </w:p>
        </w:tc>
        <w:tc>
          <w:tcPr>
            <w:tcW w:w="807" w:type="pct"/>
            <w:vAlign w:val="center"/>
          </w:tcPr>
          <w:p w14:paraId="0116F3F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01540987">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地测专业</w:t>
            </w:r>
          </w:p>
        </w:tc>
        <w:tc>
          <w:tcPr>
            <w:tcW w:w="1136" w:type="pct"/>
            <w:vAlign w:val="center"/>
          </w:tcPr>
          <w:p w14:paraId="684C7262">
            <w:pPr>
              <w:jc w:val="center"/>
              <w:rPr>
                <w:rFonts w:hint="default" w:ascii="仿宋" w:hAnsi="仿宋" w:eastAsia="仿宋" w:cs="宋体"/>
                <w:color w:val="auto"/>
                <w:kern w:val="0"/>
                <w:sz w:val="24"/>
                <w:highlight w:val="none"/>
                <w:lang w:val="en-US" w:bidi="ar"/>
              </w:rPr>
            </w:pPr>
            <w:r>
              <w:rPr>
                <w:rFonts w:hint="eastAsia" w:cs="Times New Roman"/>
                <w:color w:val="auto"/>
                <w:spacing w:val="3"/>
                <w:highlight w:val="none"/>
                <w:lang w:val="en-US" w:eastAsia="zh-CN"/>
              </w:rPr>
              <w:t>13562812330</w:t>
            </w:r>
          </w:p>
        </w:tc>
        <w:tc>
          <w:tcPr>
            <w:tcW w:w="1089" w:type="pct"/>
            <w:vAlign w:val="center"/>
          </w:tcPr>
          <w:p w14:paraId="706149CD">
            <w:pPr>
              <w:jc w:val="center"/>
              <w:rPr>
                <w:rFonts w:hint="default" w:ascii="仿宋" w:hAnsi="仿宋" w:eastAsia="仿宋" w:cs="宋体"/>
                <w:color w:val="auto"/>
                <w:kern w:val="0"/>
                <w:sz w:val="24"/>
                <w:highlight w:val="none"/>
                <w:lang w:val="en-US" w:bidi="ar"/>
              </w:rPr>
            </w:pPr>
            <w:r>
              <w:rPr>
                <w:rFonts w:hint="eastAsia" w:cs="Times New Roman"/>
                <w:color w:val="auto"/>
                <w:spacing w:val="2"/>
                <w:highlight w:val="none"/>
                <w:lang w:val="en-US" w:eastAsia="zh-CN"/>
              </w:rPr>
              <w:t>999331</w:t>
            </w:r>
          </w:p>
        </w:tc>
      </w:tr>
      <w:tr w14:paraId="742C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460" w:type="pct"/>
            <w:shd w:val="clear" w:color="auto" w:fill="auto"/>
            <w:vAlign w:val="center"/>
          </w:tcPr>
          <w:p w14:paraId="2AD5606A">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25</w:t>
            </w:r>
          </w:p>
        </w:tc>
        <w:tc>
          <w:tcPr>
            <w:tcW w:w="614" w:type="pct"/>
            <w:vAlign w:val="center"/>
          </w:tcPr>
          <w:p w14:paraId="18407573">
            <w:pPr>
              <w:pStyle w:val="62"/>
              <w:jc w:val="center"/>
              <w:rPr>
                <w:rFonts w:hint="default"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val="en-US" w:eastAsia="zh-CN"/>
              </w:rPr>
              <w:t>吴守峰</w:t>
            </w:r>
          </w:p>
        </w:tc>
        <w:tc>
          <w:tcPr>
            <w:tcW w:w="807" w:type="pct"/>
            <w:vAlign w:val="center"/>
          </w:tcPr>
          <w:p w14:paraId="5C55EC2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2D098A3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消防</w:t>
            </w:r>
            <w:r>
              <w:rPr>
                <w:rFonts w:hint="eastAsia" w:ascii="仿宋" w:hAnsi="仿宋" w:eastAsia="仿宋" w:cs="宋体"/>
                <w:color w:val="auto"/>
                <w:kern w:val="0"/>
                <w:sz w:val="24"/>
                <w:highlight w:val="none"/>
                <w:lang w:bidi="ar"/>
              </w:rPr>
              <w:t>专业</w:t>
            </w:r>
          </w:p>
        </w:tc>
        <w:tc>
          <w:tcPr>
            <w:tcW w:w="1136" w:type="pct"/>
            <w:vAlign w:val="center"/>
          </w:tcPr>
          <w:p w14:paraId="03924E0A">
            <w:pPr>
              <w:jc w:val="center"/>
              <w:rPr>
                <w:rFonts w:hint="default" w:ascii="仿宋" w:hAnsi="仿宋" w:eastAsia="仿宋" w:cs="宋体"/>
                <w:color w:val="auto"/>
                <w:kern w:val="0"/>
                <w:sz w:val="24"/>
                <w:highlight w:val="none"/>
                <w:lang w:val="en-US" w:eastAsia="zh-CN" w:bidi="ar"/>
              </w:rPr>
            </w:pPr>
            <w:r>
              <w:rPr>
                <w:rFonts w:hint="eastAsia" w:eastAsia="宋体" w:cs="Times New Roman"/>
                <w:color w:val="auto"/>
                <w:spacing w:val="3"/>
                <w:highlight w:val="none"/>
                <w:lang w:val="en-US" w:eastAsia="zh-CN"/>
              </w:rPr>
              <w:t>13220614869</w:t>
            </w:r>
          </w:p>
        </w:tc>
        <w:tc>
          <w:tcPr>
            <w:tcW w:w="1089" w:type="pct"/>
            <w:vAlign w:val="center"/>
          </w:tcPr>
          <w:p w14:paraId="3496E1F8">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210</w:t>
            </w:r>
          </w:p>
        </w:tc>
      </w:tr>
      <w:tr w14:paraId="76FE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786BE5AE">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26</w:t>
            </w:r>
          </w:p>
        </w:tc>
        <w:tc>
          <w:tcPr>
            <w:tcW w:w="614" w:type="pct"/>
            <w:vAlign w:val="center"/>
          </w:tcPr>
          <w:p w14:paraId="5CDE70D6">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孙宁斌</w:t>
            </w:r>
          </w:p>
        </w:tc>
        <w:tc>
          <w:tcPr>
            <w:tcW w:w="807" w:type="pct"/>
            <w:vAlign w:val="center"/>
          </w:tcPr>
          <w:p w14:paraId="064EA75D">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5E10244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消防</w:t>
            </w:r>
            <w:r>
              <w:rPr>
                <w:rFonts w:hint="eastAsia" w:ascii="仿宋" w:hAnsi="仿宋" w:eastAsia="仿宋" w:cs="宋体"/>
                <w:color w:val="auto"/>
                <w:kern w:val="0"/>
                <w:sz w:val="24"/>
                <w:highlight w:val="none"/>
                <w:lang w:bidi="ar"/>
              </w:rPr>
              <w:t>专业</w:t>
            </w:r>
          </w:p>
        </w:tc>
        <w:tc>
          <w:tcPr>
            <w:tcW w:w="1136" w:type="pct"/>
            <w:vAlign w:val="center"/>
          </w:tcPr>
          <w:p w14:paraId="26278329">
            <w:pPr>
              <w:jc w:val="center"/>
              <w:rPr>
                <w:rFonts w:hint="default" w:ascii="仿宋" w:hAnsi="仿宋" w:eastAsia="仿宋" w:cs="宋体"/>
                <w:color w:val="auto"/>
                <w:kern w:val="0"/>
                <w:sz w:val="24"/>
                <w:highlight w:val="none"/>
                <w:lang w:val="en-US" w:eastAsia="zh-CN" w:bidi="ar"/>
              </w:rPr>
            </w:pPr>
            <w:r>
              <w:rPr>
                <w:rFonts w:hint="eastAsia" w:eastAsia="宋体" w:cs="Times New Roman"/>
                <w:color w:val="auto"/>
                <w:spacing w:val="3"/>
                <w:highlight w:val="none"/>
                <w:lang w:val="en-US" w:eastAsia="zh-CN"/>
              </w:rPr>
              <w:t>15163830897</w:t>
            </w:r>
          </w:p>
        </w:tc>
        <w:tc>
          <w:tcPr>
            <w:tcW w:w="1089" w:type="pct"/>
            <w:vAlign w:val="center"/>
          </w:tcPr>
          <w:p w14:paraId="4B1F8B44">
            <w:pPr>
              <w:jc w:val="center"/>
              <w:rPr>
                <w:rFonts w:hint="default" w:ascii="仿宋" w:hAnsi="仿宋" w:eastAsia="仿宋" w:cs="宋体"/>
                <w:color w:val="auto"/>
                <w:kern w:val="0"/>
                <w:sz w:val="24"/>
                <w:highlight w:val="none"/>
                <w:lang w:val="en-US"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2</w:t>
            </w:r>
            <w:r>
              <w:rPr>
                <w:rFonts w:hint="eastAsia" w:cs="Times New Roman"/>
                <w:color w:val="auto"/>
                <w:spacing w:val="2"/>
                <w:highlight w:val="none"/>
                <w:lang w:val="en-US" w:eastAsia="zh-CN"/>
              </w:rPr>
              <w:t>08</w:t>
            </w:r>
          </w:p>
        </w:tc>
      </w:tr>
      <w:tr w14:paraId="07A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18B96F34">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27</w:t>
            </w:r>
          </w:p>
        </w:tc>
        <w:tc>
          <w:tcPr>
            <w:tcW w:w="614" w:type="pct"/>
            <w:vAlign w:val="center"/>
          </w:tcPr>
          <w:p w14:paraId="67FBA183">
            <w:pPr>
              <w:pStyle w:val="62"/>
              <w:jc w:val="center"/>
              <w:rPr>
                <w:rFonts w:hint="default"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val="en-US" w:eastAsia="zh-CN"/>
              </w:rPr>
              <w:t>王正帅</w:t>
            </w:r>
          </w:p>
        </w:tc>
        <w:tc>
          <w:tcPr>
            <w:tcW w:w="807" w:type="pct"/>
            <w:vAlign w:val="center"/>
          </w:tcPr>
          <w:p w14:paraId="677FC178">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7230A708">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消防</w:t>
            </w:r>
            <w:r>
              <w:rPr>
                <w:rFonts w:hint="eastAsia" w:ascii="仿宋" w:hAnsi="仿宋" w:eastAsia="仿宋" w:cs="宋体"/>
                <w:color w:val="auto"/>
                <w:kern w:val="0"/>
                <w:sz w:val="24"/>
                <w:highlight w:val="none"/>
                <w:lang w:bidi="ar"/>
              </w:rPr>
              <w:t>专业</w:t>
            </w:r>
          </w:p>
        </w:tc>
        <w:tc>
          <w:tcPr>
            <w:tcW w:w="1136" w:type="pct"/>
            <w:vAlign w:val="center"/>
          </w:tcPr>
          <w:p w14:paraId="27512021">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15849755981</w:t>
            </w:r>
          </w:p>
        </w:tc>
        <w:tc>
          <w:tcPr>
            <w:tcW w:w="1089" w:type="pct"/>
            <w:vAlign w:val="center"/>
          </w:tcPr>
          <w:p w14:paraId="51EC85DC">
            <w:pPr>
              <w:jc w:val="center"/>
              <w:rPr>
                <w:rFonts w:hint="default" w:ascii="仿宋" w:hAnsi="仿宋" w:eastAsia="仿宋" w:cs="宋体"/>
                <w:color w:val="auto"/>
                <w:kern w:val="0"/>
                <w:sz w:val="24"/>
                <w:highlight w:val="none"/>
                <w:lang w:val="en-US" w:bidi="ar"/>
              </w:rPr>
            </w:pPr>
            <w:r>
              <w:rPr>
                <w:rFonts w:hint="default" w:ascii="Times New Roman" w:hAnsi="Times New Roman" w:eastAsia="宋体" w:cs="Times New Roman"/>
                <w:color w:val="auto"/>
                <w:spacing w:val="2"/>
                <w:highlight w:val="none"/>
              </w:rPr>
              <w:t>999</w:t>
            </w:r>
            <w:r>
              <w:rPr>
                <w:rFonts w:hint="eastAsia" w:cs="Times New Roman"/>
                <w:color w:val="auto"/>
                <w:spacing w:val="2"/>
                <w:highlight w:val="none"/>
                <w:lang w:val="en-US" w:eastAsia="zh-CN"/>
              </w:rPr>
              <w:t>335</w:t>
            </w:r>
          </w:p>
        </w:tc>
      </w:tr>
      <w:tr w14:paraId="7521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609A72B4">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28</w:t>
            </w:r>
          </w:p>
        </w:tc>
        <w:tc>
          <w:tcPr>
            <w:tcW w:w="614" w:type="pct"/>
            <w:vAlign w:val="center"/>
          </w:tcPr>
          <w:p w14:paraId="036ADDD8">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陈俊魁</w:t>
            </w:r>
          </w:p>
        </w:tc>
        <w:tc>
          <w:tcPr>
            <w:tcW w:w="807" w:type="pct"/>
            <w:vAlign w:val="center"/>
          </w:tcPr>
          <w:p w14:paraId="680BD54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eastAsia="zh-CN" w:bidi="ar"/>
              </w:rPr>
              <w:t>高级</w:t>
            </w:r>
            <w:r>
              <w:rPr>
                <w:rFonts w:hint="eastAsia" w:ascii="仿宋" w:hAnsi="仿宋" w:eastAsia="仿宋" w:cs="宋体"/>
                <w:color w:val="auto"/>
                <w:kern w:val="0"/>
                <w:sz w:val="24"/>
                <w:highlight w:val="none"/>
                <w:lang w:bidi="ar"/>
              </w:rPr>
              <w:t>工程师</w:t>
            </w:r>
          </w:p>
        </w:tc>
        <w:tc>
          <w:tcPr>
            <w:tcW w:w="891" w:type="pct"/>
            <w:vAlign w:val="center"/>
          </w:tcPr>
          <w:p w14:paraId="25D4B52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通防专业</w:t>
            </w:r>
          </w:p>
        </w:tc>
        <w:tc>
          <w:tcPr>
            <w:tcW w:w="1136" w:type="pct"/>
            <w:vAlign w:val="center"/>
          </w:tcPr>
          <w:p w14:paraId="0C6221FB">
            <w:pPr>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3"/>
                <w:highlight w:val="none"/>
              </w:rPr>
              <w:t>15704921123</w:t>
            </w:r>
          </w:p>
        </w:tc>
        <w:tc>
          <w:tcPr>
            <w:tcW w:w="1089" w:type="pct"/>
            <w:vAlign w:val="center"/>
          </w:tcPr>
          <w:p w14:paraId="488BA919">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999289</w:t>
            </w:r>
          </w:p>
        </w:tc>
      </w:tr>
      <w:tr w14:paraId="6E1E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61305604">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29</w:t>
            </w:r>
          </w:p>
        </w:tc>
        <w:tc>
          <w:tcPr>
            <w:tcW w:w="614" w:type="pct"/>
            <w:vAlign w:val="center"/>
          </w:tcPr>
          <w:p w14:paraId="7BDC7190">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惠张宾</w:t>
            </w:r>
          </w:p>
        </w:tc>
        <w:tc>
          <w:tcPr>
            <w:tcW w:w="807" w:type="pct"/>
            <w:vAlign w:val="center"/>
          </w:tcPr>
          <w:p w14:paraId="1A7DBCE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5DE71762">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通防专业</w:t>
            </w:r>
          </w:p>
        </w:tc>
        <w:tc>
          <w:tcPr>
            <w:tcW w:w="1136" w:type="pct"/>
            <w:vAlign w:val="center"/>
          </w:tcPr>
          <w:p w14:paraId="6E15C9DF">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15661861621</w:t>
            </w:r>
          </w:p>
        </w:tc>
        <w:tc>
          <w:tcPr>
            <w:tcW w:w="1089" w:type="pct"/>
            <w:vAlign w:val="center"/>
          </w:tcPr>
          <w:p w14:paraId="27C2A3F7">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2"/>
                <w:highlight w:val="none"/>
                <w:lang w:val="en-US" w:eastAsia="zh-CN"/>
              </w:rPr>
              <w:t>999324</w:t>
            </w:r>
          </w:p>
        </w:tc>
      </w:tr>
      <w:tr w14:paraId="13F1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23E0E21E">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30</w:t>
            </w:r>
          </w:p>
        </w:tc>
        <w:tc>
          <w:tcPr>
            <w:tcW w:w="614" w:type="pct"/>
            <w:vAlign w:val="center"/>
          </w:tcPr>
          <w:p w14:paraId="681A3009">
            <w:pPr>
              <w:pStyle w:val="62"/>
              <w:jc w:val="center"/>
              <w:rPr>
                <w:rFonts w:hint="eastAsia"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王元明</w:t>
            </w:r>
          </w:p>
        </w:tc>
        <w:tc>
          <w:tcPr>
            <w:tcW w:w="807" w:type="pct"/>
            <w:vAlign w:val="center"/>
          </w:tcPr>
          <w:p w14:paraId="04DDC04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7791DD8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通防专业</w:t>
            </w:r>
          </w:p>
        </w:tc>
        <w:tc>
          <w:tcPr>
            <w:tcW w:w="1136" w:type="pct"/>
            <w:vAlign w:val="center"/>
          </w:tcPr>
          <w:p w14:paraId="7A88CB10">
            <w:pPr>
              <w:jc w:val="center"/>
              <w:rPr>
                <w:rFonts w:hint="default" w:ascii="仿宋" w:hAnsi="仿宋" w:eastAsia="仿宋" w:cs="宋体"/>
                <w:color w:val="auto"/>
                <w:kern w:val="0"/>
                <w:sz w:val="24"/>
                <w:highlight w:val="none"/>
                <w:lang w:val="en-US" w:eastAsia="zh-CN" w:bidi="ar"/>
              </w:rPr>
            </w:pPr>
            <w:r>
              <w:rPr>
                <w:rFonts w:hint="eastAsia" w:cs="Times New Roman"/>
                <w:color w:val="auto"/>
                <w:spacing w:val="3"/>
                <w:highlight w:val="none"/>
                <w:lang w:val="en-US" w:eastAsia="zh-CN"/>
              </w:rPr>
              <w:t>13963467269</w:t>
            </w:r>
          </w:p>
        </w:tc>
        <w:tc>
          <w:tcPr>
            <w:tcW w:w="1089" w:type="pct"/>
            <w:vAlign w:val="center"/>
          </w:tcPr>
          <w:p w14:paraId="2D7747C4">
            <w:pPr>
              <w:jc w:val="center"/>
              <w:rPr>
                <w:rFonts w:hint="default" w:ascii="仿宋" w:hAnsi="仿宋" w:eastAsia="宋体" w:cs="宋体"/>
                <w:color w:val="auto"/>
                <w:kern w:val="0"/>
                <w:sz w:val="24"/>
                <w:highlight w:val="none"/>
                <w:lang w:val="en-US" w:eastAsia="zh-CN" w:bidi="ar"/>
              </w:rPr>
            </w:pPr>
            <w:r>
              <w:rPr>
                <w:rFonts w:hint="default" w:ascii="Times New Roman" w:hAnsi="Times New Roman" w:eastAsia="宋体" w:cs="Times New Roman"/>
                <w:color w:val="auto"/>
                <w:spacing w:val="2"/>
                <w:highlight w:val="none"/>
              </w:rPr>
              <w:t>999</w:t>
            </w:r>
            <w:r>
              <w:rPr>
                <w:rFonts w:hint="eastAsia" w:cs="Times New Roman"/>
                <w:color w:val="auto"/>
                <w:spacing w:val="2"/>
                <w:highlight w:val="none"/>
                <w:lang w:val="en-US" w:eastAsia="zh-CN"/>
              </w:rPr>
              <w:t>341</w:t>
            </w:r>
          </w:p>
        </w:tc>
      </w:tr>
      <w:tr w14:paraId="089F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0B15FE8E">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31</w:t>
            </w:r>
          </w:p>
        </w:tc>
        <w:tc>
          <w:tcPr>
            <w:tcW w:w="614" w:type="pct"/>
            <w:vAlign w:val="center"/>
          </w:tcPr>
          <w:p w14:paraId="7E6A368A">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赵鹏飞</w:t>
            </w:r>
          </w:p>
        </w:tc>
        <w:tc>
          <w:tcPr>
            <w:tcW w:w="807" w:type="pct"/>
            <w:vAlign w:val="center"/>
          </w:tcPr>
          <w:p w14:paraId="2ACFCC7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助理</w:t>
            </w:r>
            <w:r>
              <w:rPr>
                <w:rFonts w:hint="eastAsia" w:ascii="仿宋" w:hAnsi="仿宋" w:eastAsia="仿宋" w:cs="宋体"/>
                <w:color w:val="auto"/>
                <w:kern w:val="0"/>
                <w:sz w:val="24"/>
                <w:highlight w:val="none"/>
                <w:lang w:bidi="ar"/>
              </w:rPr>
              <w:t>工程师</w:t>
            </w:r>
          </w:p>
        </w:tc>
        <w:tc>
          <w:tcPr>
            <w:tcW w:w="891" w:type="pct"/>
            <w:vAlign w:val="center"/>
          </w:tcPr>
          <w:p w14:paraId="344ABB0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矿山救护</w:t>
            </w:r>
          </w:p>
        </w:tc>
        <w:tc>
          <w:tcPr>
            <w:tcW w:w="1136" w:type="pct"/>
            <w:vAlign w:val="center"/>
          </w:tcPr>
          <w:p w14:paraId="23AB91EF">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eastAsia="zh-CN" w:bidi="ar"/>
              </w:rPr>
              <w:t>17309484224</w:t>
            </w:r>
          </w:p>
        </w:tc>
        <w:tc>
          <w:tcPr>
            <w:tcW w:w="1089" w:type="pct"/>
            <w:vAlign w:val="center"/>
          </w:tcPr>
          <w:p w14:paraId="6AB54CC3">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rPr>
              <w:t>993</w:t>
            </w:r>
            <w:r>
              <w:rPr>
                <w:rFonts w:hint="eastAsia" w:ascii="Times New Roman" w:hAnsi="Times New Roman" w:eastAsia="宋体" w:cs="Times New Roman"/>
                <w:color w:val="auto"/>
                <w:spacing w:val="2"/>
                <w:highlight w:val="none"/>
                <w:lang w:val="en-US" w:eastAsia="zh-CN"/>
              </w:rPr>
              <w:t>379</w:t>
            </w:r>
          </w:p>
        </w:tc>
      </w:tr>
      <w:tr w14:paraId="448D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0E0FD480">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32</w:t>
            </w:r>
          </w:p>
        </w:tc>
        <w:tc>
          <w:tcPr>
            <w:tcW w:w="614" w:type="pct"/>
            <w:vAlign w:val="center"/>
          </w:tcPr>
          <w:p w14:paraId="5087F27C">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王 峰</w:t>
            </w:r>
          </w:p>
        </w:tc>
        <w:tc>
          <w:tcPr>
            <w:tcW w:w="807" w:type="pct"/>
            <w:vAlign w:val="center"/>
          </w:tcPr>
          <w:p w14:paraId="0BA4A3A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助理</w:t>
            </w:r>
            <w:r>
              <w:rPr>
                <w:rFonts w:hint="eastAsia" w:ascii="仿宋" w:hAnsi="仿宋" w:eastAsia="仿宋" w:cs="宋体"/>
                <w:color w:val="auto"/>
                <w:kern w:val="0"/>
                <w:sz w:val="24"/>
                <w:highlight w:val="none"/>
                <w:lang w:bidi="ar"/>
              </w:rPr>
              <w:t>工程师</w:t>
            </w:r>
          </w:p>
        </w:tc>
        <w:tc>
          <w:tcPr>
            <w:tcW w:w="891" w:type="pct"/>
            <w:vAlign w:val="center"/>
          </w:tcPr>
          <w:p w14:paraId="59C91517">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矿山救护</w:t>
            </w:r>
          </w:p>
        </w:tc>
        <w:tc>
          <w:tcPr>
            <w:tcW w:w="1136" w:type="pct"/>
            <w:vAlign w:val="center"/>
          </w:tcPr>
          <w:p w14:paraId="3C98DB35">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13953884093</w:t>
            </w:r>
          </w:p>
        </w:tc>
        <w:tc>
          <w:tcPr>
            <w:tcW w:w="1089" w:type="pct"/>
            <w:vAlign w:val="center"/>
          </w:tcPr>
          <w:p w14:paraId="6AA63DE7">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rPr>
              <w:t>993246</w:t>
            </w:r>
          </w:p>
        </w:tc>
      </w:tr>
      <w:tr w14:paraId="57E3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3C9D34DF">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34</w:t>
            </w:r>
          </w:p>
        </w:tc>
        <w:tc>
          <w:tcPr>
            <w:tcW w:w="614" w:type="pct"/>
            <w:vAlign w:val="center"/>
          </w:tcPr>
          <w:p w14:paraId="69626160">
            <w:pPr>
              <w:pStyle w:val="62"/>
              <w:jc w:val="center"/>
              <w:rPr>
                <w:rFonts w:hint="default"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val="en-US" w:eastAsia="zh-CN"/>
              </w:rPr>
              <w:t>郭 磊</w:t>
            </w:r>
          </w:p>
        </w:tc>
        <w:tc>
          <w:tcPr>
            <w:tcW w:w="807" w:type="pct"/>
            <w:vAlign w:val="center"/>
          </w:tcPr>
          <w:p w14:paraId="1BA9975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助理</w:t>
            </w:r>
            <w:r>
              <w:rPr>
                <w:rFonts w:hint="eastAsia" w:ascii="仿宋" w:hAnsi="仿宋" w:eastAsia="仿宋" w:cs="宋体"/>
                <w:color w:val="auto"/>
                <w:kern w:val="0"/>
                <w:sz w:val="24"/>
                <w:highlight w:val="none"/>
                <w:lang w:bidi="ar"/>
              </w:rPr>
              <w:t>工程师</w:t>
            </w:r>
          </w:p>
        </w:tc>
        <w:tc>
          <w:tcPr>
            <w:tcW w:w="891" w:type="pct"/>
            <w:vAlign w:val="center"/>
          </w:tcPr>
          <w:p w14:paraId="063132D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矿山救护</w:t>
            </w:r>
          </w:p>
        </w:tc>
        <w:tc>
          <w:tcPr>
            <w:tcW w:w="1136" w:type="pct"/>
            <w:vAlign w:val="center"/>
          </w:tcPr>
          <w:p w14:paraId="585D102A">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13386344986</w:t>
            </w:r>
          </w:p>
        </w:tc>
        <w:tc>
          <w:tcPr>
            <w:tcW w:w="1089" w:type="pct"/>
            <w:vAlign w:val="center"/>
          </w:tcPr>
          <w:p w14:paraId="6CBE65E2">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rPr>
              <w:t>993379</w:t>
            </w:r>
          </w:p>
        </w:tc>
      </w:tr>
      <w:tr w14:paraId="077F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shd w:val="clear" w:color="auto" w:fill="auto"/>
            <w:vAlign w:val="center"/>
          </w:tcPr>
          <w:p w14:paraId="54FD70E3">
            <w:pPr>
              <w:widowControl/>
              <w:jc w:val="center"/>
              <w:textAlignment w:val="center"/>
              <w:rPr>
                <w:rFonts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36</w:t>
            </w:r>
          </w:p>
        </w:tc>
        <w:tc>
          <w:tcPr>
            <w:tcW w:w="614" w:type="pct"/>
            <w:vAlign w:val="center"/>
          </w:tcPr>
          <w:p w14:paraId="676C80E0">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司金帅</w:t>
            </w:r>
          </w:p>
        </w:tc>
        <w:tc>
          <w:tcPr>
            <w:tcW w:w="807" w:type="pct"/>
            <w:vAlign w:val="center"/>
          </w:tcPr>
          <w:p w14:paraId="21C812E4">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5C524FF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职业病防治</w:t>
            </w:r>
          </w:p>
        </w:tc>
        <w:tc>
          <w:tcPr>
            <w:tcW w:w="1136" w:type="pct"/>
            <w:vAlign w:val="center"/>
          </w:tcPr>
          <w:p w14:paraId="19D59631">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18295382237</w:t>
            </w:r>
          </w:p>
        </w:tc>
        <w:tc>
          <w:tcPr>
            <w:tcW w:w="1089" w:type="pct"/>
            <w:vAlign w:val="center"/>
          </w:tcPr>
          <w:p w14:paraId="52D033F0">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rPr>
              <w:t>99</w:t>
            </w:r>
            <w:r>
              <w:rPr>
                <w:rFonts w:hint="eastAsia" w:ascii="Times New Roman" w:hAnsi="Times New Roman" w:eastAsia="宋体" w:cs="Times New Roman"/>
                <w:color w:val="auto"/>
                <w:spacing w:val="2"/>
                <w:highlight w:val="none"/>
                <w:lang w:val="en-US" w:eastAsia="zh-CN"/>
              </w:rPr>
              <w:t>9477</w:t>
            </w:r>
          </w:p>
        </w:tc>
      </w:tr>
      <w:tr w14:paraId="3A81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713CBFB6">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3</w:t>
            </w:r>
            <w:r>
              <w:rPr>
                <w:rFonts w:hint="eastAsia" w:ascii="仿宋" w:hAnsi="仿宋" w:eastAsia="仿宋" w:cs="宋体"/>
                <w:color w:val="auto"/>
                <w:kern w:val="0"/>
                <w:sz w:val="24"/>
                <w:highlight w:val="none"/>
                <w:lang w:val="en-US" w:eastAsia="zh-CN" w:bidi="ar"/>
              </w:rPr>
              <w:t>7</w:t>
            </w:r>
          </w:p>
        </w:tc>
        <w:tc>
          <w:tcPr>
            <w:tcW w:w="614" w:type="pct"/>
            <w:vAlign w:val="center"/>
          </w:tcPr>
          <w:p w14:paraId="414F4E59">
            <w:pPr>
              <w:pStyle w:val="62"/>
              <w:jc w:val="center"/>
              <w:rPr>
                <w:rFonts w:hint="default" w:ascii="Times New Roman" w:hAnsi="Times New Roman" w:eastAsia="宋体" w:cs="Times New Roman"/>
                <w:color w:val="auto"/>
                <w:spacing w:val="14"/>
                <w:sz w:val="21"/>
                <w:szCs w:val="21"/>
                <w:highlight w:val="none"/>
                <w:lang w:val="en-US" w:eastAsia="zh-CN"/>
              </w:rPr>
            </w:pPr>
            <w:r>
              <w:rPr>
                <w:rFonts w:hint="eastAsia" w:ascii="Times New Roman" w:hAnsi="Times New Roman" w:eastAsia="宋体" w:cs="Times New Roman"/>
                <w:color w:val="auto"/>
                <w:spacing w:val="14"/>
                <w:sz w:val="21"/>
                <w:szCs w:val="21"/>
                <w:highlight w:val="none"/>
                <w:lang w:val="en-US" w:eastAsia="zh-CN"/>
              </w:rPr>
              <w:t>秦立朋</w:t>
            </w:r>
          </w:p>
        </w:tc>
        <w:tc>
          <w:tcPr>
            <w:tcW w:w="807" w:type="pct"/>
            <w:vAlign w:val="center"/>
          </w:tcPr>
          <w:p w14:paraId="25777D3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6E2F6B9A">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职业病防治</w:t>
            </w:r>
          </w:p>
        </w:tc>
        <w:tc>
          <w:tcPr>
            <w:tcW w:w="1136" w:type="pct"/>
            <w:vAlign w:val="center"/>
          </w:tcPr>
          <w:p w14:paraId="15621F8B">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15020808777</w:t>
            </w:r>
          </w:p>
        </w:tc>
        <w:tc>
          <w:tcPr>
            <w:tcW w:w="1089" w:type="pct"/>
            <w:vAlign w:val="center"/>
          </w:tcPr>
          <w:p w14:paraId="31CD7D9D">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lang w:val="en-US" w:eastAsia="zh-CN"/>
              </w:rPr>
              <w:t>999368</w:t>
            </w:r>
          </w:p>
        </w:tc>
      </w:tr>
      <w:tr w14:paraId="751B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vAlign w:val="center"/>
          </w:tcPr>
          <w:p w14:paraId="723236F2">
            <w:pPr>
              <w:widowControl/>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3</w:t>
            </w:r>
            <w:r>
              <w:rPr>
                <w:rFonts w:hint="eastAsia" w:ascii="仿宋" w:hAnsi="仿宋" w:eastAsia="仿宋" w:cs="宋体"/>
                <w:color w:val="auto"/>
                <w:kern w:val="0"/>
                <w:sz w:val="24"/>
                <w:highlight w:val="none"/>
                <w:lang w:val="en-US" w:eastAsia="zh-CN" w:bidi="ar"/>
              </w:rPr>
              <w:t>8</w:t>
            </w:r>
          </w:p>
        </w:tc>
        <w:tc>
          <w:tcPr>
            <w:tcW w:w="614" w:type="pct"/>
            <w:vAlign w:val="center"/>
          </w:tcPr>
          <w:p w14:paraId="69F8B537">
            <w:pPr>
              <w:pStyle w:val="62"/>
              <w:jc w:val="center"/>
              <w:rPr>
                <w:rFonts w:hint="eastAsia" w:ascii="Times New Roman" w:hAnsi="Times New Roman" w:eastAsia="宋体" w:cs="Times New Roman"/>
                <w:color w:val="auto"/>
                <w:spacing w:val="14"/>
                <w:sz w:val="21"/>
                <w:szCs w:val="21"/>
                <w:highlight w:val="none"/>
                <w:lang w:eastAsia="zh-CN"/>
              </w:rPr>
            </w:pPr>
            <w:r>
              <w:rPr>
                <w:rFonts w:hint="eastAsia" w:ascii="Times New Roman" w:hAnsi="Times New Roman" w:eastAsia="宋体" w:cs="Times New Roman"/>
                <w:color w:val="auto"/>
                <w:spacing w:val="14"/>
                <w:sz w:val="21"/>
                <w:szCs w:val="21"/>
                <w:highlight w:val="none"/>
                <w:lang w:val="en-US" w:eastAsia="zh-CN"/>
              </w:rPr>
              <w:t>刘  强</w:t>
            </w:r>
          </w:p>
        </w:tc>
        <w:tc>
          <w:tcPr>
            <w:tcW w:w="807" w:type="pct"/>
            <w:vAlign w:val="center"/>
          </w:tcPr>
          <w:p w14:paraId="669D4E8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工程师</w:t>
            </w:r>
          </w:p>
        </w:tc>
        <w:tc>
          <w:tcPr>
            <w:tcW w:w="891" w:type="pct"/>
            <w:vAlign w:val="center"/>
          </w:tcPr>
          <w:p w14:paraId="137D4E7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职业病防治</w:t>
            </w:r>
          </w:p>
        </w:tc>
        <w:tc>
          <w:tcPr>
            <w:tcW w:w="1136" w:type="pct"/>
            <w:vAlign w:val="center"/>
          </w:tcPr>
          <w:p w14:paraId="3AF324DB">
            <w:pPr>
              <w:widowControl/>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15163867326</w:t>
            </w:r>
          </w:p>
        </w:tc>
        <w:tc>
          <w:tcPr>
            <w:tcW w:w="1089" w:type="pct"/>
            <w:vAlign w:val="center"/>
          </w:tcPr>
          <w:p w14:paraId="393F5A51">
            <w:pPr>
              <w:jc w:val="center"/>
              <w:rPr>
                <w:rFonts w:hint="default" w:ascii="仿宋" w:hAnsi="仿宋" w:eastAsia="仿宋" w:cs="宋体"/>
                <w:color w:val="auto"/>
                <w:kern w:val="0"/>
                <w:sz w:val="24"/>
                <w:highlight w:val="none"/>
                <w:lang w:val="en-US" w:eastAsia="zh-CN" w:bidi="ar"/>
              </w:rPr>
            </w:pPr>
            <w:r>
              <w:rPr>
                <w:rFonts w:hint="eastAsia" w:ascii="Times New Roman" w:hAnsi="Times New Roman" w:eastAsia="宋体" w:cs="Times New Roman"/>
                <w:color w:val="auto"/>
                <w:spacing w:val="2"/>
                <w:highlight w:val="none"/>
                <w:lang w:val="en-US" w:eastAsia="zh-CN"/>
              </w:rPr>
              <w:t>999443</w:t>
            </w:r>
          </w:p>
        </w:tc>
      </w:tr>
    </w:tbl>
    <w:p w14:paraId="67D35DA1">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1</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生产安全事故应急救援外部专家联系表</w:t>
      </w:r>
    </w:p>
    <w:tbl>
      <w:tblPr>
        <w:tblStyle w:val="29"/>
        <w:tblW w:w="938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109"/>
        <w:gridCol w:w="1628"/>
        <w:gridCol w:w="1357"/>
        <w:gridCol w:w="1726"/>
        <w:gridCol w:w="1191"/>
        <w:gridCol w:w="1665"/>
      </w:tblGrid>
      <w:tr w14:paraId="4E34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0" w:type="dxa"/>
            <w:vAlign w:val="center"/>
          </w:tcPr>
          <w:p w14:paraId="5BD632E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序号</w:t>
            </w:r>
          </w:p>
        </w:tc>
        <w:tc>
          <w:tcPr>
            <w:tcW w:w="1109" w:type="dxa"/>
            <w:vAlign w:val="center"/>
          </w:tcPr>
          <w:p w14:paraId="787D2D7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姓  名</w:t>
            </w:r>
          </w:p>
        </w:tc>
        <w:tc>
          <w:tcPr>
            <w:tcW w:w="1628" w:type="dxa"/>
            <w:vAlign w:val="center"/>
          </w:tcPr>
          <w:p w14:paraId="422946C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专  业</w:t>
            </w:r>
          </w:p>
        </w:tc>
        <w:tc>
          <w:tcPr>
            <w:tcW w:w="1357" w:type="dxa"/>
            <w:vAlign w:val="center"/>
          </w:tcPr>
          <w:p w14:paraId="21EC20D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职  称</w:t>
            </w:r>
          </w:p>
        </w:tc>
        <w:tc>
          <w:tcPr>
            <w:tcW w:w="1726" w:type="dxa"/>
            <w:vAlign w:val="center"/>
          </w:tcPr>
          <w:p w14:paraId="0838D31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单  位</w:t>
            </w:r>
          </w:p>
        </w:tc>
        <w:tc>
          <w:tcPr>
            <w:tcW w:w="1191" w:type="dxa"/>
            <w:vAlign w:val="center"/>
          </w:tcPr>
          <w:p w14:paraId="01E32EB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办公电话</w:t>
            </w:r>
          </w:p>
        </w:tc>
        <w:tc>
          <w:tcPr>
            <w:tcW w:w="1665" w:type="dxa"/>
            <w:vAlign w:val="center"/>
          </w:tcPr>
          <w:p w14:paraId="46A6797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手  机</w:t>
            </w:r>
          </w:p>
        </w:tc>
      </w:tr>
      <w:tr w14:paraId="35E8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3B61883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w:t>
            </w:r>
          </w:p>
        </w:tc>
        <w:tc>
          <w:tcPr>
            <w:tcW w:w="1109" w:type="dxa"/>
            <w:vAlign w:val="center"/>
          </w:tcPr>
          <w:p w14:paraId="12F1E5E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粟宜训</w:t>
            </w:r>
          </w:p>
        </w:tc>
        <w:tc>
          <w:tcPr>
            <w:tcW w:w="1628" w:type="dxa"/>
            <w:vAlign w:val="center"/>
          </w:tcPr>
          <w:p w14:paraId="3FF7280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采煤专业</w:t>
            </w:r>
          </w:p>
        </w:tc>
        <w:tc>
          <w:tcPr>
            <w:tcW w:w="1357" w:type="dxa"/>
            <w:vAlign w:val="center"/>
          </w:tcPr>
          <w:p w14:paraId="4352CE7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06D9B0CB">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075E1DD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w:t>
            </w:r>
            <w:r>
              <w:rPr>
                <w:rFonts w:hint="eastAsia" w:ascii="Times New Roman" w:hAnsi="Times New Roman" w:cs="Times New Roman"/>
                <w:color w:val="auto"/>
                <w:sz w:val="22"/>
                <w:szCs w:val="22"/>
                <w:highlight w:val="none"/>
                <w:lang w:val="en-US" w:eastAsia="zh-CN"/>
              </w:rPr>
              <w:t>12</w:t>
            </w:r>
            <w:r>
              <w:rPr>
                <w:rFonts w:hint="default" w:ascii="Times New Roman" w:hAnsi="Times New Roman" w:cs="Times New Roman"/>
                <w:color w:val="auto"/>
                <w:sz w:val="22"/>
                <w:szCs w:val="22"/>
                <w:highlight w:val="none"/>
              </w:rPr>
              <w:t>3</w:t>
            </w:r>
          </w:p>
        </w:tc>
        <w:tc>
          <w:tcPr>
            <w:tcW w:w="1665" w:type="dxa"/>
            <w:vAlign w:val="center"/>
          </w:tcPr>
          <w:p w14:paraId="55A8F7A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w:t>
            </w:r>
            <w:r>
              <w:rPr>
                <w:rFonts w:hint="eastAsia" w:ascii="Times New Roman" w:hAnsi="Times New Roman" w:cs="Times New Roman"/>
                <w:color w:val="auto"/>
                <w:sz w:val="22"/>
                <w:szCs w:val="22"/>
                <w:highlight w:val="none"/>
                <w:lang w:val="en-US" w:eastAsia="zh-CN"/>
              </w:rPr>
              <w:t>3295485455</w:t>
            </w:r>
          </w:p>
        </w:tc>
      </w:tr>
      <w:tr w14:paraId="4415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3425E52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w:t>
            </w:r>
          </w:p>
        </w:tc>
        <w:tc>
          <w:tcPr>
            <w:tcW w:w="1109" w:type="dxa"/>
            <w:vAlign w:val="center"/>
          </w:tcPr>
          <w:p w14:paraId="54461DF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纪  磊</w:t>
            </w:r>
          </w:p>
        </w:tc>
        <w:tc>
          <w:tcPr>
            <w:tcW w:w="1628" w:type="dxa"/>
            <w:vAlign w:val="center"/>
          </w:tcPr>
          <w:p w14:paraId="261E6E7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采煤专业</w:t>
            </w:r>
          </w:p>
        </w:tc>
        <w:tc>
          <w:tcPr>
            <w:tcW w:w="1357" w:type="dxa"/>
            <w:vAlign w:val="center"/>
          </w:tcPr>
          <w:p w14:paraId="11F4A58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79A2CBE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6B8DD0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w:t>
            </w:r>
            <w:r>
              <w:rPr>
                <w:rFonts w:hint="eastAsia" w:ascii="Times New Roman" w:hAnsi="Times New Roman" w:cs="Times New Roman"/>
                <w:color w:val="auto"/>
                <w:sz w:val="22"/>
                <w:szCs w:val="22"/>
                <w:highlight w:val="none"/>
                <w:lang w:val="en-US" w:eastAsia="zh-CN"/>
              </w:rPr>
              <w:t>12</w:t>
            </w:r>
            <w:r>
              <w:rPr>
                <w:rFonts w:hint="default" w:ascii="Times New Roman" w:hAnsi="Times New Roman" w:cs="Times New Roman"/>
                <w:color w:val="auto"/>
                <w:sz w:val="22"/>
                <w:szCs w:val="22"/>
                <w:highlight w:val="none"/>
              </w:rPr>
              <w:t>3</w:t>
            </w:r>
          </w:p>
        </w:tc>
        <w:tc>
          <w:tcPr>
            <w:tcW w:w="1665" w:type="dxa"/>
            <w:vAlign w:val="center"/>
          </w:tcPr>
          <w:p w14:paraId="692FF2B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15769682214</w:t>
            </w:r>
          </w:p>
        </w:tc>
      </w:tr>
      <w:tr w14:paraId="4D8C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621FFE1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3</w:t>
            </w:r>
          </w:p>
        </w:tc>
        <w:tc>
          <w:tcPr>
            <w:tcW w:w="1109" w:type="dxa"/>
            <w:vAlign w:val="center"/>
          </w:tcPr>
          <w:p w14:paraId="7BFFD7B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衣绍磊</w:t>
            </w:r>
          </w:p>
        </w:tc>
        <w:tc>
          <w:tcPr>
            <w:tcW w:w="1628" w:type="dxa"/>
            <w:vAlign w:val="center"/>
          </w:tcPr>
          <w:p w14:paraId="3F9B84C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采煤专业</w:t>
            </w:r>
          </w:p>
        </w:tc>
        <w:tc>
          <w:tcPr>
            <w:tcW w:w="1357" w:type="dxa"/>
            <w:vAlign w:val="center"/>
          </w:tcPr>
          <w:p w14:paraId="6286D1D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2E69127B">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3E00ADF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w:t>
            </w:r>
            <w:r>
              <w:rPr>
                <w:rFonts w:hint="eastAsia" w:ascii="Times New Roman" w:hAnsi="Times New Roman" w:cs="Times New Roman"/>
                <w:color w:val="auto"/>
                <w:sz w:val="22"/>
                <w:szCs w:val="22"/>
                <w:highlight w:val="none"/>
                <w:lang w:val="en-US" w:eastAsia="zh-CN"/>
              </w:rPr>
              <w:t>12</w:t>
            </w:r>
            <w:r>
              <w:rPr>
                <w:rFonts w:hint="default" w:ascii="Times New Roman" w:hAnsi="Times New Roman" w:cs="Times New Roman"/>
                <w:color w:val="auto"/>
                <w:sz w:val="22"/>
                <w:szCs w:val="22"/>
                <w:highlight w:val="none"/>
              </w:rPr>
              <w:t>3</w:t>
            </w:r>
          </w:p>
        </w:tc>
        <w:tc>
          <w:tcPr>
            <w:tcW w:w="1665" w:type="dxa"/>
            <w:vAlign w:val="center"/>
          </w:tcPr>
          <w:p w14:paraId="3C0CA1E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15269895521</w:t>
            </w:r>
          </w:p>
        </w:tc>
      </w:tr>
      <w:tr w14:paraId="3E44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343EF557">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4</w:t>
            </w:r>
          </w:p>
        </w:tc>
        <w:tc>
          <w:tcPr>
            <w:tcW w:w="1109" w:type="dxa"/>
            <w:vAlign w:val="center"/>
          </w:tcPr>
          <w:p w14:paraId="799A9E4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lang w:val="en-US" w:eastAsia="zh-CN"/>
              </w:rPr>
              <w:t>王  涛</w:t>
            </w:r>
          </w:p>
        </w:tc>
        <w:tc>
          <w:tcPr>
            <w:tcW w:w="1628" w:type="dxa"/>
            <w:vAlign w:val="center"/>
          </w:tcPr>
          <w:p w14:paraId="42AAFED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地测防治水</w:t>
            </w:r>
          </w:p>
        </w:tc>
        <w:tc>
          <w:tcPr>
            <w:tcW w:w="1357" w:type="dxa"/>
            <w:vAlign w:val="center"/>
          </w:tcPr>
          <w:p w14:paraId="6F5203E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3924E09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77D4D9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w:t>
            </w:r>
            <w:r>
              <w:rPr>
                <w:rFonts w:hint="default" w:ascii="Times New Roman" w:hAnsi="Times New Roman" w:cs="Times New Roman"/>
                <w:color w:val="auto"/>
                <w:sz w:val="22"/>
                <w:szCs w:val="22"/>
                <w:highlight w:val="none"/>
                <w:lang w:val="en-US" w:eastAsia="zh-CN"/>
              </w:rPr>
              <w:t>057</w:t>
            </w:r>
          </w:p>
        </w:tc>
        <w:tc>
          <w:tcPr>
            <w:tcW w:w="1665" w:type="dxa"/>
            <w:vAlign w:val="center"/>
          </w:tcPr>
          <w:p w14:paraId="487E610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lang w:val="en-US" w:eastAsia="zh-CN"/>
              </w:rPr>
              <w:t>15005388917</w:t>
            </w:r>
          </w:p>
        </w:tc>
      </w:tr>
      <w:tr w14:paraId="4760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709FFF2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5</w:t>
            </w:r>
          </w:p>
        </w:tc>
        <w:tc>
          <w:tcPr>
            <w:tcW w:w="1109" w:type="dxa"/>
            <w:vAlign w:val="center"/>
          </w:tcPr>
          <w:p w14:paraId="73AD50FB">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董苏苏</w:t>
            </w:r>
          </w:p>
        </w:tc>
        <w:tc>
          <w:tcPr>
            <w:tcW w:w="1628" w:type="dxa"/>
            <w:vAlign w:val="center"/>
          </w:tcPr>
          <w:p w14:paraId="29E2037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地测防治水</w:t>
            </w:r>
          </w:p>
        </w:tc>
        <w:tc>
          <w:tcPr>
            <w:tcW w:w="1357" w:type="dxa"/>
            <w:vAlign w:val="center"/>
          </w:tcPr>
          <w:p w14:paraId="4578007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1FE00D3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C6FBBE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999125</w:t>
            </w:r>
          </w:p>
        </w:tc>
        <w:tc>
          <w:tcPr>
            <w:tcW w:w="1665" w:type="dxa"/>
            <w:vAlign w:val="center"/>
          </w:tcPr>
          <w:p w14:paraId="492C0AA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18253876772</w:t>
            </w:r>
          </w:p>
        </w:tc>
      </w:tr>
      <w:tr w14:paraId="3377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6137992F">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6</w:t>
            </w:r>
          </w:p>
        </w:tc>
        <w:tc>
          <w:tcPr>
            <w:tcW w:w="1109" w:type="dxa"/>
            <w:vAlign w:val="center"/>
          </w:tcPr>
          <w:p w14:paraId="172F19A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孙德宁</w:t>
            </w:r>
          </w:p>
        </w:tc>
        <w:tc>
          <w:tcPr>
            <w:tcW w:w="1628" w:type="dxa"/>
            <w:vAlign w:val="center"/>
          </w:tcPr>
          <w:p w14:paraId="7236286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调度应急专业</w:t>
            </w:r>
          </w:p>
        </w:tc>
        <w:tc>
          <w:tcPr>
            <w:tcW w:w="1357" w:type="dxa"/>
            <w:vAlign w:val="center"/>
          </w:tcPr>
          <w:p w14:paraId="1E0F808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351F461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7D2E7E5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999172</w:t>
            </w:r>
          </w:p>
        </w:tc>
        <w:tc>
          <w:tcPr>
            <w:tcW w:w="1665" w:type="dxa"/>
            <w:vAlign w:val="center"/>
          </w:tcPr>
          <w:p w14:paraId="7F9CEDB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15750688800</w:t>
            </w:r>
          </w:p>
        </w:tc>
      </w:tr>
      <w:tr w14:paraId="2AE3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0CACE16B">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7</w:t>
            </w:r>
          </w:p>
        </w:tc>
        <w:tc>
          <w:tcPr>
            <w:tcW w:w="1109" w:type="dxa"/>
            <w:vAlign w:val="center"/>
          </w:tcPr>
          <w:p w14:paraId="4735CB5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刘玉元</w:t>
            </w:r>
          </w:p>
        </w:tc>
        <w:tc>
          <w:tcPr>
            <w:tcW w:w="1628" w:type="dxa"/>
            <w:vAlign w:val="center"/>
          </w:tcPr>
          <w:p w14:paraId="5B54538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调度应急专业</w:t>
            </w:r>
          </w:p>
        </w:tc>
        <w:tc>
          <w:tcPr>
            <w:tcW w:w="1357" w:type="dxa"/>
            <w:vAlign w:val="center"/>
          </w:tcPr>
          <w:p w14:paraId="2F06AFA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高级工程师</w:t>
            </w:r>
          </w:p>
        </w:tc>
        <w:tc>
          <w:tcPr>
            <w:tcW w:w="1726" w:type="dxa"/>
            <w:vAlign w:val="center"/>
          </w:tcPr>
          <w:p w14:paraId="7004062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5EFF80C">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999083</w:t>
            </w:r>
          </w:p>
        </w:tc>
        <w:tc>
          <w:tcPr>
            <w:tcW w:w="1665" w:type="dxa"/>
            <w:vAlign w:val="center"/>
          </w:tcPr>
          <w:p w14:paraId="535DEE1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15847302698</w:t>
            </w:r>
          </w:p>
        </w:tc>
      </w:tr>
      <w:tr w14:paraId="2B93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799798F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8</w:t>
            </w:r>
          </w:p>
        </w:tc>
        <w:tc>
          <w:tcPr>
            <w:tcW w:w="1109" w:type="dxa"/>
            <w:vAlign w:val="center"/>
          </w:tcPr>
          <w:p w14:paraId="3EC945D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张秀建</w:t>
            </w:r>
          </w:p>
        </w:tc>
        <w:tc>
          <w:tcPr>
            <w:tcW w:w="1628" w:type="dxa"/>
            <w:vAlign w:val="center"/>
          </w:tcPr>
          <w:p w14:paraId="0EBBC3D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调度应急专业</w:t>
            </w:r>
          </w:p>
        </w:tc>
        <w:tc>
          <w:tcPr>
            <w:tcW w:w="1357" w:type="dxa"/>
            <w:vAlign w:val="center"/>
          </w:tcPr>
          <w:p w14:paraId="3E4CD6C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06E036D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4A19D8D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999173</w:t>
            </w:r>
          </w:p>
        </w:tc>
        <w:tc>
          <w:tcPr>
            <w:tcW w:w="1665" w:type="dxa"/>
            <w:vAlign w:val="center"/>
          </w:tcPr>
          <w:p w14:paraId="5E6E184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15069881923</w:t>
            </w:r>
          </w:p>
        </w:tc>
      </w:tr>
      <w:tr w14:paraId="4CA2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0863FF07">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9</w:t>
            </w:r>
          </w:p>
        </w:tc>
        <w:tc>
          <w:tcPr>
            <w:tcW w:w="1109" w:type="dxa"/>
            <w:vAlign w:val="center"/>
          </w:tcPr>
          <w:p w14:paraId="20C8251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张荣成</w:t>
            </w:r>
          </w:p>
        </w:tc>
        <w:tc>
          <w:tcPr>
            <w:tcW w:w="1628" w:type="dxa"/>
            <w:vAlign w:val="center"/>
          </w:tcPr>
          <w:p w14:paraId="265CCE4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调度应急专业</w:t>
            </w:r>
          </w:p>
        </w:tc>
        <w:tc>
          <w:tcPr>
            <w:tcW w:w="1357" w:type="dxa"/>
            <w:vAlign w:val="center"/>
          </w:tcPr>
          <w:p w14:paraId="3021E25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5E21191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21D000E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999076</w:t>
            </w:r>
          </w:p>
        </w:tc>
        <w:tc>
          <w:tcPr>
            <w:tcW w:w="1665" w:type="dxa"/>
            <w:vAlign w:val="center"/>
          </w:tcPr>
          <w:p w14:paraId="5833E91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15169883602</w:t>
            </w:r>
          </w:p>
        </w:tc>
      </w:tr>
      <w:tr w14:paraId="29A3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475F708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10</w:t>
            </w:r>
          </w:p>
        </w:tc>
        <w:tc>
          <w:tcPr>
            <w:tcW w:w="1109" w:type="dxa"/>
            <w:vAlign w:val="center"/>
          </w:tcPr>
          <w:p w14:paraId="1391E4C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张  建</w:t>
            </w:r>
          </w:p>
        </w:tc>
        <w:tc>
          <w:tcPr>
            <w:tcW w:w="1628" w:type="dxa"/>
            <w:vAlign w:val="center"/>
          </w:tcPr>
          <w:p w14:paraId="176D774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防冲专业</w:t>
            </w:r>
          </w:p>
        </w:tc>
        <w:tc>
          <w:tcPr>
            <w:tcW w:w="1357" w:type="dxa"/>
            <w:vAlign w:val="center"/>
          </w:tcPr>
          <w:p w14:paraId="1866843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65690F8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0C56044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999169</w:t>
            </w:r>
          </w:p>
        </w:tc>
        <w:tc>
          <w:tcPr>
            <w:tcW w:w="1665" w:type="dxa"/>
            <w:vAlign w:val="center"/>
          </w:tcPr>
          <w:p w14:paraId="265A456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18263866011</w:t>
            </w:r>
          </w:p>
        </w:tc>
      </w:tr>
      <w:tr w14:paraId="707B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2E71497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11</w:t>
            </w:r>
          </w:p>
        </w:tc>
        <w:tc>
          <w:tcPr>
            <w:tcW w:w="1109" w:type="dxa"/>
            <w:vAlign w:val="center"/>
          </w:tcPr>
          <w:p w14:paraId="4269C49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付立志</w:t>
            </w:r>
          </w:p>
        </w:tc>
        <w:tc>
          <w:tcPr>
            <w:tcW w:w="1628" w:type="dxa"/>
            <w:vAlign w:val="center"/>
          </w:tcPr>
          <w:p w14:paraId="1EE6233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防冲专业</w:t>
            </w:r>
          </w:p>
        </w:tc>
        <w:tc>
          <w:tcPr>
            <w:tcW w:w="1357" w:type="dxa"/>
            <w:vAlign w:val="center"/>
          </w:tcPr>
          <w:p w14:paraId="202E2D9C">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4E4B4D5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177F20A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999032</w:t>
            </w:r>
          </w:p>
        </w:tc>
        <w:tc>
          <w:tcPr>
            <w:tcW w:w="1665" w:type="dxa"/>
            <w:vAlign w:val="center"/>
          </w:tcPr>
          <w:p w14:paraId="770403D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15924502177</w:t>
            </w:r>
          </w:p>
        </w:tc>
      </w:tr>
      <w:tr w14:paraId="64BA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7525B3C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12</w:t>
            </w:r>
          </w:p>
        </w:tc>
        <w:tc>
          <w:tcPr>
            <w:tcW w:w="1109" w:type="dxa"/>
            <w:vAlign w:val="center"/>
          </w:tcPr>
          <w:p w14:paraId="648DB76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雷晓洲</w:t>
            </w:r>
          </w:p>
        </w:tc>
        <w:tc>
          <w:tcPr>
            <w:tcW w:w="1628" w:type="dxa"/>
            <w:vAlign w:val="center"/>
          </w:tcPr>
          <w:p w14:paraId="594A048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防冲专业</w:t>
            </w:r>
          </w:p>
        </w:tc>
        <w:tc>
          <w:tcPr>
            <w:tcW w:w="1357" w:type="dxa"/>
            <w:vAlign w:val="center"/>
          </w:tcPr>
          <w:p w14:paraId="519CB03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15E4139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7B0E3FA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999030</w:t>
            </w:r>
          </w:p>
        </w:tc>
        <w:tc>
          <w:tcPr>
            <w:tcW w:w="1665" w:type="dxa"/>
            <w:vAlign w:val="center"/>
          </w:tcPr>
          <w:p w14:paraId="60B399B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18995131717</w:t>
            </w:r>
          </w:p>
        </w:tc>
      </w:tr>
      <w:tr w14:paraId="4B63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7381340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13</w:t>
            </w:r>
          </w:p>
        </w:tc>
        <w:tc>
          <w:tcPr>
            <w:tcW w:w="1109" w:type="dxa"/>
            <w:vAlign w:val="center"/>
          </w:tcPr>
          <w:p w14:paraId="581514A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lang w:val="en-US" w:eastAsia="zh-CN"/>
              </w:rPr>
              <w:t>郭增军</w:t>
            </w:r>
          </w:p>
        </w:tc>
        <w:tc>
          <w:tcPr>
            <w:tcW w:w="1628" w:type="dxa"/>
            <w:vAlign w:val="center"/>
          </w:tcPr>
          <w:p w14:paraId="7A2A451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机电运输专业</w:t>
            </w:r>
          </w:p>
        </w:tc>
        <w:tc>
          <w:tcPr>
            <w:tcW w:w="1357" w:type="dxa"/>
            <w:vAlign w:val="center"/>
          </w:tcPr>
          <w:p w14:paraId="2D7D476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6C543B8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1CA2683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99913</w:t>
            </w:r>
            <w:r>
              <w:rPr>
                <w:rFonts w:hint="default" w:ascii="Times New Roman" w:hAnsi="Times New Roman" w:cs="Times New Roman"/>
                <w:color w:val="auto"/>
                <w:sz w:val="22"/>
                <w:szCs w:val="22"/>
                <w:highlight w:val="none"/>
                <w:lang w:val="en-US" w:eastAsia="zh-CN"/>
              </w:rPr>
              <w:t>0</w:t>
            </w:r>
          </w:p>
        </w:tc>
        <w:tc>
          <w:tcPr>
            <w:tcW w:w="1665" w:type="dxa"/>
            <w:vAlign w:val="center"/>
          </w:tcPr>
          <w:p w14:paraId="269DF3F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lang w:val="en-US" w:eastAsia="zh-CN"/>
              </w:rPr>
              <w:t>17686013928</w:t>
            </w:r>
          </w:p>
        </w:tc>
      </w:tr>
      <w:tr w14:paraId="2CF0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0E0CCDA9">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14</w:t>
            </w:r>
          </w:p>
        </w:tc>
        <w:tc>
          <w:tcPr>
            <w:tcW w:w="1109" w:type="dxa"/>
            <w:vAlign w:val="center"/>
          </w:tcPr>
          <w:p w14:paraId="5257457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刘法存</w:t>
            </w:r>
          </w:p>
        </w:tc>
        <w:tc>
          <w:tcPr>
            <w:tcW w:w="1628" w:type="dxa"/>
            <w:vAlign w:val="center"/>
          </w:tcPr>
          <w:p w14:paraId="581114D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机电运输专业</w:t>
            </w:r>
          </w:p>
        </w:tc>
        <w:tc>
          <w:tcPr>
            <w:tcW w:w="1357" w:type="dxa"/>
            <w:vAlign w:val="center"/>
          </w:tcPr>
          <w:p w14:paraId="15B8CCA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5A99D0A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08E3771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999130</w:t>
            </w:r>
          </w:p>
        </w:tc>
        <w:tc>
          <w:tcPr>
            <w:tcW w:w="1665" w:type="dxa"/>
            <w:vAlign w:val="center"/>
          </w:tcPr>
          <w:p w14:paraId="0EE8890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15750688777</w:t>
            </w:r>
          </w:p>
        </w:tc>
      </w:tr>
      <w:tr w14:paraId="02F0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28D41005">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15</w:t>
            </w:r>
          </w:p>
        </w:tc>
        <w:tc>
          <w:tcPr>
            <w:tcW w:w="1109" w:type="dxa"/>
            <w:vAlign w:val="center"/>
          </w:tcPr>
          <w:p w14:paraId="395FBC7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lang w:val="en-US" w:eastAsia="zh-CN"/>
              </w:rPr>
              <w:t>李永超</w:t>
            </w:r>
          </w:p>
        </w:tc>
        <w:tc>
          <w:tcPr>
            <w:tcW w:w="1628" w:type="dxa"/>
            <w:vAlign w:val="center"/>
          </w:tcPr>
          <w:p w14:paraId="6E6CD13B">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机电运输专业</w:t>
            </w:r>
          </w:p>
        </w:tc>
        <w:tc>
          <w:tcPr>
            <w:tcW w:w="1357" w:type="dxa"/>
            <w:vAlign w:val="center"/>
          </w:tcPr>
          <w:p w14:paraId="39014F4C">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210813E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3B2CCF0B">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999131</w:t>
            </w:r>
          </w:p>
        </w:tc>
        <w:tc>
          <w:tcPr>
            <w:tcW w:w="1665" w:type="dxa"/>
            <w:vAlign w:val="center"/>
          </w:tcPr>
          <w:p w14:paraId="59B36C2C">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1384857</w:t>
            </w:r>
            <w:r>
              <w:rPr>
                <w:rFonts w:hint="default" w:ascii="Times New Roman" w:hAnsi="Times New Roman" w:cs="Times New Roman"/>
                <w:color w:val="auto"/>
                <w:sz w:val="22"/>
                <w:szCs w:val="22"/>
                <w:highlight w:val="none"/>
                <w:lang w:val="en-US" w:eastAsia="zh-CN"/>
              </w:rPr>
              <w:t>7916</w:t>
            </w:r>
          </w:p>
        </w:tc>
      </w:tr>
      <w:tr w14:paraId="5E75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5D4CC3C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16</w:t>
            </w:r>
          </w:p>
        </w:tc>
        <w:tc>
          <w:tcPr>
            <w:tcW w:w="1109" w:type="dxa"/>
            <w:vAlign w:val="center"/>
          </w:tcPr>
          <w:p w14:paraId="3A3A65B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刘金库</w:t>
            </w:r>
          </w:p>
        </w:tc>
        <w:tc>
          <w:tcPr>
            <w:tcW w:w="1628" w:type="dxa"/>
            <w:vAlign w:val="center"/>
          </w:tcPr>
          <w:p w14:paraId="7B1E535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经营专业</w:t>
            </w:r>
          </w:p>
        </w:tc>
        <w:tc>
          <w:tcPr>
            <w:tcW w:w="1357" w:type="dxa"/>
            <w:vAlign w:val="center"/>
          </w:tcPr>
          <w:p w14:paraId="4EE2D27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3AE57E5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0FB7EC8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999182</w:t>
            </w:r>
          </w:p>
        </w:tc>
        <w:tc>
          <w:tcPr>
            <w:tcW w:w="1665" w:type="dxa"/>
            <w:vAlign w:val="center"/>
          </w:tcPr>
          <w:p w14:paraId="6C2B2AA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15750658117</w:t>
            </w:r>
          </w:p>
        </w:tc>
      </w:tr>
      <w:tr w14:paraId="7AD7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5386BD83">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17</w:t>
            </w:r>
          </w:p>
        </w:tc>
        <w:tc>
          <w:tcPr>
            <w:tcW w:w="1109" w:type="dxa"/>
            <w:vAlign w:val="center"/>
          </w:tcPr>
          <w:p w14:paraId="2F8DF02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吴</w:t>
            </w:r>
            <w:r>
              <w:rPr>
                <w:rFonts w:hint="default" w:ascii="Times New Roman" w:hAnsi="Times New Roman" w:cs="Times New Roman"/>
                <w:color w:val="auto"/>
                <w:sz w:val="22"/>
                <w:szCs w:val="22"/>
                <w:highlight w:val="none"/>
                <w:lang w:val="en-US" w:eastAsia="zh-CN"/>
              </w:rPr>
              <w:t xml:space="preserve">  </w:t>
            </w:r>
            <w:r>
              <w:rPr>
                <w:rFonts w:hint="default" w:ascii="Times New Roman" w:hAnsi="Times New Roman" w:cs="Times New Roman"/>
                <w:color w:val="auto"/>
                <w:sz w:val="22"/>
                <w:szCs w:val="22"/>
                <w:highlight w:val="none"/>
              </w:rPr>
              <w:t>菠</w:t>
            </w:r>
          </w:p>
        </w:tc>
        <w:tc>
          <w:tcPr>
            <w:tcW w:w="1628" w:type="dxa"/>
            <w:vAlign w:val="center"/>
          </w:tcPr>
          <w:p w14:paraId="4AC741D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经营专业</w:t>
            </w:r>
          </w:p>
        </w:tc>
        <w:tc>
          <w:tcPr>
            <w:tcW w:w="1357" w:type="dxa"/>
            <w:vAlign w:val="center"/>
          </w:tcPr>
          <w:p w14:paraId="5CBAFAE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高级会计师</w:t>
            </w:r>
          </w:p>
        </w:tc>
        <w:tc>
          <w:tcPr>
            <w:tcW w:w="1726" w:type="dxa"/>
            <w:vAlign w:val="center"/>
          </w:tcPr>
          <w:p w14:paraId="4DBCAEB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147CEAC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999085</w:t>
            </w:r>
          </w:p>
        </w:tc>
        <w:tc>
          <w:tcPr>
            <w:tcW w:w="1665" w:type="dxa"/>
            <w:vAlign w:val="center"/>
          </w:tcPr>
          <w:p w14:paraId="506C078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15092831326</w:t>
            </w:r>
          </w:p>
        </w:tc>
      </w:tr>
      <w:tr w14:paraId="4A32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661E0000">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18</w:t>
            </w:r>
          </w:p>
        </w:tc>
        <w:tc>
          <w:tcPr>
            <w:tcW w:w="1109" w:type="dxa"/>
            <w:vAlign w:val="center"/>
          </w:tcPr>
          <w:p w14:paraId="7F83CEA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杜  锋</w:t>
            </w:r>
          </w:p>
        </w:tc>
        <w:tc>
          <w:tcPr>
            <w:tcW w:w="1628" w:type="dxa"/>
            <w:vAlign w:val="center"/>
          </w:tcPr>
          <w:p w14:paraId="011A319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经营专业</w:t>
            </w:r>
          </w:p>
        </w:tc>
        <w:tc>
          <w:tcPr>
            <w:tcW w:w="1357" w:type="dxa"/>
            <w:vAlign w:val="center"/>
          </w:tcPr>
          <w:p w14:paraId="445F1B6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3205039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D24A9F1">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999180</w:t>
            </w:r>
          </w:p>
        </w:tc>
        <w:tc>
          <w:tcPr>
            <w:tcW w:w="1665" w:type="dxa"/>
            <w:vAlign w:val="center"/>
          </w:tcPr>
          <w:p w14:paraId="11F23BF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18253868799</w:t>
            </w:r>
          </w:p>
        </w:tc>
      </w:tr>
      <w:tr w14:paraId="4222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47D60964">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19</w:t>
            </w:r>
          </w:p>
        </w:tc>
        <w:tc>
          <w:tcPr>
            <w:tcW w:w="1109" w:type="dxa"/>
            <w:vAlign w:val="center"/>
          </w:tcPr>
          <w:p w14:paraId="7911F5C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孙  波</w:t>
            </w:r>
          </w:p>
        </w:tc>
        <w:tc>
          <w:tcPr>
            <w:tcW w:w="1628" w:type="dxa"/>
            <w:vAlign w:val="center"/>
          </w:tcPr>
          <w:p w14:paraId="35A8D58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掘进专业</w:t>
            </w:r>
          </w:p>
        </w:tc>
        <w:tc>
          <w:tcPr>
            <w:tcW w:w="1357" w:type="dxa"/>
            <w:vAlign w:val="center"/>
          </w:tcPr>
          <w:p w14:paraId="39F3FF6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高级工程师</w:t>
            </w:r>
          </w:p>
        </w:tc>
        <w:tc>
          <w:tcPr>
            <w:tcW w:w="1726" w:type="dxa"/>
            <w:vAlign w:val="center"/>
          </w:tcPr>
          <w:p w14:paraId="0957BB7A">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1E28B0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999115</w:t>
            </w:r>
          </w:p>
        </w:tc>
        <w:tc>
          <w:tcPr>
            <w:tcW w:w="1665" w:type="dxa"/>
            <w:vAlign w:val="center"/>
          </w:tcPr>
          <w:p w14:paraId="5F96990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13963469722</w:t>
            </w:r>
          </w:p>
        </w:tc>
      </w:tr>
      <w:tr w14:paraId="24CA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1AE06726">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20</w:t>
            </w:r>
          </w:p>
        </w:tc>
        <w:tc>
          <w:tcPr>
            <w:tcW w:w="1109" w:type="dxa"/>
            <w:vAlign w:val="center"/>
          </w:tcPr>
          <w:p w14:paraId="0476FFAC">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杨  扬</w:t>
            </w:r>
          </w:p>
        </w:tc>
        <w:tc>
          <w:tcPr>
            <w:tcW w:w="1628" w:type="dxa"/>
            <w:vAlign w:val="center"/>
          </w:tcPr>
          <w:p w14:paraId="49F444C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掘进专业</w:t>
            </w:r>
          </w:p>
        </w:tc>
        <w:tc>
          <w:tcPr>
            <w:tcW w:w="1357" w:type="dxa"/>
            <w:vAlign w:val="center"/>
          </w:tcPr>
          <w:p w14:paraId="1FB98326">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2EE6B5F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07B9DEF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999098</w:t>
            </w:r>
          </w:p>
        </w:tc>
        <w:tc>
          <w:tcPr>
            <w:tcW w:w="1665" w:type="dxa"/>
            <w:vAlign w:val="center"/>
          </w:tcPr>
          <w:p w14:paraId="5DCB5A8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13220612957</w:t>
            </w:r>
          </w:p>
        </w:tc>
      </w:tr>
      <w:tr w14:paraId="664A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07B481EE">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21</w:t>
            </w:r>
          </w:p>
        </w:tc>
        <w:tc>
          <w:tcPr>
            <w:tcW w:w="1109" w:type="dxa"/>
            <w:vAlign w:val="center"/>
          </w:tcPr>
          <w:p w14:paraId="7E4234E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孙立虎</w:t>
            </w:r>
          </w:p>
        </w:tc>
        <w:tc>
          <w:tcPr>
            <w:tcW w:w="1628" w:type="dxa"/>
            <w:vAlign w:val="center"/>
          </w:tcPr>
          <w:p w14:paraId="1A297BE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掘进专业</w:t>
            </w:r>
          </w:p>
        </w:tc>
        <w:tc>
          <w:tcPr>
            <w:tcW w:w="1357" w:type="dxa"/>
            <w:vAlign w:val="center"/>
          </w:tcPr>
          <w:p w14:paraId="38F1439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72553D5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3C3572D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eastAsia" w:ascii="Times New Roman" w:hAnsi="Times New Roman" w:cs="Times New Roman"/>
                <w:color w:val="auto"/>
                <w:sz w:val="22"/>
                <w:szCs w:val="22"/>
                <w:highlight w:val="none"/>
                <w:lang w:val="en-US" w:eastAsia="zh-CN"/>
              </w:rPr>
              <w:t>999098</w:t>
            </w:r>
          </w:p>
        </w:tc>
        <w:tc>
          <w:tcPr>
            <w:tcW w:w="1665" w:type="dxa"/>
            <w:vAlign w:val="center"/>
          </w:tcPr>
          <w:p w14:paraId="7DE5D86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13792125393</w:t>
            </w:r>
          </w:p>
        </w:tc>
      </w:tr>
      <w:tr w14:paraId="0763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15A353D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22</w:t>
            </w:r>
          </w:p>
        </w:tc>
        <w:tc>
          <w:tcPr>
            <w:tcW w:w="1109" w:type="dxa"/>
            <w:vAlign w:val="center"/>
          </w:tcPr>
          <w:p w14:paraId="55F539A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lang w:val="en-US" w:eastAsia="zh-CN"/>
              </w:rPr>
              <w:t>智荣臻</w:t>
            </w:r>
          </w:p>
        </w:tc>
        <w:tc>
          <w:tcPr>
            <w:tcW w:w="1628" w:type="dxa"/>
            <w:vAlign w:val="center"/>
          </w:tcPr>
          <w:p w14:paraId="295A0E4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通防专业</w:t>
            </w:r>
          </w:p>
        </w:tc>
        <w:tc>
          <w:tcPr>
            <w:tcW w:w="1357" w:type="dxa"/>
            <w:vAlign w:val="center"/>
          </w:tcPr>
          <w:p w14:paraId="5DB9D7F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4756DAC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6583FD6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999075</w:t>
            </w:r>
          </w:p>
        </w:tc>
        <w:tc>
          <w:tcPr>
            <w:tcW w:w="1665" w:type="dxa"/>
            <w:vAlign w:val="center"/>
          </w:tcPr>
          <w:p w14:paraId="1221FA02">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15275716657</w:t>
            </w:r>
          </w:p>
        </w:tc>
      </w:tr>
      <w:tr w14:paraId="16CC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0CF1FA5F">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23</w:t>
            </w:r>
          </w:p>
        </w:tc>
        <w:tc>
          <w:tcPr>
            <w:tcW w:w="1109" w:type="dxa"/>
            <w:vAlign w:val="center"/>
          </w:tcPr>
          <w:p w14:paraId="616F18B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刘建峰</w:t>
            </w:r>
          </w:p>
        </w:tc>
        <w:tc>
          <w:tcPr>
            <w:tcW w:w="1628" w:type="dxa"/>
            <w:vAlign w:val="center"/>
          </w:tcPr>
          <w:p w14:paraId="1ACAE8C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通防专业</w:t>
            </w:r>
          </w:p>
        </w:tc>
        <w:tc>
          <w:tcPr>
            <w:tcW w:w="1357" w:type="dxa"/>
            <w:vAlign w:val="center"/>
          </w:tcPr>
          <w:p w14:paraId="1D96702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2F49F1E7">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561E6C74">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999056</w:t>
            </w:r>
          </w:p>
        </w:tc>
        <w:tc>
          <w:tcPr>
            <w:tcW w:w="1665" w:type="dxa"/>
            <w:vAlign w:val="center"/>
          </w:tcPr>
          <w:p w14:paraId="56D7833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13562814677</w:t>
            </w:r>
          </w:p>
        </w:tc>
      </w:tr>
      <w:tr w14:paraId="6FD0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05A39EEC">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24</w:t>
            </w:r>
          </w:p>
        </w:tc>
        <w:tc>
          <w:tcPr>
            <w:tcW w:w="1109" w:type="dxa"/>
            <w:vAlign w:val="center"/>
          </w:tcPr>
          <w:p w14:paraId="114A12C8">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王  斌</w:t>
            </w:r>
          </w:p>
        </w:tc>
        <w:tc>
          <w:tcPr>
            <w:tcW w:w="1628" w:type="dxa"/>
            <w:vAlign w:val="center"/>
          </w:tcPr>
          <w:p w14:paraId="6BF8F86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通防专业</w:t>
            </w:r>
          </w:p>
        </w:tc>
        <w:tc>
          <w:tcPr>
            <w:tcW w:w="1357" w:type="dxa"/>
            <w:vAlign w:val="center"/>
          </w:tcPr>
          <w:p w14:paraId="1AF0C945">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工程师</w:t>
            </w:r>
          </w:p>
        </w:tc>
        <w:tc>
          <w:tcPr>
            <w:tcW w:w="1726" w:type="dxa"/>
            <w:vAlign w:val="center"/>
          </w:tcPr>
          <w:p w14:paraId="1914A38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内蒙能源公司</w:t>
            </w:r>
          </w:p>
        </w:tc>
        <w:tc>
          <w:tcPr>
            <w:tcW w:w="1191" w:type="dxa"/>
            <w:vAlign w:val="center"/>
          </w:tcPr>
          <w:p w14:paraId="3F46749B">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999084</w:t>
            </w:r>
          </w:p>
        </w:tc>
        <w:tc>
          <w:tcPr>
            <w:tcW w:w="1665" w:type="dxa"/>
            <w:vAlign w:val="center"/>
          </w:tcPr>
          <w:p w14:paraId="1740B979">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15048749521</w:t>
            </w:r>
          </w:p>
        </w:tc>
      </w:tr>
      <w:tr w14:paraId="3F2A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0" w:type="dxa"/>
            <w:vAlign w:val="center"/>
          </w:tcPr>
          <w:p w14:paraId="47C84A91">
            <w:pPr>
              <w:widowControl/>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25</w:t>
            </w:r>
          </w:p>
        </w:tc>
        <w:tc>
          <w:tcPr>
            <w:tcW w:w="1109" w:type="dxa"/>
            <w:vAlign w:val="center"/>
          </w:tcPr>
          <w:p w14:paraId="2058D59F">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李</w:t>
            </w:r>
            <w:r>
              <w:rPr>
                <w:rFonts w:hint="default" w:ascii="Times New Roman" w:hAnsi="Times New Roman" w:cs="Times New Roman"/>
                <w:color w:val="auto"/>
                <w:sz w:val="22"/>
                <w:szCs w:val="22"/>
                <w:highlight w:val="none"/>
                <w:lang w:val="en-US" w:eastAsia="zh-CN"/>
              </w:rPr>
              <w:t xml:space="preserve">  </w:t>
            </w:r>
            <w:r>
              <w:rPr>
                <w:rFonts w:hint="default" w:ascii="Times New Roman" w:hAnsi="Times New Roman" w:cs="Times New Roman"/>
                <w:color w:val="auto"/>
                <w:sz w:val="22"/>
                <w:szCs w:val="22"/>
                <w:highlight w:val="none"/>
              </w:rPr>
              <w:t>敬</w:t>
            </w:r>
          </w:p>
        </w:tc>
        <w:tc>
          <w:tcPr>
            <w:tcW w:w="1628" w:type="dxa"/>
            <w:vAlign w:val="center"/>
          </w:tcPr>
          <w:p w14:paraId="5E1D9DCD">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机电专业</w:t>
            </w:r>
          </w:p>
        </w:tc>
        <w:tc>
          <w:tcPr>
            <w:tcW w:w="1357" w:type="dxa"/>
            <w:vAlign w:val="center"/>
          </w:tcPr>
          <w:p w14:paraId="0F69E303">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高级工程师</w:t>
            </w:r>
          </w:p>
        </w:tc>
        <w:tc>
          <w:tcPr>
            <w:tcW w:w="1726" w:type="dxa"/>
            <w:vAlign w:val="center"/>
          </w:tcPr>
          <w:p w14:paraId="7FA64AA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长城六矿</w:t>
            </w:r>
          </w:p>
        </w:tc>
        <w:tc>
          <w:tcPr>
            <w:tcW w:w="1191" w:type="dxa"/>
            <w:vAlign w:val="center"/>
          </w:tcPr>
          <w:p w14:paraId="0C167EF0">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993317</w:t>
            </w:r>
          </w:p>
        </w:tc>
        <w:tc>
          <w:tcPr>
            <w:tcW w:w="1665" w:type="dxa"/>
            <w:vAlign w:val="center"/>
          </w:tcPr>
          <w:p w14:paraId="3952D7EE">
            <w:pPr>
              <w:pStyle w:val="35"/>
              <w:keepNext w:val="0"/>
              <w:keepLines w:val="0"/>
              <w:suppressLineNumbers w:val="0"/>
              <w:spacing w:before="0" w:beforeAutospacing="0" w:after="0" w:afterAutospacing="0"/>
              <w:ind w:left="0" w:leftChars="0" w:right="0" w:rightChars="0" w:firstLine="0" w:firstLineChars="0"/>
              <w:jc w:val="center"/>
              <w:rPr>
                <w:rFonts w:ascii="仿宋" w:hAnsi="仿宋" w:eastAsia="仿宋" w:cs="宋体"/>
                <w:color w:val="auto"/>
                <w:kern w:val="0"/>
                <w:sz w:val="24"/>
                <w:highlight w:val="none"/>
                <w:lang w:bidi="ar"/>
              </w:rPr>
            </w:pPr>
            <w:r>
              <w:rPr>
                <w:rFonts w:hint="default" w:ascii="Times New Roman" w:hAnsi="Times New Roman" w:cs="Times New Roman"/>
                <w:color w:val="auto"/>
                <w:sz w:val="22"/>
                <w:szCs w:val="22"/>
                <w:highlight w:val="none"/>
              </w:rPr>
              <w:t>13963469700</w:t>
            </w:r>
          </w:p>
        </w:tc>
      </w:tr>
    </w:tbl>
    <w:p w14:paraId="3DB80608">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2</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应急救援指挥部成员及联系方式</w:t>
      </w:r>
    </w:p>
    <w:tbl>
      <w:tblPr>
        <w:tblStyle w:val="29"/>
        <w:tblW w:w="5082" w:type="pct"/>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1056"/>
        <w:gridCol w:w="1268"/>
        <w:gridCol w:w="2654"/>
        <w:gridCol w:w="1629"/>
        <w:gridCol w:w="1740"/>
      </w:tblGrid>
      <w:tr w14:paraId="4F14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trPr>
        <w:tc>
          <w:tcPr>
            <w:tcW w:w="469" w:type="pct"/>
            <w:vAlign w:val="center"/>
          </w:tcPr>
          <w:p w14:paraId="4C5A344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bookmarkStart w:id="606" w:name="_Toc20748"/>
            <w:bookmarkStart w:id="607" w:name="_Toc27869"/>
            <w:r>
              <w:rPr>
                <w:rFonts w:hint="eastAsia" w:ascii="仿宋" w:hAnsi="仿宋" w:eastAsia="仿宋" w:cs="宋体"/>
                <w:color w:val="auto"/>
                <w:kern w:val="0"/>
                <w:sz w:val="24"/>
                <w:highlight w:val="none"/>
                <w:lang w:bidi="ar"/>
              </w:rPr>
              <w:t>序号</w:t>
            </w:r>
          </w:p>
        </w:tc>
        <w:tc>
          <w:tcPr>
            <w:tcW w:w="573" w:type="pct"/>
            <w:vAlign w:val="center"/>
          </w:tcPr>
          <w:p w14:paraId="5ADA671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姓  名</w:t>
            </w:r>
          </w:p>
        </w:tc>
        <w:tc>
          <w:tcPr>
            <w:tcW w:w="688" w:type="pct"/>
            <w:vAlign w:val="center"/>
          </w:tcPr>
          <w:p w14:paraId="1D54414C">
            <w:pPr>
              <w:pStyle w:val="62"/>
              <w:jc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lang w:bidi="ar"/>
              </w:rPr>
              <w:t>指挥部</w:t>
            </w:r>
          </w:p>
        </w:tc>
        <w:tc>
          <w:tcPr>
            <w:tcW w:w="1440" w:type="pct"/>
            <w:vAlign w:val="center"/>
          </w:tcPr>
          <w:p w14:paraId="711BB57C">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部门、职务</w:t>
            </w:r>
          </w:p>
        </w:tc>
        <w:tc>
          <w:tcPr>
            <w:tcW w:w="884" w:type="pct"/>
            <w:vAlign w:val="center"/>
          </w:tcPr>
          <w:p w14:paraId="2442A489">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联系电话</w:t>
            </w:r>
          </w:p>
        </w:tc>
        <w:tc>
          <w:tcPr>
            <w:tcW w:w="944" w:type="pct"/>
            <w:vAlign w:val="center"/>
          </w:tcPr>
          <w:p w14:paraId="5BBFD920">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联系电话</w:t>
            </w:r>
          </w:p>
        </w:tc>
      </w:tr>
      <w:tr w14:paraId="0E56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331CFE2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w:t>
            </w:r>
          </w:p>
        </w:tc>
        <w:tc>
          <w:tcPr>
            <w:tcW w:w="573" w:type="pct"/>
            <w:vAlign w:val="center"/>
          </w:tcPr>
          <w:p w14:paraId="5C6DF983">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14"/>
                <w:sz w:val="21"/>
                <w:szCs w:val="21"/>
                <w:highlight w:val="none"/>
                <w:lang w:eastAsia="zh-CN"/>
              </w:rPr>
              <w:t>郑永胜</w:t>
            </w:r>
          </w:p>
        </w:tc>
        <w:tc>
          <w:tcPr>
            <w:tcW w:w="1268" w:type="dxa"/>
            <w:vAlign w:val="center"/>
          </w:tcPr>
          <w:p w14:paraId="41CA4074">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10"/>
                <w:sz w:val="21"/>
                <w:szCs w:val="21"/>
                <w:highlight w:val="none"/>
              </w:rPr>
              <w:t>总指挥</w:t>
            </w:r>
          </w:p>
        </w:tc>
        <w:tc>
          <w:tcPr>
            <w:tcW w:w="1440" w:type="pct"/>
            <w:vAlign w:val="center"/>
          </w:tcPr>
          <w:p w14:paraId="563EC1BF">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snapToGrid w:val="0"/>
                <w:color w:val="auto"/>
                <w:spacing w:val="-5"/>
                <w:kern w:val="0"/>
                <w:sz w:val="21"/>
                <w:szCs w:val="21"/>
                <w:highlight w:val="none"/>
                <w:u w:val="none"/>
                <w:lang w:val="en-US" w:eastAsia="zh-CN" w:bidi="ar"/>
              </w:rPr>
              <w:t>党委书记、</w:t>
            </w:r>
            <w:r>
              <w:rPr>
                <w:rFonts w:hint="eastAsia" w:ascii="Times New Roman" w:hAnsi="Times New Roman" w:eastAsia="宋体" w:cs="Times New Roman"/>
                <w:snapToGrid w:val="0"/>
                <w:color w:val="auto"/>
                <w:spacing w:val="-5"/>
                <w:kern w:val="0"/>
                <w:sz w:val="21"/>
                <w:szCs w:val="21"/>
                <w:highlight w:val="none"/>
                <w:u w:val="none"/>
                <w:lang w:val="en-US" w:eastAsia="zh-CN" w:bidi="ar"/>
              </w:rPr>
              <w:t>总</w:t>
            </w:r>
            <w:r>
              <w:rPr>
                <w:rFonts w:hint="eastAsia" w:ascii="Times New Roman" w:hAnsi="Times New Roman" w:eastAsia="宋体" w:cs="Times New Roman"/>
                <w:color w:val="auto"/>
                <w:spacing w:val="-5"/>
                <w:sz w:val="21"/>
                <w:szCs w:val="21"/>
                <w:highlight w:val="none"/>
                <w:lang w:eastAsia="zh-CN"/>
              </w:rPr>
              <w:t>经理</w:t>
            </w:r>
          </w:p>
        </w:tc>
        <w:tc>
          <w:tcPr>
            <w:tcW w:w="884" w:type="pct"/>
            <w:vAlign w:val="center"/>
          </w:tcPr>
          <w:p w14:paraId="1815DC47">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3"/>
                <w:highlight w:val="none"/>
                <w:lang w:eastAsia="zh-CN"/>
              </w:rPr>
              <w:t>18253869867</w:t>
            </w:r>
          </w:p>
        </w:tc>
        <w:tc>
          <w:tcPr>
            <w:tcW w:w="944" w:type="pct"/>
            <w:vAlign w:val="center"/>
          </w:tcPr>
          <w:p w14:paraId="0A513E7B">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999211</w:t>
            </w:r>
          </w:p>
        </w:tc>
      </w:tr>
      <w:tr w14:paraId="7904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5FA37A5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w:t>
            </w:r>
          </w:p>
        </w:tc>
        <w:tc>
          <w:tcPr>
            <w:tcW w:w="573" w:type="pct"/>
            <w:vAlign w:val="center"/>
          </w:tcPr>
          <w:p w14:paraId="3FB0CCB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sz w:val="21"/>
                <w:szCs w:val="21"/>
                <w:highlight w:val="none"/>
                <w:lang w:eastAsia="zh-CN"/>
              </w:rPr>
              <w:t>杨勇</w:t>
            </w:r>
          </w:p>
        </w:tc>
        <w:tc>
          <w:tcPr>
            <w:tcW w:w="1268" w:type="dxa"/>
            <w:vAlign w:val="center"/>
          </w:tcPr>
          <w:p w14:paraId="4D8CA81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vAlign w:val="center"/>
          </w:tcPr>
          <w:p w14:paraId="46333007">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rPr>
              <w:t>总工程师</w:t>
            </w:r>
          </w:p>
        </w:tc>
        <w:tc>
          <w:tcPr>
            <w:tcW w:w="884" w:type="pct"/>
            <w:vAlign w:val="center"/>
          </w:tcPr>
          <w:p w14:paraId="08EF08D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13562813214</w:t>
            </w:r>
          </w:p>
        </w:tc>
        <w:tc>
          <w:tcPr>
            <w:tcW w:w="944" w:type="pct"/>
            <w:vAlign w:val="center"/>
          </w:tcPr>
          <w:p w14:paraId="0C1C6641">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390</w:t>
            </w:r>
          </w:p>
        </w:tc>
      </w:tr>
      <w:tr w14:paraId="63EB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shd w:val="clear" w:color="auto" w:fill="auto"/>
            <w:vAlign w:val="center"/>
          </w:tcPr>
          <w:p w14:paraId="06FAFFF8">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3</w:t>
            </w:r>
          </w:p>
        </w:tc>
        <w:tc>
          <w:tcPr>
            <w:tcW w:w="573" w:type="pct"/>
            <w:shd w:val="clear" w:color="auto" w:fill="auto"/>
            <w:vAlign w:val="center"/>
          </w:tcPr>
          <w:p w14:paraId="1C28A159">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10"/>
                <w:sz w:val="21"/>
                <w:szCs w:val="21"/>
                <w:highlight w:val="none"/>
                <w:lang w:eastAsia="zh-CN"/>
              </w:rPr>
              <w:t>姜桂森</w:t>
            </w:r>
          </w:p>
        </w:tc>
        <w:tc>
          <w:tcPr>
            <w:tcW w:w="1268" w:type="dxa"/>
            <w:shd w:val="clear" w:color="auto" w:fill="auto"/>
            <w:vAlign w:val="center"/>
          </w:tcPr>
          <w:p w14:paraId="0EFEEBC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3B2B0B53">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安全总监</w:t>
            </w:r>
          </w:p>
        </w:tc>
        <w:tc>
          <w:tcPr>
            <w:tcW w:w="884" w:type="pct"/>
            <w:shd w:val="clear" w:color="auto" w:fill="auto"/>
            <w:vAlign w:val="center"/>
          </w:tcPr>
          <w:p w14:paraId="261CC328">
            <w:pPr>
              <w:jc w:val="center"/>
              <w:rPr>
                <w:rFonts w:hint="eastAsia" w:ascii="仿宋" w:hAnsi="仿宋" w:eastAsia="仿宋" w:cs="宋体"/>
                <w:color w:val="auto"/>
                <w:kern w:val="0"/>
                <w:sz w:val="24"/>
                <w:highlight w:val="none"/>
                <w:lang w:eastAsia="zh-CN" w:bidi="ar"/>
              </w:rPr>
            </w:pPr>
            <w:r>
              <w:rPr>
                <w:rFonts w:hint="eastAsia" w:cs="Times New Roman"/>
                <w:color w:val="auto"/>
                <w:spacing w:val="3"/>
                <w:highlight w:val="none"/>
                <w:lang w:eastAsia="zh-CN"/>
              </w:rPr>
              <w:t>15163861689</w:t>
            </w:r>
          </w:p>
        </w:tc>
        <w:tc>
          <w:tcPr>
            <w:tcW w:w="944" w:type="pct"/>
            <w:shd w:val="clear" w:color="auto" w:fill="auto"/>
            <w:vAlign w:val="center"/>
          </w:tcPr>
          <w:p w14:paraId="13154ED1">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999413</w:t>
            </w:r>
          </w:p>
        </w:tc>
      </w:tr>
      <w:tr w14:paraId="7F0E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shd w:val="clear" w:color="auto" w:fill="auto"/>
            <w:vAlign w:val="center"/>
          </w:tcPr>
          <w:p w14:paraId="1D2684A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4</w:t>
            </w:r>
          </w:p>
        </w:tc>
        <w:tc>
          <w:tcPr>
            <w:tcW w:w="573" w:type="pct"/>
            <w:shd w:val="clear" w:color="auto" w:fill="auto"/>
            <w:vAlign w:val="center"/>
          </w:tcPr>
          <w:p w14:paraId="6EAE1C54">
            <w:pPr>
              <w:pStyle w:val="62"/>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19"/>
                <w:sz w:val="21"/>
                <w:szCs w:val="21"/>
                <w:highlight w:val="none"/>
              </w:rPr>
              <w:t>王立峰</w:t>
            </w:r>
          </w:p>
        </w:tc>
        <w:tc>
          <w:tcPr>
            <w:tcW w:w="1268" w:type="dxa"/>
            <w:shd w:val="clear" w:color="auto" w:fill="auto"/>
            <w:vAlign w:val="center"/>
          </w:tcPr>
          <w:p w14:paraId="170975F9">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7DA2FF3F">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8"/>
                <w:sz w:val="21"/>
                <w:szCs w:val="21"/>
                <w:highlight w:val="none"/>
              </w:rPr>
              <w:t>党委副书记</w:t>
            </w:r>
          </w:p>
        </w:tc>
        <w:tc>
          <w:tcPr>
            <w:tcW w:w="884" w:type="pct"/>
            <w:shd w:val="clear" w:color="auto" w:fill="auto"/>
            <w:vAlign w:val="center"/>
          </w:tcPr>
          <w:p w14:paraId="7ADB08E3">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13562813968</w:t>
            </w:r>
          </w:p>
        </w:tc>
        <w:tc>
          <w:tcPr>
            <w:tcW w:w="944" w:type="pct"/>
            <w:shd w:val="clear" w:color="auto" w:fill="auto"/>
            <w:vAlign w:val="center"/>
          </w:tcPr>
          <w:p w14:paraId="599AB54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999212</w:t>
            </w:r>
          </w:p>
        </w:tc>
      </w:tr>
      <w:tr w14:paraId="7D9C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shd w:val="clear" w:color="auto" w:fill="auto"/>
            <w:vAlign w:val="center"/>
          </w:tcPr>
          <w:p w14:paraId="7CD13C1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5</w:t>
            </w:r>
          </w:p>
        </w:tc>
        <w:tc>
          <w:tcPr>
            <w:tcW w:w="573" w:type="pct"/>
            <w:shd w:val="clear" w:color="auto" w:fill="auto"/>
            <w:vAlign w:val="center"/>
          </w:tcPr>
          <w:p w14:paraId="4DC4F4AA">
            <w:pPr>
              <w:pStyle w:val="62"/>
              <w:jc w:val="center"/>
              <w:rPr>
                <w:rFonts w:hint="eastAsia" w:ascii="仿宋" w:hAnsi="仿宋" w:eastAsia="仿宋" w:cs="宋体"/>
                <w:color w:val="auto"/>
                <w:kern w:val="0"/>
                <w:sz w:val="24"/>
                <w:highlight w:val="none"/>
                <w:lang w:eastAsia="zh-CN" w:bidi="ar"/>
              </w:rPr>
            </w:pPr>
            <w:r>
              <w:rPr>
                <w:rFonts w:hint="eastAsia" w:ascii="Times New Roman" w:hAnsi="Times New Roman" w:eastAsia="宋体" w:cs="Times New Roman"/>
                <w:color w:val="auto"/>
                <w:spacing w:val="10"/>
                <w:sz w:val="21"/>
                <w:szCs w:val="21"/>
                <w:highlight w:val="none"/>
                <w:lang w:eastAsia="zh-CN"/>
              </w:rPr>
              <w:t>刘传明</w:t>
            </w:r>
          </w:p>
        </w:tc>
        <w:tc>
          <w:tcPr>
            <w:tcW w:w="1268" w:type="dxa"/>
            <w:shd w:val="clear" w:color="auto" w:fill="auto"/>
            <w:vAlign w:val="center"/>
          </w:tcPr>
          <w:p w14:paraId="4E9B290A">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356AAD08">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8"/>
                <w:sz w:val="21"/>
                <w:szCs w:val="21"/>
                <w:highlight w:val="none"/>
              </w:rPr>
              <w:t>生产副</w:t>
            </w:r>
            <w:r>
              <w:rPr>
                <w:rFonts w:hint="eastAsia" w:ascii="Times New Roman" w:hAnsi="Times New Roman" w:eastAsia="宋体" w:cs="Times New Roman"/>
                <w:color w:val="auto"/>
                <w:spacing w:val="28"/>
                <w:sz w:val="21"/>
                <w:szCs w:val="21"/>
                <w:highlight w:val="none"/>
                <w:lang w:eastAsia="zh-CN"/>
              </w:rPr>
              <w:t>总经理</w:t>
            </w:r>
          </w:p>
        </w:tc>
        <w:tc>
          <w:tcPr>
            <w:tcW w:w="884" w:type="pct"/>
            <w:shd w:val="clear" w:color="auto" w:fill="auto"/>
            <w:vAlign w:val="center"/>
          </w:tcPr>
          <w:p w14:paraId="714B299A">
            <w:pPr>
              <w:jc w:val="center"/>
              <w:rPr>
                <w:rFonts w:hint="eastAsia" w:ascii="仿宋" w:hAnsi="仿宋" w:eastAsia="仿宋" w:cs="宋体"/>
                <w:color w:val="auto"/>
                <w:kern w:val="0"/>
                <w:sz w:val="24"/>
                <w:highlight w:val="none"/>
                <w:lang w:eastAsia="zh-CN" w:bidi="ar"/>
              </w:rPr>
            </w:pPr>
            <w:r>
              <w:rPr>
                <w:rFonts w:hint="eastAsia" w:cs="Times New Roman"/>
                <w:color w:val="auto"/>
                <w:spacing w:val="3"/>
                <w:highlight w:val="none"/>
                <w:lang w:eastAsia="zh-CN"/>
              </w:rPr>
              <w:t>13562817949</w:t>
            </w:r>
          </w:p>
        </w:tc>
        <w:tc>
          <w:tcPr>
            <w:tcW w:w="944" w:type="pct"/>
            <w:shd w:val="clear" w:color="auto" w:fill="auto"/>
            <w:vAlign w:val="center"/>
          </w:tcPr>
          <w:p w14:paraId="2D3DE3B1">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999229</w:t>
            </w:r>
          </w:p>
        </w:tc>
      </w:tr>
      <w:tr w14:paraId="0D57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shd w:val="clear" w:color="auto" w:fill="auto"/>
            <w:vAlign w:val="center"/>
          </w:tcPr>
          <w:p w14:paraId="1D2CE922">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6</w:t>
            </w:r>
          </w:p>
        </w:tc>
        <w:tc>
          <w:tcPr>
            <w:tcW w:w="573" w:type="pct"/>
            <w:shd w:val="clear" w:color="auto" w:fill="auto"/>
            <w:vAlign w:val="center"/>
          </w:tcPr>
          <w:p w14:paraId="0234044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5"/>
                <w:sz w:val="21"/>
                <w:szCs w:val="21"/>
                <w:highlight w:val="none"/>
              </w:rPr>
              <w:t>王强</w:t>
            </w:r>
          </w:p>
        </w:tc>
        <w:tc>
          <w:tcPr>
            <w:tcW w:w="1268" w:type="dxa"/>
            <w:shd w:val="clear" w:color="auto" w:fill="auto"/>
            <w:vAlign w:val="center"/>
          </w:tcPr>
          <w:p w14:paraId="0A08941D">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24C858A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10"/>
                <w:sz w:val="21"/>
                <w:szCs w:val="21"/>
                <w:highlight w:val="none"/>
              </w:rPr>
              <w:t>回采副</w:t>
            </w:r>
            <w:r>
              <w:rPr>
                <w:rFonts w:hint="eastAsia" w:ascii="Times New Roman" w:hAnsi="Times New Roman" w:eastAsia="宋体" w:cs="Times New Roman"/>
                <w:color w:val="auto"/>
                <w:spacing w:val="10"/>
                <w:sz w:val="21"/>
                <w:szCs w:val="21"/>
                <w:highlight w:val="none"/>
                <w:lang w:eastAsia="zh-CN"/>
              </w:rPr>
              <w:t>总经理</w:t>
            </w:r>
          </w:p>
        </w:tc>
        <w:tc>
          <w:tcPr>
            <w:tcW w:w="884" w:type="pct"/>
            <w:shd w:val="clear" w:color="auto" w:fill="auto"/>
            <w:vAlign w:val="center"/>
          </w:tcPr>
          <w:p w14:paraId="32EA418B">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13562818219</w:t>
            </w:r>
          </w:p>
        </w:tc>
        <w:tc>
          <w:tcPr>
            <w:tcW w:w="944" w:type="pct"/>
            <w:shd w:val="clear" w:color="auto" w:fill="auto"/>
            <w:vAlign w:val="center"/>
          </w:tcPr>
          <w:p w14:paraId="0C5AAE2B">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999290</w:t>
            </w:r>
          </w:p>
        </w:tc>
      </w:tr>
      <w:tr w14:paraId="5E0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shd w:val="clear" w:color="auto" w:fill="auto"/>
            <w:vAlign w:val="center"/>
          </w:tcPr>
          <w:p w14:paraId="1FF8B281">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7</w:t>
            </w:r>
          </w:p>
        </w:tc>
        <w:tc>
          <w:tcPr>
            <w:tcW w:w="573" w:type="pct"/>
            <w:shd w:val="clear" w:color="auto" w:fill="auto"/>
            <w:vAlign w:val="center"/>
          </w:tcPr>
          <w:p w14:paraId="039BC630">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6"/>
                <w:sz w:val="21"/>
                <w:szCs w:val="21"/>
                <w:highlight w:val="none"/>
              </w:rPr>
              <w:t>刘德任</w:t>
            </w:r>
          </w:p>
        </w:tc>
        <w:tc>
          <w:tcPr>
            <w:tcW w:w="1268" w:type="dxa"/>
            <w:shd w:val="clear" w:color="auto" w:fill="auto"/>
            <w:vAlign w:val="center"/>
          </w:tcPr>
          <w:p w14:paraId="3F94922D">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17E26D80">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rPr>
              <w:t>总会计师</w:t>
            </w:r>
          </w:p>
        </w:tc>
        <w:tc>
          <w:tcPr>
            <w:tcW w:w="884" w:type="pct"/>
            <w:shd w:val="clear" w:color="auto" w:fill="auto"/>
            <w:vAlign w:val="center"/>
          </w:tcPr>
          <w:p w14:paraId="61605759">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18682986231</w:t>
            </w:r>
          </w:p>
        </w:tc>
        <w:tc>
          <w:tcPr>
            <w:tcW w:w="944" w:type="pct"/>
            <w:shd w:val="clear" w:color="auto" w:fill="auto"/>
            <w:vAlign w:val="center"/>
          </w:tcPr>
          <w:p w14:paraId="17FE8978">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999279</w:t>
            </w:r>
          </w:p>
        </w:tc>
      </w:tr>
      <w:tr w14:paraId="00A3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12D6A6F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8</w:t>
            </w:r>
          </w:p>
        </w:tc>
        <w:tc>
          <w:tcPr>
            <w:tcW w:w="573" w:type="pct"/>
            <w:shd w:val="clear" w:color="auto" w:fill="auto"/>
            <w:vAlign w:val="center"/>
          </w:tcPr>
          <w:p w14:paraId="6B4B6241">
            <w:pPr>
              <w:pStyle w:val="62"/>
              <w:jc w:val="center"/>
              <w:rPr>
                <w:rFonts w:hint="eastAsia" w:ascii="仿宋" w:hAnsi="仿宋" w:eastAsia="仿宋" w:cs="宋体"/>
                <w:color w:val="auto"/>
                <w:kern w:val="0"/>
                <w:sz w:val="24"/>
                <w:highlight w:val="none"/>
                <w:lang w:eastAsia="zh-CN" w:bidi="ar"/>
              </w:rPr>
            </w:pPr>
            <w:r>
              <w:rPr>
                <w:rFonts w:hint="eastAsia" w:ascii="Times New Roman" w:hAnsi="Times New Roman" w:eastAsia="宋体" w:cs="Times New Roman"/>
                <w:color w:val="auto"/>
                <w:spacing w:val="-6"/>
                <w:sz w:val="21"/>
                <w:szCs w:val="21"/>
                <w:highlight w:val="none"/>
                <w:lang w:val="en-US" w:eastAsia="zh-CN"/>
              </w:rPr>
              <w:t>宋鹏</w:t>
            </w:r>
          </w:p>
        </w:tc>
        <w:tc>
          <w:tcPr>
            <w:tcW w:w="1268" w:type="dxa"/>
            <w:shd w:val="clear" w:color="auto" w:fill="auto"/>
            <w:vAlign w:val="center"/>
          </w:tcPr>
          <w:p w14:paraId="164DB7BC">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653C2CC8">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rPr>
              <w:t>经营副</w:t>
            </w:r>
            <w:r>
              <w:rPr>
                <w:rFonts w:hint="eastAsia" w:ascii="Times New Roman" w:hAnsi="Times New Roman" w:eastAsia="宋体" w:cs="Times New Roman"/>
                <w:color w:val="auto"/>
                <w:spacing w:val="20"/>
                <w:sz w:val="21"/>
                <w:szCs w:val="21"/>
                <w:highlight w:val="none"/>
                <w:lang w:eastAsia="zh-CN"/>
              </w:rPr>
              <w:t>总经理</w:t>
            </w:r>
          </w:p>
        </w:tc>
        <w:tc>
          <w:tcPr>
            <w:tcW w:w="884" w:type="pct"/>
            <w:shd w:val="clear" w:color="auto" w:fill="auto"/>
            <w:vAlign w:val="center"/>
          </w:tcPr>
          <w:p w14:paraId="6814A872">
            <w:pPr>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3"/>
                <w:highlight w:val="none"/>
              </w:rPr>
              <w:t>18853868733</w:t>
            </w:r>
          </w:p>
        </w:tc>
        <w:tc>
          <w:tcPr>
            <w:tcW w:w="944" w:type="pct"/>
            <w:shd w:val="clear" w:color="auto" w:fill="auto"/>
            <w:vAlign w:val="center"/>
          </w:tcPr>
          <w:p w14:paraId="416D533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999216</w:t>
            </w:r>
          </w:p>
        </w:tc>
      </w:tr>
      <w:tr w14:paraId="352F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111B76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9</w:t>
            </w:r>
          </w:p>
        </w:tc>
        <w:tc>
          <w:tcPr>
            <w:tcW w:w="573" w:type="pct"/>
            <w:shd w:val="clear" w:color="auto" w:fill="auto"/>
            <w:vAlign w:val="center"/>
          </w:tcPr>
          <w:p w14:paraId="17B1F0C5">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15"/>
                <w:sz w:val="21"/>
                <w:szCs w:val="21"/>
                <w:highlight w:val="none"/>
                <w:lang w:val="en-US" w:eastAsia="zh-CN"/>
              </w:rPr>
              <w:t>梁利飞</w:t>
            </w:r>
          </w:p>
        </w:tc>
        <w:tc>
          <w:tcPr>
            <w:tcW w:w="1268" w:type="dxa"/>
            <w:shd w:val="clear" w:color="auto" w:fill="auto"/>
            <w:vAlign w:val="center"/>
          </w:tcPr>
          <w:p w14:paraId="0886BFB6">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48A19837">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8"/>
                <w:sz w:val="21"/>
                <w:szCs w:val="21"/>
                <w:highlight w:val="none"/>
              </w:rPr>
              <w:t>后勤副</w:t>
            </w:r>
            <w:r>
              <w:rPr>
                <w:rFonts w:hint="eastAsia" w:ascii="Times New Roman" w:hAnsi="Times New Roman" w:eastAsia="宋体" w:cs="Times New Roman"/>
                <w:color w:val="auto"/>
                <w:spacing w:val="28"/>
                <w:sz w:val="21"/>
                <w:szCs w:val="21"/>
                <w:highlight w:val="none"/>
                <w:lang w:eastAsia="zh-CN"/>
              </w:rPr>
              <w:t>总经理</w:t>
            </w:r>
          </w:p>
        </w:tc>
        <w:tc>
          <w:tcPr>
            <w:tcW w:w="884" w:type="pct"/>
            <w:shd w:val="clear" w:color="auto" w:fill="auto"/>
            <w:vAlign w:val="center"/>
          </w:tcPr>
          <w:p w14:paraId="27DCAA95">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13789476817</w:t>
            </w:r>
          </w:p>
        </w:tc>
        <w:tc>
          <w:tcPr>
            <w:tcW w:w="944" w:type="pct"/>
            <w:shd w:val="clear" w:color="auto" w:fill="auto"/>
            <w:vAlign w:val="center"/>
          </w:tcPr>
          <w:p w14:paraId="5EA85FE8">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999417</w:t>
            </w:r>
          </w:p>
        </w:tc>
      </w:tr>
      <w:tr w14:paraId="4958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AE0966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10</w:t>
            </w:r>
          </w:p>
        </w:tc>
        <w:tc>
          <w:tcPr>
            <w:tcW w:w="573" w:type="pct"/>
            <w:shd w:val="clear" w:color="auto" w:fill="auto"/>
            <w:vAlign w:val="center"/>
          </w:tcPr>
          <w:p w14:paraId="3808F283">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14"/>
                <w:sz w:val="21"/>
                <w:szCs w:val="21"/>
                <w:highlight w:val="none"/>
              </w:rPr>
              <w:t>史华伟</w:t>
            </w:r>
          </w:p>
        </w:tc>
        <w:tc>
          <w:tcPr>
            <w:tcW w:w="1268" w:type="dxa"/>
            <w:shd w:val="clear" w:color="auto" w:fill="auto"/>
            <w:vAlign w:val="center"/>
          </w:tcPr>
          <w:p w14:paraId="05E18269">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1"/>
                <w:sz w:val="21"/>
                <w:szCs w:val="21"/>
                <w:highlight w:val="none"/>
              </w:rPr>
              <w:t>副总指挥</w:t>
            </w:r>
          </w:p>
        </w:tc>
        <w:tc>
          <w:tcPr>
            <w:tcW w:w="1440" w:type="pct"/>
            <w:shd w:val="clear" w:color="auto" w:fill="auto"/>
            <w:vAlign w:val="center"/>
          </w:tcPr>
          <w:p w14:paraId="3D1AD0A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0"/>
                <w:sz w:val="21"/>
                <w:szCs w:val="21"/>
                <w:highlight w:val="none"/>
              </w:rPr>
              <w:t>机电副</w:t>
            </w:r>
            <w:r>
              <w:rPr>
                <w:rFonts w:hint="eastAsia" w:ascii="Times New Roman" w:hAnsi="Times New Roman" w:eastAsia="宋体" w:cs="Times New Roman"/>
                <w:color w:val="auto"/>
                <w:spacing w:val="30"/>
                <w:sz w:val="21"/>
                <w:szCs w:val="21"/>
                <w:highlight w:val="none"/>
                <w:lang w:eastAsia="zh-CN"/>
              </w:rPr>
              <w:t>总经理</w:t>
            </w:r>
          </w:p>
        </w:tc>
        <w:tc>
          <w:tcPr>
            <w:tcW w:w="884" w:type="pct"/>
            <w:shd w:val="clear" w:color="auto" w:fill="auto"/>
            <w:vAlign w:val="center"/>
          </w:tcPr>
          <w:p w14:paraId="44B2A8DB">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13562818219</w:t>
            </w:r>
          </w:p>
        </w:tc>
        <w:tc>
          <w:tcPr>
            <w:tcW w:w="944" w:type="pct"/>
            <w:shd w:val="clear" w:color="auto" w:fill="auto"/>
            <w:vAlign w:val="center"/>
          </w:tcPr>
          <w:p w14:paraId="15B45DD5">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999348</w:t>
            </w:r>
          </w:p>
        </w:tc>
      </w:tr>
      <w:tr w14:paraId="0C70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39AAC646">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11</w:t>
            </w:r>
          </w:p>
        </w:tc>
        <w:tc>
          <w:tcPr>
            <w:tcW w:w="573" w:type="pct"/>
            <w:shd w:val="clear" w:color="auto" w:fill="auto"/>
            <w:vAlign w:val="center"/>
          </w:tcPr>
          <w:p w14:paraId="30DB56A7">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rPr>
              <w:t>巩振刚</w:t>
            </w:r>
          </w:p>
        </w:tc>
        <w:tc>
          <w:tcPr>
            <w:tcW w:w="1268" w:type="dxa"/>
            <w:shd w:val="clear" w:color="auto" w:fill="auto"/>
            <w:vAlign w:val="center"/>
          </w:tcPr>
          <w:p w14:paraId="7A117F7F">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7B3E421F">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8"/>
                <w:sz w:val="21"/>
                <w:szCs w:val="21"/>
                <w:highlight w:val="none"/>
              </w:rPr>
              <w:t>机电副总</w:t>
            </w:r>
          </w:p>
        </w:tc>
        <w:tc>
          <w:tcPr>
            <w:tcW w:w="884" w:type="pct"/>
            <w:shd w:val="clear" w:color="auto" w:fill="auto"/>
            <w:vAlign w:val="center"/>
          </w:tcPr>
          <w:p w14:paraId="591D3E23">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13255480123</w:t>
            </w:r>
          </w:p>
        </w:tc>
        <w:tc>
          <w:tcPr>
            <w:tcW w:w="944" w:type="pct"/>
            <w:shd w:val="clear" w:color="auto" w:fill="auto"/>
            <w:vAlign w:val="center"/>
          </w:tcPr>
          <w:p w14:paraId="50C98A34">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999485</w:t>
            </w:r>
          </w:p>
        </w:tc>
      </w:tr>
      <w:tr w14:paraId="004B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4804D1FF">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12</w:t>
            </w:r>
          </w:p>
        </w:tc>
        <w:tc>
          <w:tcPr>
            <w:tcW w:w="573" w:type="pct"/>
            <w:shd w:val="clear" w:color="auto" w:fill="auto"/>
            <w:vAlign w:val="center"/>
          </w:tcPr>
          <w:p w14:paraId="4670C036">
            <w:pPr>
              <w:pStyle w:val="62"/>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21"/>
                <w:sz w:val="21"/>
                <w:szCs w:val="21"/>
                <w:highlight w:val="none"/>
              </w:rPr>
              <w:t>陈俊魁</w:t>
            </w:r>
          </w:p>
        </w:tc>
        <w:tc>
          <w:tcPr>
            <w:tcW w:w="1268" w:type="dxa"/>
            <w:shd w:val="clear" w:color="auto" w:fill="auto"/>
            <w:vAlign w:val="center"/>
          </w:tcPr>
          <w:p w14:paraId="76B229B9">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54DCB13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8"/>
                <w:sz w:val="21"/>
                <w:szCs w:val="21"/>
                <w:highlight w:val="none"/>
              </w:rPr>
              <w:t>通防副总</w:t>
            </w:r>
          </w:p>
        </w:tc>
        <w:tc>
          <w:tcPr>
            <w:tcW w:w="884" w:type="pct"/>
            <w:shd w:val="clear" w:color="auto" w:fill="auto"/>
            <w:vAlign w:val="center"/>
          </w:tcPr>
          <w:p w14:paraId="50462DF2">
            <w:pPr>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3"/>
                <w:highlight w:val="none"/>
              </w:rPr>
              <w:t>15704921123</w:t>
            </w:r>
          </w:p>
        </w:tc>
        <w:tc>
          <w:tcPr>
            <w:tcW w:w="944" w:type="pct"/>
            <w:shd w:val="clear" w:color="auto" w:fill="auto"/>
            <w:vAlign w:val="center"/>
          </w:tcPr>
          <w:p w14:paraId="37909DF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999289</w:t>
            </w:r>
          </w:p>
        </w:tc>
      </w:tr>
      <w:tr w14:paraId="0841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1E89603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13</w:t>
            </w:r>
          </w:p>
        </w:tc>
        <w:tc>
          <w:tcPr>
            <w:tcW w:w="573" w:type="pct"/>
            <w:shd w:val="clear" w:color="auto" w:fill="auto"/>
            <w:vAlign w:val="center"/>
          </w:tcPr>
          <w:p w14:paraId="7FCA4214">
            <w:pPr>
              <w:pStyle w:val="62"/>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18"/>
                <w:sz w:val="21"/>
                <w:szCs w:val="21"/>
                <w:highlight w:val="none"/>
              </w:rPr>
              <w:t>郭汉青</w:t>
            </w:r>
          </w:p>
        </w:tc>
        <w:tc>
          <w:tcPr>
            <w:tcW w:w="1268" w:type="dxa"/>
            <w:shd w:val="clear" w:color="auto" w:fill="auto"/>
            <w:vAlign w:val="center"/>
          </w:tcPr>
          <w:p w14:paraId="3E23207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6113A6F6">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8"/>
                <w:sz w:val="21"/>
                <w:szCs w:val="21"/>
                <w:highlight w:val="none"/>
              </w:rPr>
              <w:t>掘进副总</w:t>
            </w:r>
          </w:p>
        </w:tc>
        <w:tc>
          <w:tcPr>
            <w:tcW w:w="884" w:type="pct"/>
            <w:shd w:val="clear" w:color="auto" w:fill="auto"/>
            <w:vAlign w:val="center"/>
          </w:tcPr>
          <w:p w14:paraId="40388EFB">
            <w:pPr>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4"/>
                <w:highlight w:val="none"/>
              </w:rPr>
              <w:t>18253869707</w:t>
            </w:r>
          </w:p>
        </w:tc>
        <w:tc>
          <w:tcPr>
            <w:tcW w:w="944" w:type="pct"/>
            <w:shd w:val="clear" w:color="auto" w:fill="auto"/>
            <w:vAlign w:val="center"/>
          </w:tcPr>
          <w:p w14:paraId="4399885D">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999298</w:t>
            </w:r>
          </w:p>
        </w:tc>
      </w:tr>
      <w:tr w14:paraId="19D2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E14EA7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14</w:t>
            </w:r>
          </w:p>
        </w:tc>
        <w:tc>
          <w:tcPr>
            <w:tcW w:w="573" w:type="pct"/>
            <w:shd w:val="clear" w:color="auto" w:fill="auto"/>
            <w:vAlign w:val="center"/>
          </w:tcPr>
          <w:p w14:paraId="284B260F">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10"/>
                <w:sz w:val="21"/>
                <w:szCs w:val="21"/>
                <w:highlight w:val="none"/>
              </w:rPr>
              <w:t>李光富</w:t>
            </w:r>
          </w:p>
        </w:tc>
        <w:tc>
          <w:tcPr>
            <w:tcW w:w="1268" w:type="dxa"/>
            <w:shd w:val="clear" w:color="auto" w:fill="auto"/>
            <w:vAlign w:val="center"/>
          </w:tcPr>
          <w:p w14:paraId="2308F78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289ED6E4">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2"/>
                <w:sz w:val="21"/>
                <w:szCs w:val="21"/>
                <w:highlight w:val="none"/>
              </w:rPr>
              <w:t>安全副总</w:t>
            </w:r>
          </w:p>
        </w:tc>
        <w:tc>
          <w:tcPr>
            <w:tcW w:w="884" w:type="pct"/>
            <w:shd w:val="clear" w:color="auto" w:fill="auto"/>
            <w:vAlign w:val="center"/>
          </w:tcPr>
          <w:p w14:paraId="67B6CCC6">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18766107118</w:t>
            </w:r>
          </w:p>
        </w:tc>
        <w:tc>
          <w:tcPr>
            <w:tcW w:w="944" w:type="pct"/>
            <w:shd w:val="clear" w:color="auto" w:fill="auto"/>
            <w:vAlign w:val="center"/>
          </w:tcPr>
          <w:p w14:paraId="488A0DA7">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999271</w:t>
            </w:r>
          </w:p>
        </w:tc>
      </w:tr>
      <w:tr w14:paraId="4C80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288C26F">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15</w:t>
            </w:r>
          </w:p>
        </w:tc>
        <w:tc>
          <w:tcPr>
            <w:tcW w:w="573" w:type="pct"/>
            <w:shd w:val="clear" w:color="auto" w:fill="auto"/>
            <w:vAlign w:val="center"/>
          </w:tcPr>
          <w:p w14:paraId="5B1B8F1D">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lang w:eastAsia="zh-CN"/>
              </w:rPr>
              <w:t>巩庆刚</w:t>
            </w:r>
          </w:p>
        </w:tc>
        <w:tc>
          <w:tcPr>
            <w:tcW w:w="1268" w:type="dxa"/>
            <w:shd w:val="clear" w:color="auto" w:fill="auto"/>
            <w:vAlign w:val="center"/>
          </w:tcPr>
          <w:p w14:paraId="6C2568D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lang w:eastAsia="zh-CN"/>
              </w:rPr>
              <w:t>成员</w:t>
            </w:r>
          </w:p>
        </w:tc>
        <w:tc>
          <w:tcPr>
            <w:tcW w:w="1440" w:type="pct"/>
            <w:shd w:val="clear" w:color="auto" w:fill="auto"/>
            <w:vAlign w:val="center"/>
          </w:tcPr>
          <w:p w14:paraId="2B1E7760">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2"/>
                <w:sz w:val="21"/>
                <w:szCs w:val="21"/>
                <w:highlight w:val="none"/>
                <w:lang w:eastAsia="zh-CN"/>
              </w:rPr>
              <w:t>采煤副总</w:t>
            </w:r>
          </w:p>
        </w:tc>
        <w:tc>
          <w:tcPr>
            <w:tcW w:w="884" w:type="pct"/>
            <w:shd w:val="clear" w:color="auto" w:fill="auto"/>
            <w:vAlign w:val="center"/>
          </w:tcPr>
          <w:p w14:paraId="2DF02075">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18253866879</w:t>
            </w:r>
          </w:p>
        </w:tc>
        <w:tc>
          <w:tcPr>
            <w:tcW w:w="944" w:type="pct"/>
            <w:shd w:val="clear" w:color="auto" w:fill="auto"/>
            <w:vAlign w:val="center"/>
          </w:tcPr>
          <w:p w14:paraId="669DA7AE">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999316</w:t>
            </w:r>
          </w:p>
        </w:tc>
      </w:tr>
      <w:tr w14:paraId="209C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12C60BB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16</w:t>
            </w:r>
          </w:p>
        </w:tc>
        <w:tc>
          <w:tcPr>
            <w:tcW w:w="573" w:type="pct"/>
            <w:shd w:val="clear" w:color="auto" w:fill="auto"/>
            <w:vAlign w:val="center"/>
          </w:tcPr>
          <w:p w14:paraId="021856A8">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lang w:eastAsia="zh-CN"/>
              </w:rPr>
              <w:t>谢秀伟</w:t>
            </w:r>
          </w:p>
        </w:tc>
        <w:tc>
          <w:tcPr>
            <w:tcW w:w="1268" w:type="dxa"/>
            <w:shd w:val="clear" w:color="auto" w:fill="auto"/>
            <w:vAlign w:val="center"/>
          </w:tcPr>
          <w:p w14:paraId="668FE914">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lang w:eastAsia="zh-CN"/>
              </w:rPr>
              <w:t>成员</w:t>
            </w:r>
          </w:p>
        </w:tc>
        <w:tc>
          <w:tcPr>
            <w:tcW w:w="1440" w:type="pct"/>
            <w:shd w:val="clear" w:color="auto" w:fill="auto"/>
            <w:vAlign w:val="center"/>
          </w:tcPr>
          <w:p w14:paraId="09E60AE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2"/>
                <w:sz w:val="21"/>
                <w:szCs w:val="21"/>
                <w:highlight w:val="none"/>
                <w:lang w:eastAsia="zh-CN"/>
              </w:rPr>
              <w:t>地测副总</w:t>
            </w:r>
          </w:p>
        </w:tc>
        <w:tc>
          <w:tcPr>
            <w:tcW w:w="884" w:type="pct"/>
            <w:shd w:val="clear" w:color="auto" w:fill="auto"/>
            <w:vAlign w:val="center"/>
          </w:tcPr>
          <w:p w14:paraId="03C7A737">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15853870199</w:t>
            </w:r>
          </w:p>
        </w:tc>
        <w:tc>
          <w:tcPr>
            <w:tcW w:w="944" w:type="pct"/>
            <w:shd w:val="clear" w:color="auto" w:fill="auto"/>
            <w:vAlign w:val="center"/>
          </w:tcPr>
          <w:p w14:paraId="6E29C61B">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999438</w:t>
            </w:r>
          </w:p>
        </w:tc>
      </w:tr>
      <w:tr w14:paraId="2AA4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1E08C94">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17</w:t>
            </w:r>
          </w:p>
        </w:tc>
        <w:tc>
          <w:tcPr>
            <w:tcW w:w="573" w:type="pct"/>
            <w:shd w:val="clear" w:color="auto" w:fill="auto"/>
            <w:vAlign w:val="center"/>
          </w:tcPr>
          <w:p w14:paraId="493F1B28">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lang w:eastAsia="zh-CN"/>
              </w:rPr>
              <w:t>成  琦</w:t>
            </w:r>
          </w:p>
        </w:tc>
        <w:tc>
          <w:tcPr>
            <w:tcW w:w="1268" w:type="dxa"/>
            <w:shd w:val="clear" w:color="auto" w:fill="auto"/>
            <w:vAlign w:val="center"/>
          </w:tcPr>
          <w:p w14:paraId="48AB216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lang w:eastAsia="zh-CN"/>
              </w:rPr>
              <w:t>成员</w:t>
            </w:r>
          </w:p>
        </w:tc>
        <w:tc>
          <w:tcPr>
            <w:tcW w:w="1440" w:type="pct"/>
            <w:shd w:val="clear" w:color="auto" w:fill="auto"/>
            <w:vAlign w:val="center"/>
          </w:tcPr>
          <w:p w14:paraId="7C86D61B">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2"/>
                <w:sz w:val="21"/>
                <w:szCs w:val="21"/>
                <w:highlight w:val="none"/>
                <w:lang w:eastAsia="zh-CN"/>
              </w:rPr>
              <w:t>防冲副总</w:t>
            </w:r>
          </w:p>
        </w:tc>
        <w:tc>
          <w:tcPr>
            <w:tcW w:w="884" w:type="pct"/>
            <w:shd w:val="clear" w:color="auto" w:fill="auto"/>
            <w:vAlign w:val="center"/>
          </w:tcPr>
          <w:p w14:paraId="33B2EBDE">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13953861521</w:t>
            </w:r>
          </w:p>
        </w:tc>
        <w:tc>
          <w:tcPr>
            <w:tcW w:w="944" w:type="pct"/>
            <w:shd w:val="clear" w:color="auto" w:fill="auto"/>
            <w:vAlign w:val="center"/>
          </w:tcPr>
          <w:p w14:paraId="649664F7">
            <w:pPr>
              <w:jc w:val="center"/>
              <w:textAlignment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999328</w:t>
            </w:r>
          </w:p>
        </w:tc>
      </w:tr>
      <w:tr w14:paraId="2133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37F8C6C0">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18</w:t>
            </w:r>
          </w:p>
        </w:tc>
        <w:tc>
          <w:tcPr>
            <w:tcW w:w="573" w:type="pct"/>
            <w:shd w:val="clear" w:color="auto" w:fill="auto"/>
            <w:vAlign w:val="center"/>
          </w:tcPr>
          <w:p w14:paraId="298FA98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sz w:val="21"/>
                <w:szCs w:val="21"/>
                <w:highlight w:val="none"/>
              </w:rPr>
              <w:t>陈雪敏</w:t>
            </w:r>
          </w:p>
        </w:tc>
        <w:tc>
          <w:tcPr>
            <w:tcW w:w="1268" w:type="dxa"/>
            <w:shd w:val="clear" w:color="auto" w:fill="auto"/>
            <w:vAlign w:val="center"/>
          </w:tcPr>
          <w:p w14:paraId="03712A0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0811A4FA">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5"/>
                <w:sz w:val="21"/>
                <w:szCs w:val="21"/>
                <w:highlight w:val="none"/>
              </w:rPr>
              <w:t>生产技术部部长</w:t>
            </w:r>
          </w:p>
        </w:tc>
        <w:tc>
          <w:tcPr>
            <w:tcW w:w="884" w:type="pct"/>
            <w:shd w:val="clear" w:color="auto" w:fill="auto"/>
            <w:vAlign w:val="center"/>
          </w:tcPr>
          <w:p w14:paraId="1AA7DD13">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18104848895</w:t>
            </w:r>
          </w:p>
        </w:tc>
        <w:tc>
          <w:tcPr>
            <w:tcW w:w="944" w:type="pct"/>
            <w:shd w:val="clear" w:color="auto" w:fill="auto"/>
            <w:vAlign w:val="center"/>
          </w:tcPr>
          <w:p w14:paraId="5CA6227D">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999275</w:t>
            </w:r>
          </w:p>
        </w:tc>
      </w:tr>
      <w:tr w14:paraId="36DA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351100D2">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19</w:t>
            </w:r>
          </w:p>
        </w:tc>
        <w:tc>
          <w:tcPr>
            <w:tcW w:w="573" w:type="pct"/>
            <w:shd w:val="clear" w:color="auto" w:fill="auto"/>
            <w:vAlign w:val="center"/>
          </w:tcPr>
          <w:p w14:paraId="47405E5E">
            <w:pPr>
              <w:pStyle w:val="62"/>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18"/>
                <w:sz w:val="21"/>
                <w:szCs w:val="21"/>
                <w:highlight w:val="none"/>
              </w:rPr>
              <w:t>安玉伟</w:t>
            </w:r>
          </w:p>
        </w:tc>
        <w:tc>
          <w:tcPr>
            <w:tcW w:w="1268" w:type="dxa"/>
            <w:shd w:val="clear" w:color="auto" w:fill="auto"/>
            <w:vAlign w:val="center"/>
          </w:tcPr>
          <w:p w14:paraId="5339C85B">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358DDAE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6"/>
                <w:sz w:val="21"/>
                <w:szCs w:val="21"/>
                <w:highlight w:val="none"/>
              </w:rPr>
              <w:t>地质测量部</w:t>
            </w:r>
            <w:r>
              <w:rPr>
                <w:rFonts w:hint="default" w:ascii="Times New Roman" w:hAnsi="Times New Roman" w:eastAsia="宋体" w:cs="Times New Roman"/>
                <w:color w:val="auto"/>
                <w:spacing w:val="36"/>
                <w:sz w:val="21"/>
                <w:szCs w:val="21"/>
                <w:highlight w:val="none"/>
                <w:lang w:eastAsia="zh-CN"/>
              </w:rPr>
              <w:t>副</w:t>
            </w:r>
            <w:r>
              <w:rPr>
                <w:rFonts w:hint="default" w:ascii="Times New Roman" w:hAnsi="Times New Roman" w:eastAsia="宋体" w:cs="Times New Roman"/>
                <w:color w:val="auto"/>
                <w:spacing w:val="36"/>
                <w:sz w:val="21"/>
                <w:szCs w:val="21"/>
                <w:highlight w:val="none"/>
              </w:rPr>
              <w:t>部长</w:t>
            </w:r>
          </w:p>
        </w:tc>
        <w:tc>
          <w:tcPr>
            <w:tcW w:w="884" w:type="pct"/>
            <w:shd w:val="clear" w:color="auto" w:fill="auto"/>
            <w:vAlign w:val="center"/>
          </w:tcPr>
          <w:p w14:paraId="120910C2">
            <w:pPr>
              <w:jc w:val="center"/>
              <w:rPr>
                <w:rFonts w:hint="eastAsia" w:ascii="仿宋" w:hAnsi="仿宋" w:eastAsia="仿宋" w:cs="宋体"/>
                <w:color w:val="auto"/>
                <w:kern w:val="0"/>
                <w:sz w:val="24"/>
                <w:highlight w:val="none"/>
                <w:lang w:eastAsia="zh-CN" w:bidi="ar"/>
              </w:rPr>
            </w:pPr>
            <w:r>
              <w:rPr>
                <w:rFonts w:hint="default" w:ascii="Times New Roman" w:hAnsi="Times New Roman" w:eastAsia="宋体" w:cs="Times New Roman"/>
                <w:color w:val="auto"/>
                <w:spacing w:val="3"/>
                <w:highlight w:val="none"/>
              </w:rPr>
              <w:t>13848471695</w:t>
            </w:r>
          </w:p>
        </w:tc>
        <w:tc>
          <w:tcPr>
            <w:tcW w:w="944" w:type="pct"/>
            <w:shd w:val="clear" w:color="auto" w:fill="auto"/>
            <w:vAlign w:val="center"/>
          </w:tcPr>
          <w:p w14:paraId="4DD19AC5">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999265</w:t>
            </w:r>
          </w:p>
        </w:tc>
      </w:tr>
      <w:tr w14:paraId="2813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3E4032CB">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20</w:t>
            </w:r>
          </w:p>
        </w:tc>
        <w:tc>
          <w:tcPr>
            <w:tcW w:w="573" w:type="pct"/>
            <w:shd w:val="clear" w:color="auto" w:fill="auto"/>
            <w:vAlign w:val="center"/>
          </w:tcPr>
          <w:p w14:paraId="2DE997A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0"/>
                <w:sz w:val="21"/>
                <w:szCs w:val="21"/>
                <w:highlight w:val="none"/>
              </w:rPr>
              <w:t>惠张宾</w:t>
            </w:r>
          </w:p>
        </w:tc>
        <w:tc>
          <w:tcPr>
            <w:tcW w:w="1268" w:type="dxa"/>
            <w:shd w:val="clear" w:color="auto" w:fill="auto"/>
            <w:vAlign w:val="center"/>
          </w:tcPr>
          <w:p w14:paraId="69CE3AF3">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561A00F9">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z w:val="21"/>
                <w:szCs w:val="21"/>
                <w:highlight w:val="none"/>
                <w:lang w:eastAsia="zh-CN"/>
              </w:rPr>
              <w:t>通防管理部部长</w:t>
            </w:r>
          </w:p>
        </w:tc>
        <w:tc>
          <w:tcPr>
            <w:tcW w:w="884" w:type="pct"/>
            <w:shd w:val="clear" w:color="auto" w:fill="auto"/>
            <w:vAlign w:val="center"/>
          </w:tcPr>
          <w:p w14:paraId="4AEAF4FD">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15661861621</w:t>
            </w:r>
          </w:p>
        </w:tc>
        <w:tc>
          <w:tcPr>
            <w:tcW w:w="944" w:type="pct"/>
            <w:shd w:val="clear" w:color="auto" w:fill="auto"/>
            <w:vAlign w:val="center"/>
          </w:tcPr>
          <w:p w14:paraId="61E1C689">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999286</w:t>
            </w:r>
          </w:p>
        </w:tc>
      </w:tr>
      <w:tr w14:paraId="75BD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29EC200F">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21</w:t>
            </w:r>
          </w:p>
        </w:tc>
        <w:tc>
          <w:tcPr>
            <w:tcW w:w="573" w:type="pct"/>
            <w:shd w:val="clear" w:color="auto" w:fill="auto"/>
            <w:vAlign w:val="center"/>
          </w:tcPr>
          <w:p w14:paraId="054DD3B8">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10"/>
                <w:sz w:val="21"/>
                <w:szCs w:val="21"/>
                <w:highlight w:val="none"/>
                <w:lang w:val="en-US" w:eastAsia="zh-CN"/>
              </w:rPr>
              <w:t>刘业兵</w:t>
            </w:r>
          </w:p>
        </w:tc>
        <w:tc>
          <w:tcPr>
            <w:tcW w:w="1268" w:type="dxa"/>
            <w:shd w:val="clear" w:color="auto" w:fill="auto"/>
            <w:vAlign w:val="center"/>
          </w:tcPr>
          <w:p w14:paraId="7097EEC0">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6FB87C7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8"/>
                <w:sz w:val="21"/>
                <w:szCs w:val="21"/>
                <w:highlight w:val="none"/>
              </w:rPr>
              <w:t>调度</w:t>
            </w:r>
            <w:r>
              <w:rPr>
                <w:rFonts w:hint="default" w:ascii="Times New Roman" w:hAnsi="Times New Roman" w:eastAsia="宋体" w:cs="Times New Roman"/>
                <w:color w:val="auto"/>
                <w:spacing w:val="8"/>
                <w:sz w:val="21"/>
                <w:szCs w:val="21"/>
                <w:highlight w:val="none"/>
                <w:lang w:eastAsia="zh-CN"/>
              </w:rPr>
              <w:t>室主任</w:t>
            </w:r>
          </w:p>
        </w:tc>
        <w:tc>
          <w:tcPr>
            <w:tcW w:w="884" w:type="pct"/>
            <w:shd w:val="clear" w:color="auto" w:fill="auto"/>
            <w:vAlign w:val="center"/>
          </w:tcPr>
          <w:p w14:paraId="7720DF83">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3"/>
                <w:highlight w:val="none"/>
                <w:lang w:val="en-US" w:eastAsia="zh-CN"/>
              </w:rPr>
              <w:t>18253869967</w:t>
            </w:r>
          </w:p>
        </w:tc>
        <w:tc>
          <w:tcPr>
            <w:tcW w:w="944" w:type="pct"/>
            <w:shd w:val="clear" w:color="auto" w:fill="auto"/>
            <w:vAlign w:val="center"/>
          </w:tcPr>
          <w:p w14:paraId="07626C87">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999213</w:t>
            </w:r>
          </w:p>
        </w:tc>
      </w:tr>
      <w:tr w14:paraId="451D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4E720F31">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22</w:t>
            </w:r>
          </w:p>
        </w:tc>
        <w:tc>
          <w:tcPr>
            <w:tcW w:w="573" w:type="pct"/>
            <w:shd w:val="clear" w:color="auto" w:fill="auto"/>
            <w:vAlign w:val="center"/>
          </w:tcPr>
          <w:p w14:paraId="2A3E98C1">
            <w:pPr>
              <w:pStyle w:val="62"/>
              <w:jc w:val="center"/>
              <w:rPr>
                <w:rFonts w:hint="eastAsia" w:ascii="仿宋" w:hAnsi="仿宋" w:eastAsia="仿宋" w:cs="宋体"/>
                <w:color w:val="auto"/>
                <w:kern w:val="0"/>
                <w:sz w:val="24"/>
                <w:highlight w:val="none"/>
                <w:lang w:eastAsia="zh-CN" w:bidi="ar"/>
              </w:rPr>
            </w:pPr>
            <w:r>
              <w:rPr>
                <w:rFonts w:hint="eastAsia" w:ascii="Times New Roman" w:hAnsi="Times New Roman" w:eastAsia="宋体" w:cs="Times New Roman"/>
                <w:color w:val="auto"/>
                <w:spacing w:val="10"/>
                <w:sz w:val="21"/>
                <w:szCs w:val="21"/>
                <w:highlight w:val="none"/>
                <w:lang w:val="en-US" w:eastAsia="zh-CN"/>
              </w:rPr>
              <w:t>田吉伟</w:t>
            </w:r>
          </w:p>
        </w:tc>
        <w:tc>
          <w:tcPr>
            <w:tcW w:w="1268" w:type="dxa"/>
            <w:shd w:val="clear" w:color="auto" w:fill="auto"/>
            <w:vAlign w:val="center"/>
          </w:tcPr>
          <w:p w14:paraId="3FB793A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399295B0">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8"/>
                <w:sz w:val="21"/>
                <w:szCs w:val="21"/>
                <w:highlight w:val="none"/>
                <w:lang w:val="en-US" w:eastAsia="zh-CN"/>
              </w:rPr>
              <w:t>机电管理部主任</w:t>
            </w:r>
          </w:p>
        </w:tc>
        <w:tc>
          <w:tcPr>
            <w:tcW w:w="884" w:type="pct"/>
            <w:shd w:val="clear" w:color="auto" w:fill="auto"/>
            <w:vAlign w:val="center"/>
          </w:tcPr>
          <w:p w14:paraId="0EBFD20C">
            <w:pPr>
              <w:jc w:val="center"/>
              <w:rPr>
                <w:rFonts w:hint="eastAsia" w:ascii="仿宋" w:hAnsi="仿宋" w:eastAsia="仿宋" w:cs="宋体"/>
                <w:color w:val="auto"/>
                <w:kern w:val="0"/>
                <w:sz w:val="24"/>
                <w:highlight w:val="none"/>
                <w:lang w:eastAsia="zh-CN" w:bidi="ar"/>
              </w:rPr>
            </w:pPr>
            <w:r>
              <w:rPr>
                <w:rFonts w:hint="eastAsia" w:ascii="Times New Roman" w:hAnsi="Times New Roman" w:eastAsia="宋体" w:cs="Times New Roman"/>
                <w:color w:val="auto"/>
                <w:spacing w:val="3"/>
                <w:highlight w:val="none"/>
                <w:lang w:val="en-US" w:eastAsia="zh-CN"/>
              </w:rPr>
              <w:t>13792120828</w:t>
            </w:r>
          </w:p>
        </w:tc>
        <w:tc>
          <w:tcPr>
            <w:tcW w:w="944" w:type="pct"/>
            <w:shd w:val="clear" w:color="auto" w:fill="auto"/>
            <w:vAlign w:val="center"/>
          </w:tcPr>
          <w:p w14:paraId="4BC5EC48">
            <w:pPr>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2"/>
                <w:highlight w:val="none"/>
                <w:lang w:val="en-US" w:eastAsia="zh-CN"/>
              </w:rPr>
              <w:t>999230</w:t>
            </w:r>
          </w:p>
        </w:tc>
      </w:tr>
      <w:tr w14:paraId="557D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0D5D1F0F">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23</w:t>
            </w:r>
          </w:p>
        </w:tc>
        <w:tc>
          <w:tcPr>
            <w:tcW w:w="573" w:type="pct"/>
            <w:shd w:val="clear" w:color="auto" w:fill="auto"/>
            <w:vAlign w:val="center"/>
          </w:tcPr>
          <w:p w14:paraId="1C9F8535">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lang w:eastAsia="zh-CN"/>
              </w:rPr>
              <w:t>于雷</w:t>
            </w:r>
          </w:p>
        </w:tc>
        <w:tc>
          <w:tcPr>
            <w:tcW w:w="1268" w:type="dxa"/>
            <w:shd w:val="clear" w:color="auto" w:fill="auto"/>
            <w:vAlign w:val="center"/>
          </w:tcPr>
          <w:p w14:paraId="365575F5">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54DE510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6"/>
                <w:sz w:val="21"/>
                <w:szCs w:val="21"/>
                <w:highlight w:val="none"/>
              </w:rPr>
              <w:t>综合</w:t>
            </w:r>
            <w:r>
              <w:rPr>
                <w:rFonts w:hint="default" w:ascii="Times New Roman" w:hAnsi="Times New Roman" w:eastAsia="宋体" w:cs="Times New Roman"/>
                <w:color w:val="auto"/>
                <w:spacing w:val="36"/>
                <w:sz w:val="21"/>
                <w:szCs w:val="21"/>
                <w:highlight w:val="none"/>
                <w:lang w:eastAsia="zh-CN"/>
              </w:rPr>
              <w:t>办公室部长</w:t>
            </w:r>
          </w:p>
        </w:tc>
        <w:tc>
          <w:tcPr>
            <w:tcW w:w="884" w:type="pct"/>
            <w:shd w:val="clear" w:color="auto" w:fill="auto"/>
            <w:vAlign w:val="center"/>
          </w:tcPr>
          <w:p w14:paraId="5258432A">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15053869112</w:t>
            </w:r>
          </w:p>
        </w:tc>
        <w:tc>
          <w:tcPr>
            <w:tcW w:w="944" w:type="pct"/>
            <w:shd w:val="clear" w:color="auto" w:fill="auto"/>
            <w:vAlign w:val="center"/>
          </w:tcPr>
          <w:p w14:paraId="0BF45313">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247</w:t>
            </w:r>
          </w:p>
        </w:tc>
      </w:tr>
      <w:tr w14:paraId="6E70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51C76469">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24</w:t>
            </w:r>
          </w:p>
        </w:tc>
        <w:tc>
          <w:tcPr>
            <w:tcW w:w="573" w:type="pct"/>
            <w:shd w:val="clear" w:color="auto" w:fill="auto"/>
            <w:vAlign w:val="center"/>
          </w:tcPr>
          <w:p w14:paraId="2C60D688">
            <w:pPr>
              <w:pStyle w:val="62"/>
              <w:jc w:val="center"/>
              <w:rPr>
                <w:rFonts w:ascii="仿宋" w:hAnsi="仿宋" w:eastAsia="仿宋" w:cs="宋体"/>
                <w:color w:val="auto"/>
                <w:kern w:val="0"/>
                <w:sz w:val="24"/>
                <w:highlight w:val="none"/>
                <w:lang w:bidi="ar"/>
              </w:rPr>
            </w:pPr>
            <w:r>
              <w:rPr>
                <w:rFonts w:hint="eastAsia" w:ascii="Times New Roman" w:hAnsi="Times New Roman" w:eastAsia="宋体" w:cs="Times New Roman"/>
                <w:color w:val="auto"/>
                <w:spacing w:val="17"/>
                <w:sz w:val="21"/>
                <w:szCs w:val="21"/>
                <w:highlight w:val="none"/>
                <w:lang w:val="en-US" w:eastAsia="zh-CN"/>
              </w:rPr>
              <w:t>韩超</w:t>
            </w:r>
          </w:p>
        </w:tc>
        <w:tc>
          <w:tcPr>
            <w:tcW w:w="1268" w:type="dxa"/>
            <w:shd w:val="clear" w:color="auto" w:fill="auto"/>
            <w:vAlign w:val="center"/>
          </w:tcPr>
          <w:p w14:paraId="5E62966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5AA7830D">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5"/>
                <w:sz w:val="21"/>
                <w:szCs w:val="21"/>
                <w:highlight w:val="none"/>
              </w:rPr>
              <w:t>运营管理部主任</w:t>
            </w:r>
          </w:p>
        </w:tc>
        <w:tc>
          <w:tcPr>
            <w:tcW w:w="884" w:type="pct"/>
            <w:shd w:val="clear" w:color="auto" w:fill="auto"/>
            <w:vAlign w:val="center"/>
          </w:tcPr>
          <w:p w14:paraId="3D1FC571">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15053868578</w:t>
            </w:r>
          </w:p>
        </w:tc>
        <w:tc>
          <w:tcPr>
            <w:tcW w:w="944" w:type="pct"/>
            <w:shd w:val="clear" w:color="auto" w:fill="auto"/>
            <w:vAlign w:val="center"/>
          </w:tcPr>
          <w:p w14:paraId="3121BC9E">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999398</w:t>
            </w:r>
          </w:p>
        </w:tc>
      </w:tr>
      <w:tr w14:paraId="6023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22506262">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25</w:t>
            </w:r>
          </w:p>
        </w:tc>
        <w:tc>
          <w:tcPr>
            <w:tcW w:w="573" w:type="pct"/>
            <w:shd w:val="clear" w:color="auto" w:fill="auto"/>
            <w:vAlign w:val="center"/>
          </w:tcPr>
          <w:p w14:paraId="5A185648">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王正权</w:t>
            </w:r>
          </w:p>
        </w:tc>
        <w:tc>
          <w:tcPr>
            <w:tcW w:w="1268" w:type="dxa"/>
            <w:shd w:val="clear" w:color="auto" w:fill="auto"/>
            <w:vAlign w:val="center"/>
          </w:tcPr>
          <w:p w14:paraId="7784538E">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795F4A1B">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5"/>
                <w:sz w:val="21"/>
                <w:szCs w:val="21"/>
                <w:highlight w:val="none"/>
              </w:rPr>
              <w:t>治安保障中心</w:t>
            </w:r>
          </w:p>
        </w:tc>
        <w:tc>
          <w:tcPr>
            <w:tcW w:w="884" w:type="pct"/>
            <w:shd w:val="clear" w:color="auto" w:fill="auto"/>
            <w:vAlign w:val="center"/>
          </w:tcPr>
          <w:p w14:paraId="76FCC2DF">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13697818577</w:t>
            </w:r>
          </w:p>
        </w:tc>
        <w:tc>
          <w:tcPr>
            <w:tcW w:w="944" w:type="pct"/>
            <w:shd w:val="clear" w:color="auto" w:fill="auto"/>
            <w:vAlign w:val="center"/>
          </w:tcPr>
          <w:p w14:paraId="51BFFB34">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210</w:t>
            </w:r>
          </w:p>
        </w:tc>
      </w:tr>
      <w:tr w14:paraId="053E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2022F2D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26</w:t>
            </w:r>
          </w:p>
        </w:tc>
        <w:tc>
          <w:tcPr>
            <w:tcW w:w="573" w:type="pct"/>
            <w:shd w:val="clear" w:color="auto" w:fill="auto"/>
            <w:vAlign w:val="center"/>
          </w:tcPr>
          <w:p w14:paraId="7647219F">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lang w:eastAsia="zh-CN"/>
              </w:rPr>
              <w:t>秦强</w:t>
            </w:r>
          </w:p>
        </w:tc>
        <w:tc>
          <w:tcPr>
            <w:tcW w:w="1268" w:type="dxa"/>
            <w:shd w:val="clear" w:color="auto" w:fill="auto"/>
            <w:vAlign w:val="center"/>
          </w:tcPr>
          <w:p w14:paraId="792F7A42">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7FD06E91">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9"/>
                <w:sz w:val="21"/>
                <w:szCs w:val="21"/>
                <w:highlight w:val="none"/>
                <w:lang w:eastAsia="zh-CN"/>
              </w:rPr>
              <w:t>冲击地压防控中心副主</w:t>
            </w:r>
            <w:r>
              <w:rPr>
                <w:rFonts w:hint="default" w:ascii="Times New Roman" w:hAnsi="Times New Roman" w:eastAsia="宋体" w:cs="Times New Roman"/>
                <w:color w:val="auto"/>
                <w:sz w:val="21"/>
                <w:szCs w:val="21"/>
                <w:highlight w:val="none"/>
                <w:lang w:eastAsia="zh-CN"/>
              </w:rPr>
              <w:t>任</w:t>
            </w:r>
          </w:p>
        </w:tc>
        <w:tc>
          <w:tcPr>
            <w:tcW w:w="884" w:type="pct"/>
            <w:shd w:val="clear" w:color="auto" w:fill="auto"/>
            <w:vAlign w:val="center"/>
          </w:tcPr>
          <w:p w14:paraId="23AF33F4">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18300405356</w:t>
            </w:r>
          </w:p>
        </w:tc>
        <w:tc>
          <w:tcPr>
            <w:tcW w:w="944" w:type="pct"/>
            <w:shd w:val="clear" w:color="auto" w:fill="auto"/>
            <w:vAlign w:val="center"/>
          </w:tcPr>
          <w:p w14:paraId="6A12C17A">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w:t>
            </w:r>
            <w:r>
              <w:rPr>
                <w:rFonts w:hint="default" w:ascii="Times New Roman" w:hAnsi="Times New Roman" w:eastAsia="宋体" w:cs="Times New Roman"/>
                <w:color w:val="auto"/>
                <w:spacing w:val="2"/>
                <w:highlight w:val="none"/>
                <w:lang w:eastAsia="zh-CN"/>
              </w:rPr>
              <w:t>407</w:t>
            </w:r>
          </w:p>
        </w:tc>
      </w:tr>
      <w:tr w14:paraId="6372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468610BD">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27</w:t>
            </w:r>
          </w:p>
        </w:tc>
        <w:tc>
          <w:tcPr>
            <w:tcW w:w="573" w:type="pct"/>
            <w:shd w:val="clear" w:color="auto" w:fill="auto"/>
            <w:vAlign w:val="center"/>
          </w:tcPr>
          <w:p w14:paraId="770946A6">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z w:val="21"/>
                <w:szCs w:val="21"/>
                <w:highlight w:val="none"/>
              </w:rPr>
              <w:t>刘国峰</w:t>
            </w:r>
          </w:p>
        </w:tc>
        <w:tc>
          <w:tcPr>
            <w:tcW w:w="1268" w:type="dxa"/>
            <w:shd w:val="clear" w:color="auto" w:fill="auto"/>
            <w:vAlign w:val="center"/>
          </w:tcPr>
          <w:p w14:paraId="183368C5">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50F7E8E6">
            <w:pPr>
              <w:pStyle w:val="62"/>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5"/>
                <w:sz w:val="21"/>
                <w:szCs w:val="21"/>
                <w:highlight w:val="none"/>
              </w:rPr>
              <w:t>机运工区区长</w:t>
            </w:r>
          </w:p>
        </w:tc>
        <w:tc>
          <w:tcPr>
            <w:tcW w:w="884" w:type="pct"/>
            <w:shd w:val="clear" w:color="auto" w:fill="auto"/>
            <w:vAlign w:val="center"/>
          </w:tcPr>
          <w:p w14:paraId="4CB614A3">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13624873707</w:t>
            </w:r>
          </w:p>
        </w:tc>
        <w:tc>
          <w:tcPr>
            <w:tcW w:w="944" w:type="pct"/>
            <w:shd w:val="clear" w:color="auto" w:fill="auto"/>
            <w:vAlign w:val="center"/>
          </w:tcPr>
          <w:p w14:paraId="329E2AD0">
            <w:pPr>
              <w:jc w:val="center"/>
              <w:rPr>
                <w:rFonts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999297</w:t>
            </w:r>
          </w:p>
        </w:tc>
      </w:tr>
      <w:tr w14:paraId="5C3E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770D296">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28</w:t>
            </w:r>
          </w:p>
        </w:tc>
        <w:tc>
          <w:tcPr>
            <w:tcW w:w="573" w:type="pct"/>
            <w:shd w:val="clear" w:color="auto" w:fill="auto"/>
            <w:vAlign w:val="center"/>
          </w:tcPr>
          <w:p w14:paraId="54E6C44D">
            <w:pPr>
              <w:pStyle w:val="62"/>
              <w:jc w:val="center"/>
              <w:rPr>
                <w:rFonts w:hint="eastAsia" w:ascii="仿宋" w:hAnsi="仿宋" w:eastAsia="仿宋" w:cs="宋体"/>
                <w:color w:val="auto"/>
                <w:kern w:val="0"/>
                <w:sz w:val="24"/>
                <w:highlight w:val="none"/>
                <w:lang w:bidi="ar"/>
              </w:rPr>
            </w:pPr>
            <w:r>
              <w:rPr>
                <w:rFonts w:hint="default" w:ascii="Times New Roman" w:hAnsi="Times New Roman" w:eastAsia="宋体" w:cs="Times New Roman"/>
                <w:color w:val="auto"/>
                <w:spacing w:val="18"/>
                <w:sz w:val="21"/>
                <w:szCs w:val="21"/>
                <w:highlight w:val="none"/>
              </w:rPr>
              <w:t>王晓功</w:t>
            </w:r>
          </w:p>
        </w:tc>
        <w:tc>
          <w:tcPr>
            <w:tcW w:w="1268" w:type="dxa"/>
            <w:shd w:val="clear" w:color="auto" w:fill="auto"/>
            <w:vAlign w:val="center"/>
          </w:tcPr>
          <w:p w14:paraId="654E1C3A">
            <w:pPr>
              <w:pStyle w:val="62"/>
              <w:jc w:val="center"/>
              <w:rPr>
                <w:rFonts w:hint="default" w:ascii="Times New Roman" w:hAnsi="Times New Roman" w:eastAsia="宋体" w:cs="Times New Roman"/>
                <w:color w:val="auto"/>
                <w:spacing w:val="4"/>
                <w:sz w:val="21"/>
                <w:szCs w:val="21"/>
                <w:highlight w:val="none"/>
              </w:rPr>
            </w:pPr>
            <w:r>
              <w:rPr>
                <w:rFonts w:hint="default" w:ascii="Times New Roman" w:hAnsi="Times New Roman" w:eastAsia="宋体" w:cs="Times New Roman"/>
                <w:color w:val="auto"/>
                <w:spacing w:val="4"/>
                <w:sz w:val="21"/>
                <w:szCs w:val="21"/>
                <w:highlight w:val="none"/>
              </w:rPr>
              <w:t>成员</w:t>
            </w:r>
          </w:p>
        </w:tc>
        <w:tc>
          <w:tcPr>
            <w:tcW w:w="1440" w:type="pct"/>
            <w:shd w:val="clear" w:color="auto" w:fill="auto"/>
            <w:vAlign w:val="center"/>
          </w:tcPr>
          <w:p w14:paraId="6CECB2EF">
            <w:pPr>
              <w:pStyle w:val="62"/>
              <w:jc w:val="center"/>
              <w:rPr>
                <w:rFonts w:hint="eastAsia" w:ascii="仿宋" w:hAnsi="仿宋" w:eastAsia="仿宋" w:cs="宋体"/>
                <w:color w:val="auto"/>
                <w:kern w:val="0"/>
                <w:sz w:val="24"/>
                <w:highlight w:val="none"/>
                <w:lang w:bidi="ar"/>
              </w:rPr>
            </w:pPr>
            <w:r>
              <w:rPr>
                <w:rFonts w:hint="default" w:ascii="Times New Roman" w:hAnsi="Times New Roman" w:eastAsia="宋体" w:cs="Times New Roman"/>
                <w:color w:val="auto"/>
                <w:spacing w:val="34"/>
                <w:sz w:val="21"/>
                <w:szCs w:val="21"/>
                <w:highlight w:val="none"/>
              </w:rPr>
              <w:t>通防工区区长</w:t>
            </w:r>
          </w:p>
        </w:tc>
        <w:tc>
          <w:tcPr>
            <w:tcW w:w="884" w:type="pct"/>
            <w:shd w:val="clear" w:color="auto" w:fill="auto"/>
            <w:vAlign w:val="center"/>
          </w:tcPr>
          <w:p w14:paraId="687325C8">
            <w:pPr>
              <w:jc w:val="center"/>
              <w:rPr>
                <w:rFonts w:hint="eastAsia" w:ascii="仿宋" w:hAnsi="仿宋" w:eastAsia="仿宋" w:cs="宋体"/>
                <w:color w:val="auto"/>
                <w:kern w:val="0"/>
                <w:sz w:val="24"/>
                <w:highlight w:val="none"/>
                <w:lang w:bidi="ar"/>
              </w:rPr>
            </w:pPr>
            <w:r>
              <w:rPr>
                <w:rFonts w:hint="default" w:ascii="Times New Roman" w:hAnsi="Times New Roman" w:eastAsia="宋体" w:cs="Times New Roman"/>
                <w:color w:val="auto"/>
                <w:spacing w:val="3"/>
                <w:highlight w:val="none"/>
              </w:rPr>
              <w:t>18295493024</w:t>
            </w:r>
          </w:p>
        </w:tc>
        <w:tc>
          <w:tcPr>
            <w:tcW w:w="944" w:type="pct"/>
            <w:shd w:val="clear" w:color="auto" w:fill="auto"/>
            <w:vAlign w:val="center"/>
          </w:tcPr>
          <w:p w14:paraId="457ED898">
            <w:pPr>
              <w:jc w:val="center"/>
              <w:rPr>
                <w:rFonts w:hint="eastAsia" w:ascii="仿宋" w:hAnsi="仿宋" w:eastAsia="仿宋" w:cs="宋体"/>
                <w:color w:val="auto"/>
                <w:kern w:val="0"/>
                <w:sz w:val="24"/>
                <w:highlight w:val="none"/>
                <w:lang w:bidi="ar"/>
              </w:rPr>
            </w:pPr>
            <w:r>
              <w:rPr>
                <w:rFonts w:hint="default" w:ascii="Times New Roman" w:hAnsi="Times New Roman" w:eastAsia="宋体" w:cs="Times New Roman"/>
                <w:color w:val="auto"/>
                <w:spacing w:val="2"/>
                <w:highlight w:val="none"/>
              </w:rPr>
              <w:t>999256</w:t>
            </w:r>
          </w:p>
        </w:tc>
      </w:tr>
      <w:tr w14:paraId="2FDB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19FEE4C0">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29</w:t>
            </w:r>
          </w:p>
        </w:tc>
        <w:tc>
          <w:tcPr>
            <w:tcW w:w="1056" w:type="dxa"/>
            <w:shd w:val="clear" w:color="auto" w:fill="auto"/>
            <w:vAlign w:val="center"/>
          </w:tcPr>
          <w:p w14:paraId="7ACE9D3F">
            <w:pPr>
              <w:pStyle w:val="35"/>
              <w:widowControl/>
              <w:spacing w:line="240" w:lineRule="auto"/>
              <w:ind w:firstLine="0" w:firstLineChars="0"/>
              <w:jc w:val="center"/>
              <w:textAlignment w:val="center"/>
              <w:rPr>
                <w:rFonts w:hint="default"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赵晓黎</w:t>
            </w:r>
          </w:p>
        </w:tc>
        <w:tc>
          <w:tcPr>
            <w:tcW w:w="1268" w:type="dxa"/>
            <w:shd w:val="clear" w:color="auto" w:fill="auto"/>
            <w:vAlign w:val="center"/>
          </w:tcPr>
          <w:p w14:paraId="1634A29E">
            <w:pPr>
              <w:pStyle w:val="62"/>
              <w:jc w:val="center"/>
              <w:rPr>
                <w:rFonts w:hint="default" w:ascii="仿宋" w:hAnsi="仿宋" w:eastAsia="仿宋" w:cs="宋体"/>
                <w:color w:val="auto"/>
                <w:kern w:val="0"/>
                <w:sz w:val="24"/>
                <w:szCs w:val="24"/>
                <w:highlight w:val="none"/>
                <w:lang w:val="en-US" w:eastAsia="zh-CN" w:bidi="ar"/>
              </w:rPr>
            </w:pPr>
            <w:r>
              <w:rPr>
                <w:rFonts w:hint="default" w:ascii="Times New Roman" w:hAnsi="Times New Roman" w:eastAsia="宋体" w:cs="Times New Roman"/>
                <w:color w:val="auto"/>
                <w:spacing w:val="4"/>
                <w:sz w:val="21"/>
                <w:szCs w:val="21"/>
                <w:highlight w:val="none"/>
              </w:rPr>
              <w:t>成员</w:t>
            </w:r>
          </w:p>
        </w:tc>
        <w:tc>
          <w:tcPr>
            <w:tcW w:w="2654" w:type="dxa"/>
            <w:shd w:val="clear" w:color="auto" w:fill="auto"/>
            <w:vAlign w:val="center"/>
          </w:tcPr>
          <w:p w14:paraId="30384A7C">
            <w:pPr>
              <w:pStyle w:val="35"/>
              <w:widowControl/>
              <w:spacing w:line="240" w:lineRule="auto"/>
              <w:ind w:firstLine="0" w:firstLineChars="0"/>
              <w:jc w:val="center"/>
              <w:textAlignment w:val="center"/>
              <w:rPr>
                <w:rFonts w:hint="default" w:ascii="仿宋" w:hAnsi="仿宋" w:eastAsia="仿宋" w:cs="宋体"/>
                <w:color w:val="auto"/>
                <w:kern w:val="0"/>
                <w:sz w:val="24"/>
                <w:szCs w:val="24"/>
                <w:highlight w:val="none"/>
                <w:lang w:val="en-US" w:eastAsia="zh-CN" w:bidi="ar"/>
              </w:rPr>
            </w:pPr>
            <w:r>
              <w:rPr>
                <w:rFonts w:hint="eastAsia" w:ascii="仿宋" w:hAnsi="仿宋" w:eastAsia="仿宋" w:cs="宋体"/>
                <w:color w:val="auto"/>
                <w:kern w:val="0"/>
                <w:sz w:val="24"/>
                <w:highlight w:val="none"/>
                <w:lang w:bidi="ar"/>
              </w:rPr>
              <w:t>内蒙能源医院院长</w:t>
            </w:r>
          </w:p>
        </w:tc>
        <w:tc>
          <w:tcPr>
            <w:tcW w:w="1629" w:type="dxa"/>
            <w:shd w:val="clear" w:color="auto" w:fill="auto"/>
            <w:vAlign w:val="center"/>
          </w:tcPr>
          <w:p w14:paraId="53768059">
            <w:pPr>
              <w:jc w:val="center"/>
              <w:rPr>
                <w:rFonts w:hint="default" w:ascii="Times New Roman" w:hAnsi="Times New Roman" w:eastAsia="宋体" w:cs="Times New Roman"/>
                <w:color w:val="auto"/>
                <w:spacing w:val="3"/>
                <w:highlight w:val="none"/>
                <w:lang w:val="en-US" w:eastAsia="zh-CN"/>
              </w:rPr>
            </w:pPr>
            <w:r>
              <w:rPr>
                <w:rFonts w:hint="eastAsia" w:ascii="Times New Roman" w:hAnsi="Times New Roman" w:eastAsia="宋体" w:cs="Times New Roman"/>
                <w:color w:val="auto"/>
                <w:spacing w:val="3"/>
                <w:highlight w:val="none"/>
              </w:rPr>
              <w:t>15966003333</w:t>
            </w:r>
          </w:p>
        </w:tc>
        <w:tc>
          <w:tcPr>
            <w:tcW w:w="1739" w:type="dxa"/>
            <w:shd w:val="clear" w:color="auto" w:fill="auto"/>
            <w:vAlign w:val="center"/>
          </w:tcPr>
          <w:p w14:paraId="6D3DFD8B">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rPr>
              <w:t>993146</w:t>
            </w:r>
          </w:p>
        </w:tc>
      </w:tr>
      <w:tr w14:paraId="39C2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69" w:type="pct"/>
            <w:vAlign w:val="center"/>
          </w:tcPr>
          <w:p w14:paraId="76473CCE">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30</w:t>
            </w:r>
          </w:p>
        </w:tc>
        <w:tc>
          <w:tcPr>
            <w:tcW w:w="1056" w:type="dxa"/>
            <w:shd w:val="clear" w:color="auto" w:fill="auto"/>
            <w:vAlign w:val="center"/>
          </w:tcPr>
          <w:p w14:paraId="57E06300">
            <w:pPr>
              <w:pStyle w:val="35"/>
              <w:widowControl/>
              <w:spacing w:line="240" w:lineRule="auto"/>
              <w:ind w:firstLine="0" w:firstLineChars="0"/>
              <w:jc w:val="center"/>
              <w:textAlignment w:val="center"/>
              <w:rPr>
                <w:rFonts w:hint="eastAsia" w:ascii="Times New Roman" w:hAnsi="Times New Roman" w:eastAsia="宋体" w:cs="Times New Roman"/>
                <w:color w:val="auto"/>
                <w:spacing w:val="18"/>
                <w:sz w:val="21"/>
                <w:szCs w:val="21"/>
                <w:highlight w:val="none"/>
                <w:lang w:eastAsia="zh-CN"/>
              </w:rPr>
            </w:pPr>
            <w:r>
              <w:rPr>
                <w:rFonts w:hint="eastAsia" w:ascii="仿宋" w:hAnsi="仿宋" w:eastAsia="仿宋" w:cs="宋体"/>
                <w:color w:val="auto"/>
                <w:kern w:val="0"/>
                <w:sz w:val="24"/>
                <w:highlight w:val="none"/>
                <w:lang w:val="en-US" w:eastAsia="zh-CN" w:bidi="ar"/>
              </w:rPr>
              <w:t>李燕</w:t>
            </w:r>
          </w:p>
        </w:tc>
        <w:tc>
          <w:tcPr>
            <w:tcW w:w="1268" w:type="dxa"/>
            <w:shd w:val="clear" w:color="auto" w:fill="auto"/>
            <w:vAlign w:val="center"/>
          </w:tcPr>
          <w:p w14:paraId="32E1CE6D">
            <w:pPr>
              <w:pStyle w:val="35"/>
              <w:widowControl/>
              <w:spacing w:line="240" w:lineRule="auto"/>
              <w:ind w:firstLine="0" w:firstLineChars="0"/>
              <w:jc w:val="center"/>
              <w:textAlignment w:val="center"/>
              <w:rPr>
                <w:rFonts w:hint="default" w:ascii="Times New Roman" w:hAnsi="Times New Roman" w:eastAsia="宋体" w:cs="Times New Roman"/>
                <w:color w:val="auto"/>
                <w:spacing w:val="4"/>
                <w:sz w:val="21"/>
                <w:szCs w:val="21"/>
                <w:highlight w:val="none"/>
              </w:rPr>
            </w:pPr>
            <w:r>
              <w:rPr>
                <w:rFonts w:hint="eastAsia" w:ascii="仿宋" w:hAnsi="仿宋" w:eastAsia="仿宋" w:cs="宋体"/>
                <w:color w:val="auto"/>
                <w:kern w:val="0"/>
                <w:sz w:val="24"/>
                <w:highlight w:val="none"/>
                <w:lang w:bidi="ar"/>
              </w:rPr>
              <w:t>成员</w:t>
            </w:r>
          </w:p>
        </w:tc>
        <w:tc>
          <w:tcPr>
            <w:tcW w:w="2654" w:type="dxa"/>
            <w:shd w:val="clear" w:color="auto" w:fill="auto"/>
            <w:vAlign w:val="center"/>
          </w:tcPr>
          <w:p w14:paraId="2B0CE4FB">
            <w:pPr>
              <w:pStyle w:val="35"/>
              <w:widowControl/>
              <w:spacing w:line="240" w:lineRule="auto"/>
              <w:ind w:firstLine="0" w:firstLineChars="0"/>
              <w:jc w:val="center"/>
              <w:textAlignment w:val="center"/>
              <w:rPr>
                <w:rFonts w:hint="default" w:ascii="Times New Roman" w:hAnsi="Times New Roman" w:eastAsia="宋体" w:cs="Times New Roman"/>
                <w:color w:val="auto"/>
                <w:spacing w:val="34"/>
                <w:sz w:val="21"/>
                <w:szCs w:val="21"/>
                <w:highlight w:val="none"/>
              </w:rPr>
            </w:pPr>
            <w:r>
              <w:rPr>
                <w:rFonts w:hint="eastAsia" w:ascii="仿宋" w:hAnsi="仿宋" w:eastAsia="仿宋" w:cs="宋体"/>
                <w:color w:val="auto"/>
                <w:kern w:val="0"/>
                <w:sz w:val="24"/>
                <w:highlight w:val="none"/>
                <w:lang w:bidi="ar"/>
              </w:rPr>
              <w:t>井口保健站</w:t>
            </w:r>
          </w:p>
        </w:tc>
        <w:tc>
          <w:tcPr>
            <w:tcW w:w="1629" w:type="dxa"/>
            <w:shd w:val="clear" w:color="auto" w:fill="auto"/>
            <w:vAlign w:val="center"/>
          </w:tcPr>
          <w:p w14:paraId="336142A2">
            <w:pPr>
              <w:jc w:val="center"/>
              <w:rPr>
                <w:rFonts w:hint="default" w:ascii="Times New Roman" w:hAnsi="Times New Roman" w:eastAsia="宋体" w:cs="Times New Roman"/>
                <w:color w:val="auto"/>
                <w:spacing w:val="3"/>
                <w:highlight w:val="none"/>
                <w:lang w:val="en-US" w:eastAsia="zh-CN"/>
              </w:rPr>
            </w:pPr>
            <w:r>
              <w:rPr>
                <w:rFonts w:hint="eastAsia" w:ascii="Times New Roman" w:hAnsi="Times New Roman" w:eastAsia="宋体" w:cs="Times New Roman"/>
                <w:color w:val="auto"/>
                <w:spacing w:val="3"/>
                <w:highlight w:val="none"/>
              </w:rPr>
              <w:t>1</w:t>
            </w:r>
            <w:r>
              <w:rPr>
                <w:rFonts w:hint="eastAsia" w:ascii="Times New Roman" w:hAnsi="Times New Roman" w:eastAsia="宋体" w:cs="Times New Roman"/>
                <w:color w:val="auto"/>
                <w:spacing w:val="3"/>
                <w:highlight w:val="none"/>
                <w:lang w:val="en-US" w:eastAsia="zh-CN"/>
              </w:rPr>
              <w:t>5825303179</w:t>
            </w:r>
          </w:p>
        </w:tc>
        <w:tc>
          <w:tcPr>
            <w:tcW w:w="1739" w:type="dxa"/>
            <w:shd w:val="clear" w:color="auto" w:fill="auto"/>
            <w:vAlign w:val="center"/>
          </w:tcPr>
          <w:p w14:paraId="54E45539">
            <w:pPr>
              <w:jc w:val="center"/>
              <w:rPr>
                <w:rFonts w:hint="default" w:ascii="Times New Roman" w:hAnsi="Times New Roman" w:eastAsia="宋体" w:cs="Times New Roman"/>
                <w:color w:val="auto"/>
                <w:spacing w:val="2"/>
                <w:highlight w:val="none"/>
                <w:lang w:val="en-US" w:eastAsia="zh-CN"/>
              </w:rPr>
            </w:pPr>
            <w:r>
              <w:rPr>
                <w:rFonts w:hint="eastAsia" w:ascii="Times New Roman" w:hAnsi="Times New Roman" w:eastAsia="宋体" w:cs="Times New Roman"/>
                <w:color w:val="auto"/>
                <w:spacing w:val="2"/>
                <w:highlight w:val="none"/>
                <w:lang w:val="en-US" w:eastAsia="zh-CN"/>
              </w:rPr>
              <w:t>999320</w:t>
            </w:r>
          </w:p>
        </w:tc>
      </w:tr>
    </w:tbl>
    <w:p w14:paraId="5E9D8453">
      <w:pPr>
        <w:pStyle w:val="44"/>
        <w:spacing w:line="360" w:lineRule="auto"/>
        <w:jc w:val="center"/>
        <w:outlineLvl w:val="3"/>
        <w:rPr>
          <w:rFonts w:hint="eastAsia" w:ascii="仿宋_GB2312" w:hAnsi="仿宋_GB2312" w:eastAsia="仿宋_GB2312" w:cs="仿宋_GB2312"/>
          <w:b/>
          <w:color w:val="auto"/>
          <w:kern w:val="2"/>
          <w:sz w:val="32"/>
          <w:szCs w:val="32"/>
          <w:highlight w:val="none"/>
        </w:rPr>
      </w:pPr>
    </w:p>
    <w:p w14:paraId="34B5255E">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3</w:t>
      </w:r>
      <w:r>
        <w:rPr>
          <w:rFonts w:hint="eastAsia" w:ascii="仿宋_GB2312" w:hAnsi="仿宋_GB2312" w:eastAsia="仿宋_GB2312" w:cs="仿宋_GB2312"/>
          <w:b/>
          <w:color w:val="auto"/>
          <w:kern w:val="2"/>
          <w:sz w:val="32"/>
          <w:szCs w:val="32"/>
          <w:highlight w:val="none"/>
        </w:rPr>
        <w:t xml:space="preserve"> 上级公司、政府主管部门及协议单位联系方式</w:t>
      </w:r>
      <w:bookmarkEnd w:id="606"/>
    </w:p>
    <w:bookmarkEnd w:id="603"/>
    <w:bookmarkEnd w:id="604"/>
    <w:bookmarkEnd w:id="605"/>
    <w:bookmarkEnd w:id="607"/>
    <w:tbl>
      <w:tblPr>
        <w:tblStyle w:val="28"/>
        <w:tblW w:w="5231" w:type="pct"/>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7"/>
        <w:gridCol w:w="2740"/>
        <w:gridCol w:w="908"/>
        <w:gridCol w:w="988"/>
        <w:gridCol w:w="1845"/>
        <w:gridCol w:w="1856"/>
      </w:tblGrid>
      <w:tr w14:paraId="383EC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6193120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bookmarkStart w:id="608" w:name="_Toc11252"/>
            <w:bookmarkStart w:id="609" w:name="_Toc29346"/>
            <w:bookmarkStart w:id="610" w:name="_Toc7820"/>
            <w:bookmarkStart w:id="611" w:name="_Toc25975"/>
            <w:bookmarkStart w:id="612" w:name="_Toc13650"/>
            <w:bookmarkStart w:id="613" w:name="_Toc11522"/>
            <w:bookmarkStart w:id="614" w:name="_Toc9369"/>
            <w:r>
              <w:rPr>
                <w:rFonts w:hint="eastAsia" w:ascii="仿宋" w:hAnsi="仿宋" w:eastAsia="仿宋" w:cs="宋体"/>
                <w:color w:val="auto"/>
                <w:kern w:val="0"/>
                <w:sz w:val="24"/>
                <w:highlight w:val="none"/>
                <w:lang w:bidi="ar"/>
              </w:rPr>
              <w:t>序号</w:t>
            </w:r>
          </w:p>
        </w:tc>
        <w:tc>
          <w:tcPr>
            <w:tcW w:w="1478" w:type="pct"/>
            <w:vAlign w:val="center"/>
          </w:tcPr>
          <w:p w14:paraId="04FB20F2">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单位</w:t>
            </w:r>
          </w:p>
        </w:tc>
        <w:tc>
          <w:tcPr>
            <w:tcW w:w="490" w:type="pct"/>
            <w:vAlign w:val="center"/>
          </w:tcPr>
          <w:p w14:paraId="3DF412F0">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职务</w:t>
            </w:r>
          </w:p>
        </w:tc>
        <w:tc>
          <w:tcPr>
            <w:tcW w:w="533" w:type="pct"/>
            <w:vAlign w:val="center"/>
          </w:tcPr>
          <w:p w14:paraId="5E1F597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姓名</w:t>
            </w:r>
          </w:p>
        </w:tc>
        <w:tc>
          <w:tcPr>
            <w:tcW w:w="995" w:type="pct"/>
            <w:vAlign w:val="center"/>
          </w:tcPr>
          <w:p w14:paraId="129F49A6">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办公电话</w:t>
            </w:r>
          </w:p>
        </w:tc>
        <w:tc>
          <w:tcPr>
            <w:tcW w:w="1001" w:type="pct"/>
            <w:vAlign w:val="center"/>
          </w:tcPr>
          <w:p w14:paraId="22DF85F5">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手机号码</w:t>
            </w:r>
          </w:p>
        </w:tc>
      </w:tr>
      <w:tr w14:paraId="2EDAD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5CB22B74">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w:t>
            </w:r>
          </w:p>
        </w:tc>
        <w:tc>
          <w:tcPr>
            <w:tcW w:w="1478" w:type="pct"/>
            <w:vAlign w:val="center"/>
          </w:tcPr>
          <w:p w14:paraId="5E4DB1A5">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山东颐养健康集团内蒙能源医院</w:t>
            </w:r>
          </w:p>
        </w:tc>
        <w:tc>
          <w:tcPr>
            <w:tcW w:w="490" w:type="pct"/>
            <w:vAlign w:val="center"/>
          </w:tcPr>
          <w:p w14:paraId="008582E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院长</w:t>
            </w:r>
          </w:p>
        </w:tc>
        <w:tc>
          <w:tcPr>
            <w:tcW w:w="533" w:type="pct"/>
            <w:vAlign w:val="center"/>
          </w:tcPr>
          <w:p w14:paraId="1479A5B5">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赵晓黎</w:t>
            </w:r>
          </w:p>
        </w:tc>
        <w:tc>
          <w:tcPr>
            <w:tcW w:w="995" w:type="pct"/>
            <w:vAlign w:val="center"/>
          </w:tcPr>
          <w:p w14:paraId="4DBC7978">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0477-7868146</w:t>
            </w:r>
          </w:p>
          <w:p w14:paraId="4411C722">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0477-7869120</w:t>
            </w:r>
          </w:p>
        </w:tc>
        <w:tc>
          <w:tcPr>
            <w:tcW w:w="1001" w:type="pct"/>
            <w:vAlign w:val="center"/>
          </w:tcPr>
          <w:p w14:paraId="1B9078FD">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15966003333</w:t>
            </w:r>
          </w:p>
        </w:tc>
      </w:tr>
      <w:tr w14:paraId="0F39D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3EA7B2A7">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2</w:t>
            </w:r>
          </w:p>
        </w:tc>
        <w:tc>
          <w:tcPr>
            <w:tcW w:w="1478" w:type="pct"/>
            <w:vAlign w:val="center"/>
          </w:tcPr>
          <w:p w14:paraId="2005EDFB">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山能救护二大队十三中队</w:t>
            </w:r>
          </w:p>
          <w:p w14:paraId="72FEAAE4">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内蒙</w:t>
            </w:r>
            <w:r>
              <w:rPr>
                <w:rFonts w:hint="eastAsia" w:ascii="仿宋" w:hAnsi="仿宋" w:eastAsia="仿宋" w:cs="宋体"/>
                <w:color w:val="auto"/>
                <w:kern w:val="0"/>
                <w:sz w:val="24"/>
                <w:highlight w:val="none"/>
                <w:lang w:eastAsia="zh-CN" w:bidi="ar"/>
              </w:rPr>
              <w:t>山能救护二大队</w:t>
            </w:r>
          </w:p>
        </w:tc>
        <w:tc>
          <w:tcPr>
            <w:tcW w:w="490" w:type="pct"/>
            <w:vAlign w:val="center"/>
          </w:tcPr>
          <w:p w14:paraId="2E47D649">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主任</w:t>
            </w:r>
          </w:p>
        </w:tc>
        <w:tc>
          <w:tcPr>
            <w:tcW w:w="533" w:type="pct"/>
            <w:vAlign w:val="center"/>
          </w:tcPr>
          <w:p w14:paraId="1410764B">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宋文德</w:t>
            </w:r>
          </w:p>
        </w:tc>
        <w:tc>
          <w:tcPr>
            <w:tcW w:w="995" w:type="pct"/>
            <w:vAlign w:val="center"/>
          </w:tcPr>
          <w:p w14:paraId="454FA1D4">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0477-7878626</w:t>
            </w:r>
          </w:p>
          <w:p w14:paraId="6F21A655">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0477-7878619</w:t>
            </w:r>
          </w:p>
        </w:tc>
        <w:tc>
          <w:tcPr>
            <w:tcW w:w="1001" w:type="pct"/>
            <w:vAlign w:val="center"/>
          </w:tcPr>
          <w:p w14:paraId="5376E77B">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13808917529</w:t>
            </w:r>
          </w:p>
        </w:tc>
      </w:tr>
      <w:tr w14:paraId="36965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trPr>
        <w:tc>
          <w:tcPr>
            <w:tcW w:w="500" w:type="pct"/>
            <w:vAlign w:val="center"/>
          </w:tcPr>
          <w:p w14:paraId="15D58AF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3</w:t>
            </w:r>
          </w:p>
        </w:tc>
        <w:tc>
          <w:tcPr>
            <w:tcW w:w="1478" w:type="pct"/>
            <w:vAlign w:val="center"/>
          </w:tcPr>
          <w:p w14:paraId="0C379A9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val="en-US" w:eastAsia="zh-CN" w:bidi="ar"/>
              </w:rPr>
              <w:t>新矿</w:t>
            </w:r>
            <w:r>
              <w:rPr>
                <w:rFonts w:hint="eastAsia" w:ascii="仿宋" w:hAnsi="仿宋" w:eastAsia="仿宋" w:cs="宋体"/>
                <w:color w:val="auto"/>
                <w:kern w:val="0"/>
                <w:sz w:val="24"/>
                <w:highlight w:val="none"/>
                <w:lang w:bidi="ar"/>
              </w:rPr>
              <w:t>内蒙古能源</w:t>
            </w:r>
          </w:p>
        </w:tc>
        <w:tc>
          <w:tcPr>
            <w:tcW w:w="1023" w:type="pct"/>
            <w:gridSpan w:val="2"/>
            <w:vAlign w:val="center"/>
          </w:tcPr>
          <w:p w14:paraId="304398C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调度室</w:t>
            </w:r>
          </w:p>
        </w:tc>
        <w:tc>
          <w:tcPr>
            <w:tcW w:w="995" w:type="pct"/>
            <w:vAlign w:val="center"/>
          </w:tcPr>
          <w:p w14:paraId="0DF9E5E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0477-7869152</w:t>
            </w:r>
          </w:p>
          <w:p w14:paraId="046068C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0477-7869153</w:t>
            </w:r>
          </w:p>
        </w:tc>
        <w:tc>
          <w:tcPr>
            <w:tcW w:w="1001" w:type="pct"/>
            <w:vAlign w:val="center"/>
          </w:tcPr>
          <w:p w14:paraId="0BC3015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15149635008</w:t>
            </w:r>
          </w:p>
        </w:tc>
      </w:tr>
      <w:tr w14:paraId="7F60D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193B7F0D">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4</w:t>
            </w:r>
          </w:p>
        </w:tc>
        <w:tc>
          <w:tcPr>
            <w:tcW w:w="1478" w:type="pct"/>
            <w:vAlign w:val="center"/>
          </w:tcPr>
          <w:p w14:paraId="17DEE3F1">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新汶矿业集团</w:t>
            </w:r>
          </w:p>
        </w:tc>
        <w:tc>
          <w:tcPr>
            <w:tcW w:w="1023" w:type="pct"/>
            <w:gridSpan w:val="2"/>
            <w:vAlign w:val="center"/>
          </w:tcPr>
          <w:p w14:paraId="32702729">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调度室</w:t>
            </w:r>
          </w:p>
        </w:tc>
        <w:tc>
          <w:tcPr>
            <w:tcW w:w="995" w:type="pct"/>
            <w:vAlign w:val="center"/>
          </w:tcPr>
          <w:p w14:paraId="2160326D">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0538-7872113</w:t>
            </w:r>
          </w:p>
          <w:p w14:paraId="47FA7A39">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0538-7872521</w:t>
            </w:r>
          </w:p>
        </w:tc>
        <w:tc>
          <w:tcPr>
            <w:tcW w:w="1001" w:type="pct"/>
            <w:vAlign w:val="center"/>
          </w:tcPr>
          <w:p w14:paraId="0CF6D384">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ascii="仿宋" w:hAnsi="仿宋" w:eastAsia="仿宋" w:cs="宋体"/>
                <w:color w:val="auto"/>
                <w:kern w:val="0"/>
                <w:sz w:val="24"/>
                <w:highlight w:val="none"/>
                <w:lang w:bidi="ar"/>
              </w:rPr>
              <w:t xml:space="preserve">18953869113  </w:t>
            </w:r>
          </w:p>
        </w:tc>
      </w:tr>
      <w:tr w14:paraId="13BB8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5D0C5EFF">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5</w:t>
            </w:r>
          </w:p>
        </w:tc>
        <w:tc>
          <w:tcPr>
            <w:tcW w:w="1478" w:type="pct"/>
            <w:vAlign w:val="center"/>
          </w:tcPr>
          <w:p w14:paraId="34D99CD5">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山东能源集团</w:t>
            </w:r>
          </w:p>
        </w:tc>
        <w:tc>
          <w:tcPr>
            <w:tcW w:w="1023" w:type="pct"/>
            <w:gridSpan w:val="2"/>
            <w:vAlign w:val="center"/>
          </w:tcPr>
          <w:p w14:paraId="63D60E10">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调度室</w:t>
            </w:r>
          </w:p>
        </w:tc>
        <w:tc>
          <w:tcPr>
            <w:tcW w:w="995" w:type="pct"/>
            <w:vAlign w:val="center"/>
          </w:tcPr>
          <w:p w14:paraId="581BC35E">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0531-62355688</w:t>
            </w:r>
          </w:p>
          <w:p w14:paraId="3961A004">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0531-62355689</w:t>
            </w:r>
          </w:p>
        </w:tc>
        <w:tc>
          <w:tcPr>
            <w:tcW w:w="1001" w:type="pct"/>
            <w:vAlign w:val="center"/>
          </w:tcPr>
          <w:p w14:paraId="287580E0">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w:t>
            </w:r>
          </w:p>
        </w:tc>
      </w:tr>
      <w:tr w14:paraId="7D6B0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67CD4B91">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6</w:t>
            </w:r>
          </w:p>
        </w:tc>
        <w:tc>
          <w:tcPr>
            <w:tcW w:w="2501" w:type="pct"/>
            <w:gridSpan w:val="3"/>
            <w:vAlign w:val="center"/>
          </w:tcPr>
          <w:p w14:paraId="30A66F4D">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鄂托克前旗气象局</w:t>
            </w:r>
          </w:p>
        </w:tc>
        <w:tc>
          <w:tcPr>
            <w:tcW w:w="995" w:type="pct"/>
            <w:vAlign w:val="center"/>
          </w:tcPr>
          <w:p w14:paraId="1696B5B2">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0477-7622368</w:t>
            </w:r>
          </w:p>
        </w:tc>
        <w:tc>
          <w:tcPr>
            <w:tcW w:w="1001" w:type="pct"/>
            <w:vAlign w:val="center"/>
          </w:tcPr>
          <w:p w14:paraId="3FB15B94">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15947273894</w:t>
            </w:r>
          </w:p>
        </w:tc>
      </w:tr>
      <w:tr w14:paraId="0A547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4DD73B6D">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7</w:t>
            </w:r>
          </w:p>
        </w:tc>
        <w:tc>
          <w:tcPr>
            <w:tcW w:w="2501" w:type="pct"/>
            <w:gridSpan w:val="3"/>
            <w:vAlign w:val="center"/>
          </w:tcPr>
          <w:p w14:paraId="2BEA8366">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上海庙110KV变电站值班电话</w:t>
            </w:r>
          </w:p>
        </w:tc>
        <w:tc>
          <w:tcPr>
            <w:tcW w:w="995" w:type="pct"/>
            <w:vAlign w:val="center"/>
          </w:tcPr>
          <w:p w14:paraId="6B259E57">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0477-8598699</w:t>
            </w:r>
          </w:p>
          <w:p w14:paraId="582CDE44">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0477-859869</w:t>
            </w:r>
            <w:r>
              <w:rPr>
                <w:rFonts w:hint="eastAsia" w:ascii="仿宋" w:hAnsi="仿宋" w:eastAsia="仿宋" w:cs="宋体"/>
                <w:color w:val="auto"/>
                <w:kern w:val="0"/>
                <w:sz w:val="24"/>
                <w:highlight w:val="none"/>
                <w:lang w:val="en-US" w:eastAsia="zh-CN" w:bidi="ar"/>
              </w:rPr>
              <w:t>8</w:t>
            </w:r>
          </w:p>
        </w:tc>
        <w:tc>
          <w:tcPr>
            <w:tcW w:w="1001" w:type="pct"/>
            <w:vAlign w:val="center"/>
          </w:tcPr>
          <w:p w14:paraId="60ADDE42">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15547773095</w:t>
            </w:r>
          </w:p>
        </w:tc>
      </w:tr>
      <w:tr w14:paraId="6E32E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3F460334">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8</w:t>
            </w:r>
          </w:p>
        </w:tc>
        <w:tc>
          <w:tcPr>
            <w:tcW w:w="2501" w:type="pct"/>
            <w:gridSpan w:val="3"/>
            <w:vAlign w:val="center"/>
          </w:tcPr>
          <w:p w14:paraId="4AE76BAB">
            <w:pPr>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leftChars="0" w:right="0" w:rightChars="0" w:firstLine="0" w:firstLineChars="0"/>
              <w:jc w:val="center"/>
              <w:textAlignment w:val="auto"/>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上海庙派出所</w:t>
            </w:r>
          </w:p>
        </w:tc>
        <w:tc>
          <w:tcPr>
            <w:tcW w:w="995" w:type="pct"/>
            <w:vAlign w:val="center"/>
          </w:tcPr>
          <w:p w14:paraId="30741866">
            <w:pPr>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leftChars="0" w:right="0" w:rightChars="0" w:firstLine="0" w:firstLineChars="0"/>
              <w:jc w:val="center"/>
              <w:textAlignment w:val="auto"/>
              <w:rPr>
                <w:rFonts w:ascii="仿宋" w:hAnsi="仿宋" w:eastAsia="仿宋" w:cs="宋体"/>
                <w:color w:val="auto"/>
                <w:kern w:val="0"/>
                <w:sz w:val="24"/>
                <w:highlight w:val="none"/>
                <w:lang w:bidi="ar"/>
              </w:rPr>
            </w:pPr>
            <w:r>
              <w:rPr>
                <w:rFonts w:ascii="宋体" w:hAnsi="宋体" w:eastAsia="宋体" w:cs="宋体"/>
                <w:b w:val="0"/>
                <w:bCs w:val="0"/>
                <w:color w:val="auto"/>
                <w:sz w:val="24"/>
                <w:szCs w:val="24"/>
                <w:highlight w:val="none"/>
              </w:rPr>
              <w:t>0477-7871110</w:t>
            </w:r>
          </w:p>
        </w:tc>
        <w:tc>
          <w:tcPr>
            <w:tcW w:w="1001" w:type="pct"/>
            <w:vAlign w:val="center"/>
          </w:tcPr>
          <w:p w14:paraId="268B0A90">
            <w:pPr>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leftChars="0" w:right="0" w:rightChars="0" w:firstLine="0" w:firstLineChars="0"/>
              <w:jc w:val="center"/>
              <w:textAlignment w:val="auto"/>
              <w:rPr>
                <w:rFonts w:ascii="仿宋" w:hAnsi="仿宋" w:eastAsia="仿宋" w:cs="宋体"/>
                <w:color w:val="auto"/>
                <w:kern w:val="0"/>
                <w:sz w:val="24"/>
                <w:highlight w:val="none"/>
                <w:lang w:bidi="ar"/>
              </w:rPr>
            </w:pPr>
            <w:r>
              <w:rPr>
                <w:rFonts w:ascii="宋体" w:hAnsi="宋体" w:eastAsia="宋体" w:cs="宋体"/>
                <w:b w:val="0"/>
                <w:bCs w:val="0"/>
                <w:color w:val="auto"/>
                <w:sz w:val="24"/>
                <w:szCs w:val="24"/>
                <w:highlight w:val="none"/>
              </w:rPr>
              <w:t>15149794025</w:t>
            </w:r>
          </w:p>
        </w:tc>
      </w:tr>
      <w:tr w14:paraId="01F1C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12D14CFB">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9</w:t>
            </w:r>
          </w:p>
        </w:tc>
        <w:tc>
          <w:tcPr>
            <w:tcW w:w="2501" w:type="pct"/>
            <w:gridSpan w:val="3"/>
            <w:vAlign w:val="center"/>
          </w:tcPr>
          <w:p w14:paraId="5E560221">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鄂托克前旗消防大队</w:t>
            </w:r>
          </w:p>
        </w:tc>
        <w:tc>
          <w:tcPr>
            <w:tcW w:w="995" w:type="pct"/>
            <w:vAlign w:val="center"/>
          </w:tcPr>
          <w:p w14:paraId="19FD8C41">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0477-7871119</w:t>
            </w:r>
          </w:p>
          <w:p w14:paraId="7776506B">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0477—7633007</w:t>
            </w:r>
          </w:p>
        </w:tc>
        <w:tc>
          <w:tcPr>
            <w:tcW w:w="1001" w:type="pct"/>
            <w:vAlign w:val="center"/>
          </w:tcPr>
          <w:p w14:paraId="72ED0523">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15049881204</w:t>
            </w:r>
          </w:p>
        </w:tc>
      </w:tr>
      <w:tr w14:paraId="536DF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2FDD11BA">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10</w:t>
            </w:r>
          </w:p>
        </w:tc>
        <w:tc>
          <w:tcPr>
            <w:tcW w:w="2501" w:type="pct"/>
            <w:gridSpan w:val="3"/>
            <w:vAlign w:val="center"/>
          </w:tcPr>
          <w:p w14:paraId="241A54C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鄂托克前旗应急管理局</w:t>
            </w:r>
          </w:p>
        </w:tc>
        <w:tc>
          <w:tcPr>
            <w:tcW w:w="995" w:type="pct"/>
            <w:vAlign w:val="center"/>
          </w:tcPr>
          <w:p w14:paraId="55FBADCC">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w:t>
            </w:r>
            <w:r>
              <w:rPr>
                <w:rFonts w:hint="eastAsia" w:ascii="仿宋" w:hAnsi="仿宋" w:eastAsia="仿宋" w:cs="宋体"/>
                <w:color w:val="auto"/>
                <w:kern w:val="0"/>
                <w:sz w:val="24"/>
                <w:highlight w:val="none"/>
                <w:lang w:val="en-US" w:eastAsia="zh-CN" w:bidi="ar"/>
              </w:rPr>
              <w:t>7626371</w:t>
            </w:r>
          </w:p>
        </w:tc>
        <w:tc>
          <w:tcPr>
            <w:tcW w:w="1001" w:type="pct"/>
            <w:vAlign w:val="center"/>
          </w:tcPr>
          <w:p w14:paraId="530F9515">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宋体" w:hAnsi="宋体" w:eastAsia="宋体" w:cs="宋体"/>
                <w:color w:val="auto"/>
                <w:spacing w:val="0"/>
                <w:w w:val="100"/>
                <w:kern w:val="0"/>
                <w:position w:val="0"/>
                <w:sz w:val="24"/>
                <w:szCs w:val="24"/>
                <w:highlight w:val="none"/>
                <w:shd w:val="clear" w:color="auto" w:fill="auto"/>
                <w:lang w:val="en-US" w:eastAsia="zh-CN" w:bidi="zh-CN"/>
              </w:rPr>
              <w:t>0477-7626</w:t>
            </w:r>
            <w:r>
              <w:rPr>
                <w:rFonts w:hint="eastAsia" w:ascii="宋体" w:hAnsi="宋体" w:cs="宋体"/>
                <w:color w:val="auto"/>
                <w:spacing w:val="0"/>
                <w:w w:val="100"/>
                <w:kern w:val="0"/>
                <w:position w:val="0"/>
                <w:sz w:val="24"/>
                <w:szCs w:val="24"/>
                <w:highlight w:val="none"/>
                <w:shd w:val="clear" w:color="auto" w:fill="auto"/>
                <w:lang w:val="en-US" w:eastAsia="zh-CN" w:bidi="zh-CN"/>
              </w:rPr>
              <w:t>0</w:t>
            </w:r>
            <w:r>
              <w:rPr>
                <w:rFonts w:hint="eastAsia" w:ascii="宋体" w:hAnsi="宋体" w:eastAsia="宋体" w:cs="宋体"/>
                <w:color w:val="auto"/>
                <w:spacing w:val="0"/>
                <w:w w:val="100"/>
                <w:kern w:val="0"/>
                <w:position w:val="0"/>
                <w:sz w:val="24"/>
                <w:szCs w:val="24"/>
                <w:highlight w:val="none"/>
                <w:shd w:val="clear" w:color="auto" w:fill="auto"/>
                <w:lang w:val="en-US" w:eastAsia="zh-CN" w:bidi="zh-CN"/>
              </w:rPr>
              <w:t>37</w:t>
            </w:r>
          </w:p>
        </w:tc>
      </w:tr>
      <w:tr w14:paraId="21859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7993CC3F">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11</w:t>
            </w:r>
          </w:p>
        </w:tc>
        <w:tc>
          <w:tcPr>
            <w:tcW w:w="2501" w:type="pct"/>
            <w:gridSpan w:val="3"/>
            <w:vAlign w:val="center"/>
          </w:tcPr>
          <w:p w14:paraId="667B4F57">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国家矿山安全监察局</w:t>
            </w:r>
          </w:p>
          <w:p w14:paraId="69EFCD6F">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内蒙古局</w:t>
            </w:r>
            <w:r>
              <w:rPr>
                <w:rFonts w:hint="eastAsia" w:ascii="仿宋" w:hAnsi="仿宋" w:eastAsia="仿宋" w:cs="宋体"/>
                <w:color w:val="auto"/>
                <w:kern w:val="0"/>
                <w:sz w:val="24"/>
                <w:highlight w:val="none"/>
                <w:lang w:val="en-US" w:eastAsia="zh-CN" w:bidi="ar"/>
              </w:rPr>
              <w:t>监察</w:t>
            </w:r>
            <w:r>
              <w:rPr>
                <w:rFonts w:hint="eastAsia" w:ascii="仿宋" w:hAnsi="仿宋" w:eastAsia="仿宋" w:cs="宋体"/>
                <w:color w:val="auto"/>
                <w:kern w:val="0"/>
                <w:sz w:val="24"/>
                <w:highlight w:val="none"/>
                <w:lang w:bidi="ar"/>
              </w:rPr>
              <w:t>执法一处</w:t>
            </w:r>
          </w:p>
        </w:tc>
        <w:tc>
          <w:tcPr>
            <w:tcW w:w="995" w:type="pct"/>
            <w:vAlign w:val="center"/>
          </w:tcPr>
          <w:p w14:paraId="41A822C9">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bidi="ar"/>
              </w:rPr>
              <w:t>0471-6648989</w:t>
            </w:r>
          </w:p>
        </w:tc>
        <w:tc>
          <w:tcPr>
            <w:tcW w:w="1001" w:type="pct"/>
            <w:vAlign w:val="center"/>
          </w:tcPr>
          <w:p w14:paraId="2F236900">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仿宋" w:hAnsi="仿宋" w:eastAsia="仿宋" w:cs="宋体"/>
                <w:color w:val="auto"/>
                <w:kern w:val="0"/>
                <w:sz w:val="24"/>
                <w:highlight w:val="none"/>
                <w:lang w:val="en-US" w:eastAsia="zh-CN" w:bidi="ar"/>
              </w:rPr>
              <w:t>0471-6291320</w:t>
            </w:r>
          </w:p>
        </w:tc>
      </w:tr>
      <w:tr w14:paraId="3F9A4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33003E0D">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bidi="ar"/>
              </w:rPr>
              <w:t>1</w:t>
            </w:r>
            <w:r>
              <w:rPr>
                <w:rFonts w:hint="eastAsia" w:ascii="仿宋" w:hAnsi="仿宋" w:eastAsia="仿宋" w:cs="宋体"/>
                <w:color w:val="auto"/>
                <w:kern w:val="0"/>
                <w:sz w:val="24"/>
                <w:highlight w:val="none"/>
                <w:lang w:val="en-US" w:eastAsia="zh-CN" w:bidi="ar"/>
              </w:rPr>
              <w:t>2</w:t>
            </w:r>
          </w:p>
        </w:tc>
        <w:tc>
          <w:tcPr>
            <w:tcW w:w="2501" w:type="pct"/>
            <w:gridSpan w:val="3"/>
            <w:vAlign w:val="center"/>
          </w:tcPr>
          <w:p w14:paraId="1F17EB80">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鄂尔多斯市应急管理局</w:t>
            </w:r>
          </w:p>
        </w:tc>
        <w:tc>
          <w:tcPr>
            <w:tcW w:w="995" w:type="pct"/>
            <w:vAlign w:val="center"/>
          </w:tcPr>
          <w:p w14:paraId="11D4CEF2">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eastAsia="zh-CN" w:bidi="ar"/>
              </w:rPr>
            </w:pPr>
            <w:r>
              <w:rPr>
                <w:rFonts w:hint="eastAsia" w:ascii="宋体" w:hAnsi="宋体" w:cs="宋体"/>
                <w:color w:val="auto"/>
                <w:spacing w:val="0"/>
                <w:w w:val="100"/>
                <w:kern w:val="0"/>
                <w:position w:val="0"/>
                <w:sz w:val="24"/>
                <w:szCs w:val="24"/>
                <w:highlight w:val="none"/>
                <w:shd w:val="clear" w:color="auto" w:fill="auto"/>
                <w:lang w:val="en-US" w:eastAsia="zh-CN" w:bidi="zh-CN"/>
              </w:rPr>
              <w:t>0477-8589622</w:t>
            </w:r>
          </w:p>
        </w:tc>
        <w:tc>
          <w:tcPr>
            <w:tcW w:w="1001" w:type="pct"/>
            <w:vAlign w:val="center"/>
          </w:tcPr>
          <w:p w14:paraId="142ADBFA">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0477-</w:t>
            </w:r>
            <w:r>
              <w:rPr>
                <w:rFonts w:hint="eastAsia" w:ascii="仿宋" w:hAnsi="仿宋" w:eastAsia="仿宋" w:cs="宋体"/>
                <w:color w:val="auto"/>
                <w:kern w:val="0"/>
                <w:sz w:val="24"/>
                <w:highlight w:val="none"/>
                <w:lang w:val="en-US" w:eastAsia="zh-CN" w:bidi="ar"/>
              </w:rPr>
              <w:t>8581235</w:t>
            </w:r>
          </w:p>
        </w:tc>
      </w:tr>
      <w:tr w14:paraId="634E2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rPr>
        <w:tc>
          <w:tcPr>
            <w:tcW w:w="500" w:type="pct"/>
            <w:vAlign w:val="center"/>
          </w:tcPr>
          <w:p w14:paraId="44CC0D37">
            <w:pPr>
              <w:pStyle w:val="35"/>
              <w:widowControl/>
              <w:spacing w:line="240" w:lineRule="auto"/>
              <w:ind w:firstLine="0" w:firstLineChars="0"/>
              <w:jc w:val="center"/>
              <w:textAlignment w:val="center"/>
              <w:rPr>
                <w:rFonts w:hint="eastAsia" w:ascii="仿宋" w:hAnsi="仿宋" w:eastAsia="仿宋" w:cs="宋体"/>
                <w:color w:val="auto"/>
                <w:kern w:val="0"/>
                <w:sz w:val="24"/>
                <w:highlight w:val="none"/>
                <w:lang w:eastAsia="zh-CN" w:bidi="ar"/>
              </w:rPr>
            </w:pPr>
            <w:r>
              <w:rPr>
                <w:rFonts w:hint="eastAsia" w:ascii="仿宋" w:hAnsi="仿宋" w:eastAsia="仿宋" w:cs="宋体"/>
                <w:color w:val="auto"/>
                <w:kern w:val="0"/>
                <w:sz w:val="24"/>
                <w:highlight w:val="none"/>
                <w:lang w:val="en-US" w:eastAsia="zh-CN" w:bidi="ar"/>
              </w:rPr>
              <w:t>13</w:t>
            </w:r>
          </w:p>
        </w:tc>
        <w:tc>
          <w:tcPr>
            <w:tcW w:w="2501" w:type="pct"/>
            <w:gridSpan w:val="3"/>
            <w:vAlign w:val="center"/>
          </w:tcPr>
          <w:p w14:paraId="2803EE7B">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仿宋" w:hAnsi="仿宋" w:eastAsia="仿宋" w:cs="宋体"/>
                <w:color w:val="auto"/>
                <w:kern w:val="0"/>
                <w:sz w:val="24"/>
                <w:highlight w:val="none"/>
                <w:lang w:bidi="ar"/>
              </w:rPr>
              <w:t>内蒙古自治区应急管理厅</w:t>
            </w:r>
          </w:p>
        </w:tc>
        <w:tc>
          <w:tcPr>
            <w:tcW w:w="995" w:type="pct"/>
            <w:vAlign w:val="center"/>
          </w:tcPr>
          <w:p w14:paraId="6F8238ED">
            <w:pPr>
              <w:pStyle w:val="35"/>
              <w:widowControl/>
              <w:spacing w:line="240" w:lineRule="auto"/>
              <w:ind w:firstLine="0" w:firstLineChars="0"/>
              <w:jc w:val="center"/>
              <w:textAlignment w:val="center"/>
              <w:rPr>
                <w:rFonts w:ascii="仿宋" w:hAnsi="仿宋" w:eastAsia="仿宋" w:cs="宋体"/>
                <w:color w:val="auto"/>
                <w:kern w:val="0"/>
                <w:sz w:val="24"/>
                <w:highlight w:val="none"/>
                <w:lang w:bidi="ar"/>
              </w:rPr>
            </w:pPr>
            <w:r>
              <w:rPr>
                <w:rFonts w:hint="eastAsia" w:ascii="宋体" w:hAnsi="宋体" w:cs="宋体"/>
                <w:color w:val="auto"/>
                <w:spacing w:val="0"/>
                <w:w w:val="100"/>
                <w:kern w:val="0"/>
                <w:position w:val="0"/>
                <w:sz w:val="24"/>
                <w:szCs w:val="24"/>
                <w:highlight w:val="none"/>
                <w:shd w:val="clear" w:color="auto" w:fill="auto"/>
                <w:lang w:val="en-US" w:eastAsia="zh-CN" w:bidi="zh-CN"/>
              </w:rPr>
              <w:t>0471-4826786</w:t>
            </w:r>
          </w:p>
        </w:tc>
        <w:tc>
          <w:tcPr>
            <w:tcW w:w="1001" w:type="pct"/>
            <w:vAlign w:val="center"/>
          </w:tcPr>
          <w:p w14:paraId="636302AD">
            <w:pPr>
              <w:pStyle w:val="35"/>
              <w:widowControl/>
              <w:spacing w:line="240" w:lineRule="auto"/>
              <w:ind w:firstLine="0" w:firstLineChars="0"/>
              <w:jc w:val="center"/>
              <w:textAlignment w:val="center"/>
              <w:rPr>
                <w:rFonts w:hint="default" w:ascii="仿宋" w:hAnsi="仿宋" w:eastAsia="仿宋" w:cs="宋体"/>
                <w:color w:val="auto"/>
                <w:kern w:val="0"/>
                <w:sz w:val="24"/>
                <w:highlight w:val="none"/>
                <w:lang w:val="en-US" w:bidi="ar"/>
              </w:rPr>
            </w:pPr>
            <w:r>
              <w:rPr>
                <w:rFonts w:hint="eastAsia" w:ascii="宋体" w:hAnsi="宋体" w:cs="宋体"/>
                <w:color w:val="auto"/>
                <w:spacing w:val="0"/>
                <w:w w:val="100"/>
                <w:kern w:val="0"/>
                <w:position w:val="0"/>
                <w:sz w:val="24"/>
                <w:szCs w:val="24"/>
                <w:highlight w:val="none"/>
                <w:shd w:val="clear" w:color="auto" w:fill="auto"/>
                <w:lang w:val="en-US" w:eastAsia="zh-CN" w:bidi="zh-CN"/>
              </w:rPr>
              <w:t>0471—4828899</w:t>
            </w:r>
          </w:p>
        </w:tc>
      </w:tr>
    </w:tbl>
    <w:p w14:paraId="705F072E">
      <w:pPr>
        <w:pStyle w:val="44"/>
        <w:spacing w:line="360" w:lineRule="auto"/>
        <w:jc w:val="both"/>
        <w:outlineLvl w:val="3"/>
        <w:rPr>
          <w:rFonts w:hint="eastAsia" w:ascii="仿宋_GB2312" w:hAnsi="仿宋_GB2312" w:eastAsia="仿宋_GB2312" w:cs="仿宋_GB2312"/>
          <w:b/>
          <w:color w:val="auto"/>
          <w:kern w:val="2"/>
          <w:sz w:val="32"/>
          <w:szCs w:val="32"/>
          <w:highlight w:val="none"/>
        </w:rPr>
      </w:pPr>
    </w:p>
    <w:p w14:paraId="19932C54">
      <w:pPr>
        <w:pStyle w:val="44"/>
        <w:spacing w:line="360" w:lineRule="auto"/>
        <w:jc w:val="both"/>
        <w:outlineLvl w:val="3"/>
        <w:rPr>
          <w:rFonts w:hint="eastAsia" w:ascii="仿宋_GB2312" w:hAnsi="仿宋_GB2312" w:eastAsia="仿宋_GB2312" w:cs="仿宋_GB2312"/>
          <w:b/>
          <w:color w:val="auto"/>
          <w:kern w:val="2"/>
          <w:sz w:val="32"/>
          <w:szCs w:val="32"/>
          <w:highlight w:val="none"/>
        </w:rPr>
      </w:pPr>
    </w:p>
    <w:p w14:paraId="5730C193">
      <w:pPr>
        <w:pStyle w:val="44"/>
        <w:spacing w:line="360" w:lineRule="auto"/>
        <w:jc w:val="both"/>
        <w:outlineLvl w:val="3"/>
        <w:rPr>
          <w:rFonts w:hint="eastAsia" w:ascii="仿宋_GB2312" w:hAnsi="仿宋_GB2312" w:eastAsia="仿宋_GB2312" w:cs="仿宋_GB2312"/>
          <w:b/>
          <w:color w:val="auto"/>
          <w:kern w:val="2"/>
          <w:sz w:val="32"/>
          <w:szCs w:val="32"/>
          <w:highlight w:val="none"/>
        </w:rPr>
      </w:pPr>
    </w:p>
    <w:p w14:paraId="3ED202CD">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4</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兼职救护队人员信息表</w:t>
      </w:r>
    </w:p>
    <w:tbl>
      <w:tblPr>
        <w:tblStyle w:val="2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2"/>
        <w:gridCol w:w="1107"/>
        <w:gridCol w:w="1684"/>
        <w:gridCol w:w="962"/>
        <w:gridCol w:w="1513"/>
        <w:gridCol w:w="3018"/>
      </w:tblGrid>
      <w:tr w14:paraId="41853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38BE2">
            <w:pPr>
              <w:keepNext w:val="0"/>
              <w:keepLines w:val="0"/>
              <w:widowControl/>
              <w:suppressLineNumbers w:val="0"/>
              <w:jc w:val="center"/>
              <w:textAlignment w:val="center"/>
              <w:rPr>
                <w:rFonts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序号</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96BA">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姓  名</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DF55">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队内职务</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61FD">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年龄</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E80A">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联系电话</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30FE8">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身份证号</w:t>
            </w:r>
          </w:p>
        </w:tc>
      </w:tr>
      <w:tr w14:paraId="2F5C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8EC4">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033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张龙宝</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13A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队长</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FE1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33</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84E9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18266519393</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9B24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370982199308297276</w:t>
            </w:r>
          </w:p>
        </w:tc>
      </w:tr>
      <w:tr w14:paraId="52B6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F355C">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66E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王大力</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1AE2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副队长</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0F9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43</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D9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15774775666</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25B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370982198310264372</w:t>
            </w:r>
          </w:p>
        </w:tc>
      </w:tr>
      <w:tr w14:paraId="60DE5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FD22">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40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赵鹏飞</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B4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技术员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29D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29</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3797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18135836887</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22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142226199706078618</w:t>
            </w:r>
          </w:p>
        </w:tc>
      </w:tr>
      <w:tr w14:paraId="6E89A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7E3D">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414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王峰</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57ED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装备管理员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7AD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44</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494A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18253869339</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82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370982198209143074</w:t>
            </w:r>
          </w:p>
        </w:tc>
      </w:tr>
      <w:tr w14:paraId="5940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0712">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F153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周晓龙</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5632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B97F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43</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38A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15934956978</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B3D6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622226198312132036</w:t>
            </w:r>
          </w:p>
        </w:tc>
      </w:tr>
      <w:tr w14:paraId="0F99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0187">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3714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陈良</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FAB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3E0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42</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F8F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15105389912</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1E3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370982198404231037</w:t>
            </w:r>
          </w:p>
        </w:tc>
      </w:tr>
      <w:tr w14:paraId="1542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BA377">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6121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纪文龙</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85F8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1B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39</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121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13126797731</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06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370921198712230631</w:t>
            </w:r>
          </w:p>
        </w:tc>
      </w:tr>
      <w:tr w14:paraId="2F12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321E">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C4E2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刘永刚</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A44F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57C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45</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1A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15009679409</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DB14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642223198112252054</w:t>
            </w:r>
          </w:p>
        </w:tc>
      </w:tr>
      <w:tr w14:paraId="2BED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38EA">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5B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乔丕永</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69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1F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44</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B73C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13563833856</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903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370982198201155310</w:t>
            </w:r>
          </w:p>
        </w:tc>
      </w:tr>
      <w:tr w14:paraId="1E082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C8AF">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3F77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郭磊</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7FD8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73F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41</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4B6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13625481925</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941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370982198501113876</w:t>
            </w:r>
          </w:p>
        </w:tc>
      </w:tr>
      <w:tr w14:paraId="5E7D5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3C32">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A87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张帅伟</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28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9FC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20</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5DC2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13947925103</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4939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152527200203162412</w:t>
            </w:r>
          </w:p>
        </w:tc>
      </w:tr>
      <w:tr w14:paraId="1A501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8082">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A7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李刚刚</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2A4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68E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32</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433D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18049337526</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8B8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612730199410091113</w:t>
            </w:r>
          </w:p>
        </w:tc>
      </w:tr>
      <w:tr w14:paraId="648C2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6655">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4FF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秦 鑫</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4B5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0A3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28</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C3A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13402285317</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CAB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370883199809215110</w:t>
            </w:r>
          </w:p>
        </w:tc>
      </w:tr>
      <w:tr w14:paraId="3840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21D1C">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6D7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冯鹏鹏</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4B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F437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25</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419F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18609223517</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C57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61273120010626101X</w:t>
            </w:r>
          </w:p>
        </w:tc>
      </w:tr>
      <w:tr w14:paraId="4013B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4E849">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EB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王洪铮</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59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BD5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835F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18863213859</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2A6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370982200204171834</w:t>
            </w:r>
          </w:p>
        </w:tc>
      </w:tr>
      <w:tr w14:paraId="28963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3058">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16</w:t>
            </w:r>
          </w:p>
        </w:tc>
        <w:tc>
          <w:tcPr>
            <w:tcW w:w="611" w:type="pct"/>
            <w:tcBorders>
              <w:top w:val="single" w:color="000000" w:sz="4" w:space="0"/>
              <w:left w:val="single" w:color="000000" w:sz="4" w:space="0"/>
              <w:bottom w:val="single" w:color="auto" w:sz="4" w:space="0"/>
              <w:right w:val="single" w:color="000000" w:sz="4" w:space="0"/>
            </w:tcBorders>
            <w:shd w:val="clear" w:color="auto" w:fill="auto"/>
            <w:vAlign w:val="center"/>
          </w:tcPr>
          <w:p w14:paraId="1728D3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张龙祥</w:t>
            </w:r>
          </w:p>
        </w:tc>
        <w:tc>
          <w:tcPr>
            <w:tcW w:w="929" w:type="pct"/>
            <w:tcBorders>
              <w:top w:val="single" w:color="000000" w:sz="4" w:space="0"/>
              <w:left w:val="single" w:color="000000" w:sz="4" w:space="0"/>
              <w:bottom w:val="single" w:color="auto" w:sz="4" w:space="0"/>
              <w:right w:val="single" w:color="000000" w:sz="4" w:space="0"/>
            </w:tcBorders>
            <w:shd w:val="clear" w:color="auto" w:fill="auto"/>
            <w:vAlign w:val="center"/>
          </w:tcPr>
          <w:p w14:paraId="383B3FF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auto" w:sz="4" w:space="0"/>
              <w:right w:val="single" w:color="000000" w:sz="4" w:space="0"/>
            </w:tcBorders>
            <w:shd w:val="clear" w:color="auto" w:fill="auto"/>
            <w:vAlign w:val="center"/>
          </w:tcPr>
          <w:p w14:paraId="62F3E7C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33</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19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18709670164</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918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410927199304015073</w:t>
            </w:r>
          </w:p>
        </w:tc>
      </w:tr>
      <w:tr w14:paraId="2C51D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426" w:type="pct"/>
            <w:tcBorders>
              <w:top w:val="single" w:color="000000" w:sz="4" w:space="0"/>
              <w:left w:val="single" w:color="000000" w:sz="4" w:space="0"/>
              <w:bottom w:val="single" w:color="000000" w:sz="4" w:space="0"/>
              <w:right w:val="single" w:color="auto" w:sz="4" w:space="0"/>
            </w:tcBorders>
            <w:shd w:val="clear" w:color="auto" w:fill="auto"/>
            <w:vAlign w:val="center"/>
          </w:tcPr>
          <w:p w14:paraId="79425F26">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17</w:t>
            </w:r>
          </w:p>
        </w:tc>
        <w:tc>
          <w:tcPr>
            <w:tcW w:w="611" w:type="pct"/>
            <w:tcBorders>
              <w:top w:val="single" w:color="auto" w:sz="4" w:space="0"/>
              <w:left w:val="single" w:color="auto" w:sz="4" w:space="0"/>
              <w:bottom w:val="single" w:color="auto" w:sz="4" w:space="0"/>
              <w:right w:val="single" w:color="auto" w:sz="4" w:space="0"/>
            </w:tcBorders>
            <w:shd w:val="clear" w:color="auto" w:fill="auto"/>
            <w:vAlign w:val="center"/>
          </w:tcPr>
          <w:p w14:paraId="1B5859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张林</w:t>
            </w:r>
          </w:p>
        </w:tc>
        <w:tc>
          <w:tcPr>
            <w:tcW w:w="929" w:type="pct"/>
            <w:tcBorders>
              <w:top w:val="single" w:color="auto" w:sz="4" w:space="0"/>
              <w:left w:val="single" w:color="auto" w:sz="4" w:space="0"/>
              <w:bottom w:val="single" w:color="auto" w:sz="4" w:space="0"/>
              <w:right w:val="single" w:color="auto" w:sz="4" w:space="0"/>
            </w:tcBorders>
            <w:shd w:val="clear" w:color="auto" w:fill="auto"/>
            <w:vAlign w:val="center"/>
          </w:tcPr>
          <w:p w14:paraId="135A6C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63479E6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39</w:t>
            </w:r>
          </w:p>
        </w:tc>
        <w:tc>
          <w:tcPr>
            <w:tcW w:w="83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6C044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15750691097</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BEC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370982198707185357</w:t>
            </w:r>
          </w:p>
        </w:tc>
      </w:tr>
      <w:tr w14:paraId="3051C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77B25">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18</w:t>
            </w:r>
          </w:p>
        </w:tc>
        <w:tc>
          <w:tcPr>
            <w:tcW w:w="611" w:type="pct"/>
            <w:tcBorders>
              <w:top w:val="single" w:color="auto" w:sz="4" w:space="0"/>
              <w:left w:val="single" w:color="000000" w:sz="4" w:space="0"/>
              <w:bottom w:val="nil"/>
              <w:right w:val="single" w:color="000000" w:sz="4" w:space="0"/>
            </w:tcBorders>
            <w:shd w:val="clear" w:color="auto" w:fill="auto"/>
            <w:vAlign w:val="center"/>
          </w:tcPr>
          <w:p w14:paraId="6F76F18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于辰旭</w:t>
            </w:r>
          </w:p>
        </w:tc>
        <w:tc>
          <w:tcPr>
            <w:tcW w:w="929" w:type="pct"/>
            <w:tcBorders>
              <w:top w:val="single" w:color="auto" w:sz="4" w:space="0"/>
              <w:left w:val="single" w:color="000000" w:sz="4" w:space="0"/>
              <w:bottom w:val="nil"/>
              <w:right w:val="single" w:color="000000" w:sz="4" w:space="0"/>
            </w:tcBorders>
            <w:shd w:val="clear" w:color="auto" w:fill="auto"/>
            <w:vAlign w:val="center"/>
          </w:tcPr>
          <w:p w14:paraId="6CF233F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auto" w:sz="4" w:space="0"/>
              <w:left w:val="single" w:color="000000" w:sz="4" w:space="0"/>
              <w:bottom w:val="nil"/>
              <w:right w:val="single" w:color="000000" w:sz="4" w:space="0"/>
            </w:tcBorders>
            <w:shd w:val="clear" w:color="auto" w:fill="auto"/>
            <w:vAlign w:val="center"/>
          </w:tcPr>
          <w:p w14:paraId="18CB678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51B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13015054999</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C09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150204200006071535</w:t>
            </w:r>
          </w:p>
        </w:tc>
      </w:tr>
      <w:tr w14:paraId="0005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4E3B">
            <w:pPr>
              <w:keepNext w:val="0"/>
              <w:keepLines w:val="0"/>
              <w:widowControl/>
              <w:suppressLineNumbers w:val="0"/>
              <w:jc w:val="center"/>
              <w:textAlignment w:val="center"/>
              <w:rPr>
                <w:rFonts w:hint="default" w:ascii="仿宋_GB2312" w:hAnsi="等线" w:eastAsia="仿宋_GB2312" w:cs="仿宋_GB2312"/>
                <w:i w:val="0"/>
                <w:iCs w:val="0"/>
                <w:color w:val="auto"/>
                <w:sz w:val="28"/>
                <w:szCs w:val="28"/>
                <w:highlight w:val="none"/>
                <w:u w:val="none"/>
                <w:lang w:val="en-US"/>
              </w:rPr>
            </w:pPr>
            <w:r>
              <w:rPr>
                <w:rFonts w:hint="eastAsia" w:ascii="仿宋_GB2312" w:hAnsi="等线" w:eastAsia="仿宋_GB2312" w:cs="仿宋_GB2312"/>
                <w:i w:val="0"/>
                <w:iCs w:val="0"/>
                <w:color w:val="auto"/>
                <w:kern w:val="0"/>
                <w:sz w:val="28"/>
                <w:szCs w:val="28"/>
                <w:highlight w:val="none"/>
                <w:u w:val="none"/>
                <w:lang w:val="en-US" w:eastAsia="zh-CN" w:bidi="ar"/>
              </w:rPr>
              <w:t>19</w:t>
            </w:r>
          </w:p>
        </w:tc>
        <w:tc>
          <w:tcPr>
            <w:tcW w:w="611" w:type="pct"/>
            <w:tcBorders>
              <w:top w:val="single" w:color="000000" w:sz="4" w:space="0"/>
              <w:left w:val="single" w:color="000000" w:sz="4" w:space="0"/>
              <w:bottom w:val="nil"/>
              <w:right w:val="single" w:color="000000" w:sz="4" w:space="0"/>
            </w:tcBorders>
            <w:shd w:val="clear" w:color="auto" w:fill="auto"/>
            <w:vAlign w:val="center"/>
          </w:tcPr>
          <w:p w14:paraId="7E096D5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文淑迪</w:t>
            </w:r>
          </w:p>
        </w:tc>
        <w:tc>
          <w:tcPr>
            <w:tcW w:w="929" w:type="pct"/>
            <w:tcBorders>
              <w:top w:val="single" w:color="000000" w:sz="4" w:space="0"/>
              <w:left w:val="single" w:color="000000" w:sz="4" w:space="0"/>
              <w:bottom w:val="nil"/>
              <w:right w:val="single" w:color="000000" w:sz="4" w:space="0"/>
            </w:tcBorders>
            <w:shd w:val="clear" w:color="auto" w:fill="auto"/>
            <w:vAlign w:val="center"/>
          </w:tcPr>
          <w:p w14:paraId="537CC88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nil"/>
              <w:right w:val="single" w:color="000000" w:sz="4" w:space="0"/>
            </w:tcBorders>
            <w:shd w:val="clear" w:color="auto" w:fill="auto"/>
            <w:vAlign w:val="center"/>
          </w:tcPr>
          <w:p w14:paraId="417BF3E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sz w:val="24"/>
                <w:szCs w:val="24"/>
                <w:highlight w:val="none"/>
                <w:u w:val="none"/>
                <w:lang w:val="en-US" w:eastAsia="zh-CN"/>
              </w:rPr>
              <w:t>27</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FA1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15726583697</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F5A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37088319990829191X </w:t>
            </w:r>
          </w:p>
        </w:tc>
      </w:tr>
      <w:tr w14:paraId="33F4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717B">
            <w:pPr>
              <w:keepNext w:val="0"/>
              <w:keepLines w:val="0"/>
              <w:widowControl/>
              <w:suppressLineNumbers w:val="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仿宋_GB2312" w:hAnsi="等线" w:eastAsia="仿宋_GB2312" w:cs="仿宋_GB2312"/>
                <w:i w:val="0"/>
                <w:iCs w:val="0"/>
                <w:color w:val="auto"/>
                <w:kern w:val="0"/>
                <w:sz w:val="28"/>
                <w:szCs w:val="28"/>
                <w:highlight w:val="none"/>
                <w:u w:val="none"/>
                <w:lang w:val="en-US" w:eastAsia="zh-CN" w:bidi="ar"/>
              </w:rPr>
              <w:t>20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FBB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eastAsia="宋体" w:cs="宋体"/>
                <w:i w:val="0"/>
                <w:iCs w:val="0"/>
                <w:color w:val="auto"/>
                <w:kern w:val="0"/>
                <w:sz w:val="22"/>
                <w:szCs w:val="22"/>
                <w:highlight w:val="none"/>
                <w:u w:val="none"/>
                <w:lang w:val="en-US" w:eastAsia="zh-CN" w:bidi="ar"/>
              </w:rPr>
              <w:t>高润泽</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410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893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sz w:val="28"/>
                <w:szCs w:val="28"/>
                <w:highlight w:val="none"/>
                <w:u w:val="none"/>
              </w:rPr>
            </w:pPr>
            <w:r>
              <w:rPr>
                <w:rFonts w:hint="eastAsia" w:ascii="宋体" w:hAnsi="宋体" w:cs="宋体"/>
                <w:i w:val="0"/>
                <w:iCs w:val="0"/>
                <w:color w:val="auto"/>
                <w:kern w:val="0"/>
                <w:sz w:val="24"/>
                <w:szCs w:val="24"/>
                <w:highlight w:val="none"/>
                <w:u w:val="none"/>
                <w:lang w:val="en-US" w:eastAsia="zh-CN" w:bidi="ar"/>
              </w:rPr>
              <w:t>25</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851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15953826562</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AA3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370982200107013893</w:t>
            </w:r>
          </w:p>
        </w:tc>
      </w:tr>
      <w:tr w14:paraId="0666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9610D">
            <w:pPr>
              <w:keepNext w:val="0"/>
              <w:keepLines w:val="0"/>
              <w:widowControl/>
              <w:suppressLineNumbers w:val="0"/>
              <w:jc w:val="center"/>
              <w:textAlignment w:val="center"/>
              <w:rPr>
                <w:rFonts w:hint="default" w:ascii="仿宋_GB2312" w:hAnsi="等线" w:eastAsia="仿宋_GB2312" w:cs="仿宋_GB2312"/>
                <w:i w:val="0"/>
                <w:iCs w:val="0"/>
                <w:color w:val="auto"/>
                <w:kern w:val="0"/>
                <w:sz w:val="28"/>
                <w:szCs w:val="28"/>
                <w:highlight w:val="none"/>
                <w:u w:val="none"/>
                <w:lang w:val="en-US" w:eastAsia="zh-CN" w:bidi="ar"/>
              </w:rPr>
            </w:pPr>
            <w:r>
              <w:rPr>
                <w:rFonts w:hint="eastAsia" w:ascii="仿宋_GB2312" w:hAnsi="等线" w:eastAsia="仿宋_GB2312" w:cs="仿宋_GB2312"/>
                <w:i w:val="0"/>
                <w:iCs w:val="0"/>
                <w:color w:val="auto"/>
                <w:kern w:val="0"/>
                <w:sz w:val="28"/>
                <w:szCs w:val="28"/>
                <w:highlight w:val="none"/>
                <w:u w:val="none"/>
                <w:lang w:val="en-US" w:eastAsia="zh-CN" w:bidi="ar"/>
              </w:rPr>
              <w:t>21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297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kern w:val="0"/>
                <w:sz w:val="28"/>
                <w:szCs w:val="28"/>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王锐</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73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队员</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9352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等线" w:eastAsia="仿宋_GB2312" w:cs="仿宋_GB2312"/>
                <w:i w:val="0"/>
                <w:iCs w:val="0"/>
                <w:color w:val="auto"/>
                <w:kern w:val="0"/>
                <w:sz w:val="28"/>
                <w:szCs w:val="28"/>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22</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3A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18729826106</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24A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610828200409043015</w:t>
            </w:r>
          </w:p>
        </w:tc>
      </w:tr>
    </w:tbl>
    <w:p w14:paraId="169BFF22">
      <w:pPr>
        <w:rPr>
          <w:color w:val="auto"/>
          <w:highlight w:val="none"/>
        </w:rPr>
      </w:pPr>
      <w:r>
        <w:rPr>
          <w:color w:val="auto"/>
          <w:highlight w:val="none"/>
        </w:rPr>
        <w:br w:type="page"/>
      </w:r>
    </w:p>
    <w:p w14:paraId="502DA8BB">
      <w:pPr>
        <w:wordWrap w:val="0"/>
        <w:adjustRightInd w:val="0"/>
        <w:snapToGrid w:val="0"/>
        <w:spacing w:line="560" w:lineRule="exact"/>
        <w:outlineLvl w:val="0"/>
        <w:rPr>
          <w:rFonts w:ascii="黑体" w:hAnsi="黑体" w:eastAsia="黑体" w:cs="黑体"/>
          <w:b/>
          <w:color w:val="auto"/>
          <w:sz w:val="30"/>
          <w:szCs w:val="30"/>
          <w:highlight w:val="none"/>
        </w:rPr>
      </w:pPr>
      <w:bookmarkStart w:id="615" w:name="_Toc23652"/>
      <w:r>
        <w:rPr>
          <w:rFonts w:hint="eastAsia" w:ascii="黑体" w:hAnsi="黑体" w:eastAsia="黑体" w:cs="黑体"/>
          <w:b/>
          <w:color w:val="auto"/>
          <w:sz w:val="30"/>
          <w:szCs w:val="30"/>
          <w:highlight w:val="none"/>
        </w:rPr>
        <w:t>6 格式化文本</w:t>
      </w:r>
      <w:bookmarkEnd w:id="608"/>
      <w:bookmarkEnd w:id="609"/>
      <w:bookmarkEnd w:id="610"/>
      <w:bookmarkEnd w:id="611"/>
      <w:bookmarkEnd w:id="612"/>
      <w:bookmarkEnd w:id="613"/>
      <w:bookmarkEnd w:id="614"/>
      <w:bookmarkEnd w:id="615"/>
    </w:p>
    <w:p w14:paraId="094D1BE0">
      <w:pPr>
        <w:pStyle w:val="27"/>
        <w:rPr>
          <w:color w:val="auto"/>
          <w:highlight w:val="none"/>
        </w:rPr>
      </w:pPr>
      <w:bookmarkStart w:id="616" w:name="_Toc18320"/>
    </w:p>
    <w:p w14:paraId="4C2A9A85">
      <w:pPr>
        <w:pStyle w:val="27"/>
        <w:rPr>
          <w:color w:val="auto"/>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4</w:t>
      </w:r>
      <w:r>
        <w:rPr>
          <w:rFonts w:hint="eastAsia"/>
          <w:color w:val="auto"/>
          <w:highlight w:val="none"/>
        </w:rPr>
        <w:t>预案启动格式化</w:t>
      </w:r>
    </w:p>
    <w:p w14:paraId="21B90BA8">
      <w:pPr>
        <w:adjustRightInd w:val="0"/>
        <w:snapToGrid w:val="0"/>
        <w:spacing w:line="560" w:lineRule="exact"/>
        <w:jc w:val="center"/>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lang w:eastAsia="zh-CN"/>
        </w:rPr>
        <w:t>长城一矿</w:t>
      </w:r>
      <w:r>
        <w:rPr>
          <w:rFonts w:hint="eastAsia" w:ascii="仿宋" w:hAnsi="仿宋" w:eastAsia="仿宋" w:cs="仿宋"/>
          <w:b/>
          <w:bCs/>
          <w:color w:val="auto"/>
          <w:sz w:val="30"/>
          <w:szCs w:val="30"/>
          <w:highlight w:val="none"/>
        </w:rPr>
        <w:t>关于启动</w:t>
      </w:r>
      <w:r>
        <w:rPr>
          <w:rFonts w:hint="eastAsia" w:ascii="仿宋" w:hAnsi="仿宋" w:eastAsia="仿宋" w:cs="仿宋"/>
          <w:b/>
          <w:bCs/>
          <w:color w:val="auto"/>
          <w:sz w:val="30"/>
          <w:szCs w:val="30"/>
          <w:highlight w:val="none"/>
          <w:u w:val="single"/>
        </w:rPr>
        <w:t xml:space="preserve">          </w:t>
      </w:r>
      <w:r>
        <w:rPr>
          <w:rFonts w:hint="eastAsia" w:ascii="仿宋" w:hAnsi="仿宋" w:eastAsia="仿宋" w:cs="仿宋"/>
          <w:b/>
          <w:bCs/>
          <w:color w:val="auto"/>
          <w:sz w:val="30"/>
          <w:szCs w:val="30"/>
          <w:highlight w:val="none"/>
        </w:rPr>
        <w:t>（安全事故） 应急预案的通知 </w:t>
      </w:r>
    </w:p>
    <w:p w14:paraId="4AD693B0">
      <w:pPr>
        <w:adjustRightInd w:val="0"/>
        <w:snapToGrid w:val="0"/>
        <w:spacing w:line="560" w:lineRule="exact"/>
        <w:jc w:val="center"/>
        <w:rPr>
          <w:rFonts w:ascii="仿宋" w:hAnsi="仿宋" w:eastAsia="仿宋" w:cs="仿宋"/>
          <w:color w:val="auto"/>
          <w:sz w:val="30"/>
          <w:szCs w:val="30"/>
          <w:highlight w:val="none"/>
        </w:rPr>
      </w:pPr>
      <w:r>
        <w:rPr>
          <w:rFonts w:hint="eastAsia" w:ascii="仿宋" w:hAnsi="仿宋" w:eastAsia="仿宋" w:cs="仿宋"/>
          <w:color w:val="auto"/>
          <w:sz w:val="30"/>
          <w:szCs w:val="30"/>
          <w:highlight w:val="none"/>
          <w:lang w:eastAsia="zh-CN"/>
        </w:rPr>
        <w:t>长城一矿</w:t>
      </w:r>
      <w:r>
        <w:rPr>
          <w:rFonts w:hint="eastAsia" w:ascii="仿宋" w:hAnsi="仿宋" w:eastAsia="仿宋" w:cs="仿宋"/>
          <w:color w:val="auto"/>
          <w:sz w:val="30"/>
          <w:szCs w:val="30"/>
          <w:highlight w:val="none"/>
        </w:rPr>
        <w:t>字〔    〕</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号 </w:t>
      </w:r>
    </w:p>
    <w:p w14:paraId="788C3022">
      <w:pPr>
        <w:adjustRightInd w:val="0"/>
        <w:snapToGrid w:val="0"/>
        <w:spacing w:line="560" w:lineRule="exact"/>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： </w:t>
      </w:r>
    </w:p>
    <w:p w14:paraId="3B9C1779">
      <w:pPr>
        <w:adjustRightInd w:val="0"/>
        <w:snapToGrid w:val="0"/>
        <w:spacing w:line="560" w:lineRule="exact"/>
        <w:ind w:firstLine="600" w:firstLineChars="200"/>
        <w:rPr>
          <w:rFonts w:ascii="仿宋" w:hAnsi="仿宋" w:eastAsia="仿宋" w:cs="仿宋"/>
          <w:color w:val="auto"/>
          <w:sz w:val="30"/>
          <w:szCs w:val="30"/>
          <w:highlight w:val="none"/>
        </w:rPr>
      </w:pPr>
      <w:r>
        <w:rPr>
          <w:rFonts w:hint="eastAsia" w:ascii="仿宋" w:hAnsi="仿宋" w:eastAsia="仿宋" w:cs="仿宋"/>
          <w:color w:val="auto"/>
          <w:sz w:val="30"/>
          <w:szCs w:val="30"/>
          <w:highlight w:val="none"/>
          <w:u w:val="single"/>
        </w:rPr>
        <w:t>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月</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日</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时，我公司</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（地点），发生了</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（安全事故）。到目前，已造成（人员伤亡数量、财产损失等情况）。事件的原因是</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（或者原因正在调查）。 鉴于</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（事件的严重、紧急程度等）预警状态。根据有关法规和《</w:t>
      </w:r>
      <w:r>
        <w:rPr>
          <w:rFonts w:hint="eastAsia" w:ascii="仿宋" w:hAnsi="仿宋" w:eastAsia="仿宋" w:cs="仿宋"/>
          <w:color w:val="auto"/>
          <w:sz w:val="30"/>
          <w:szCs w:val="30"/>
          <w:highlight w:val="none"/>
          <w:lang w:eastAsia="zh-CN"/>
        </w:rPr>
        <w:t>长城一矿</w:t>
      </w:r>
      <w:r>
        <w:rPr>
          <w:rFonts w:hint="eastAsia" w:ascii="仿宋" w:hAnsi="仿宋" w:eastAsia="仿宋" w:cs="仿宋"/>
          <w:color w:val="auto"/>
          <w:sz w:val="30"/>
          <w:szCs w:val="30"/>
          <w:highlight w:val="none"/>
        </w:rPr>
        <w:t>生产安全事故应急预案》之规定，经研究，决定启动应急预案。</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（对有关部门和单位的工作提出要求。） </w:t>
      </w:r>
    </w:p>
    <w:p w14:paraId="709F68A8">
      <w:pPr>
        <w:adjustRightInd w:val="0"/>
        <w:snapToGrid w:val="0"/>
        <w:spacing w:line="560" w:lineRule="exact"/>
        <w:ind w:firstLine="600" w:firstLineChars="200"/>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特此公告！ </w:t>
      </w:r>
    </w:p>
    <w:p w14:paraId="78CCD07C">
      <w:pPr>
        <w:adjustRightInd w:val="0"/>
        <w:snapToGrid w:val="0"/>
        <w:spacing w:line="560" w:lineRule="exact"/>
        <w:jc w:val="right"/>
        <w:rPr>
          <w:rFonts w:ascii="仿宋" w:hAnsi="仿宋" w:eastAsia="仿宋" w:cs="仿宋"/>
          <w:color w:val="auto"/>
          <w:sz w:val="30"/>
          <w:szCs w:val="30"/>
          <w:highlight w:val="none"/>
        </w:rPr>
      </w:pPr>
    </w:p>
    <w:p w14:paraId="70C94906">
      <w:pPr>
        <w:adjustRightInd w:val="0"/>
        <w:snapToGrid w:val="0"/>
        <w:spacing w:line="560" w:lineRule="exact"/>
        <w:jc w:val="right"/>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（盖章）</w:t>
      </w:r>
    </w:p>
    <w:p w14:paraId="0D5A24F9">
      <w:pPr>
        <w:adjustRightInd w:val="0"/>
        <w:snapToGrid w:val="0"/>
        <w:spacing w:line="560" w:lineRule="exact"/>
        <w:jc w:val="right"/>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 年  月  日</w:t>
      </w:r>
    </w:p>
    <w:p w14:paraId="6C71AA3C">
      <w:pPr>
        <w:adjustRightInd w:val="0"/>
        <w:snapToGrid w:val="0"/>
        <w:spacing w:line="520" w:lineRule="exact"/>
        <w:rPr>
          <w:rFonts w:ascii="仿宋_GB2312" w:hAnsi="仿宋_GB2312" w:eastAsia="仿宋_GB2312" w:cs="仿宋_GB2312"/>
          <w:color w:val="auto"/>
          <w:sz w:val="28"/>
          <w:szCs w:val="28"/>
          <w:highlight w:val="none"/>
        </w:rPr>
      </w:pPr>
    </w:p>
    <w:p w14:paraId="1361ADEC">
      <w:pPr>
        <w:wordWrap w:val="0"/>
        <w:adjustRightInd w:val="0"/>
        <w:snapToGrid w:val="0"/>
        <w:spacing w:line="560" w:lineRule="exact"/>
        <w:jc w:val="center"/>
        <w:rPr>
          <w:rFonts w:ascii="仿宋_GB2312" w:hAnsi="仿宋_GB2312" w:eastAsia="仿宋_GB2312" w:cs="仿宋_GB2312"/>
          <w:b/>
          <w:color w:val="auto"/>
          <w:sz w:val="32"/>
          <w:szCs w:val="32"/>
          <w:highlight w:val="none"/>
        </w:rPr>
      </w:pPr>
    </w:p>
    <w:p w14:paraId="5253202A">
      <w:pPr>
        <w:wordWrap w:val="0"/>
        <w:adjustRightInd w:val="0"/>
        <w:snapToGrid w:val="0"/>
        <w:spacing w:line="560" w:lineRule="exact"/>
        <w:jc w:val="center"/>
        <w:rPr>
          <w:rFonts w:ascii="仿宋_GB2312" w:hAnsi="仿宋_GB2312" w:eastAsia="仿宋_GB2312" w:cs="仿宋_GB2312"/>
          <w:b/>
          <w:color w:val="auto"/>
          <w:sz w:val="32"/>
          <w:szCs w:val="32"/>
          <w:highlight w:val="none"/>
        </w:rPr>
      </w:pPr>
    </w:p>
    <w:p w14:paraId="0D3C41E1">
      <w:pPr>
        <w:wordWrap w:val="0"/>
        <w:adjustRightInd w:val="0"/>
        <w:snapToGrid w:val="0"/>
        <w:spacing w:line="560" w:lineRule="exact"/>
        <w:jc w:val="center"/>
        <w:rPr>
          <w:rFonts w:ascii="仿宋_GB2312" w:hAnsi="仿宋_GB2312" w:eastAsia="仿宋_GB2312" w:cs="仿宋_GB2312"/>
          <w:b/>
          <w:color w:val="auto"/>
          <w:sz w:val="32"/>
          <w:szCs w:val="32"/>
          <w:highlight w:val="none"/>
        </w:rPr>
      </w:pPr>
    </w:p>
    <w:p w14:paraId="1CD15A83">
      <w:pPr>
        <w:wordWrap w:val="0"/>
        <w:adjustRightInd w:val="0"/>
        <w:snapToGrid w:val="0"/>
        <w:spacing w:line="560" w:lineRule="exact"/>
        <w:jc w:val="center"/>
        <w:rPr>
          <w:rFonts w:ascii="仿宋_GB2312" w:hAnsi="仿宋_GB2312" w:eastAsia="仿宋_GB2312" w:cs="仿宋_GB2312"/>
          <w:b/>
          <w:color w:val="auto"/>
          <w:sz w:val="32"/>
          <w:szCs w:val="32"/>
          <w:highlight w:val="none"/>
        </w:rPr>
      </w:pPr>
    </w:p>
    <w:p w14:paraId="45AB3FC4">
      <w:pPr>
        <w:wordWrap w:val="0"/>
        <w:adjustRightInd w:val="0"/>
        <w:snapToGrid w:val="0"/>
        <w:spacing w:line="560" w:lineRule="exact"/>
        <w:jc w:val="center"/>
        <w:rPr>
          <w:rFonts w:ascii="仿宋_GB2312" w:hAnsi="仿宋_GB2312" w:eastAsia="仿宋_GB2312" w:cs="仿宋_GB2312"/>
          <w:b/>
          <w:color w:val="auto"/>
          <w:sz w:val="32"/>
          <w:szCs w:val="32"/>
          <w:highlight w:val="none"/>
        </w:rPr>
      </w:pPr>
    </w:p>
    <w:p w14:paraId="61D0BD22">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5</w:t>
      </w:r>
      <w:r>
        <w:rPr>
          <w:rFonts w:hint="eastAsia" w:ascii="仿宋_GB2312" w:hAnsi="仿宋_GB2312" w:eastAsia="仿宋_GB2312" w:cs="仿宋_GB2312"/>
          <w:b/>
          <w:color w:val="auto"/>
          <w:kern w:val="2"/>
          <w:sz w:val="32"/>
          <w:szCs w:val="32"/>
          <w:highlight w:val="none"/>
        </w:rPr>
        <w:t xml:space="preserve"> </w:t>
      </w:r>
      <w:bookmarkEnd w:id="616"/>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生产安全事故快报单</w:t>
      </w:r>
    </w:p>
    <w:tbl>
      <w:tblPr>
        <w:tblStyle w:val="5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46"/>
        <w:gridCol w:w="2082"/>
        <w:gridCol w:w="1444"/>
        <w:gridCol w:w="3287"/>
      </w:tblGrid>
      <w:tr w14:paraId="5CBCB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155" w:type="pct"/>
            <w:tcBorders>
              <w:top w:val="single" w:color="000000" w:sz="6" w:space="0"/>
              <w:left w:val="single" w:color="000000" w:sz="6" w:space="0"/>
            </w:tcBorders>
          </w:tcPr>
          <w:p w14:paraId="32E053F8">
            <w:pPr>
              <w:pStyle w:val="62"/>
              <w:spacing w:before="175" w:line="216" w:lineRule="auto"/>
              <w:ind w:left="381"/>
              <w:rPr>
                <w:color w:val="auto"/>
                <w:sz w:val="24"/>
                <w:szCs w:val="24"/>
                <w:highlight w:val="none"/>
              </w:rPr>
            </w:pPr>
            <w:bookmarkStart w:id="617" w:name="_Toc2755"/>
            <w:r>
              <w:rPr>
                <w:color w:val="auto"/>
                <w:spacing w:val="-3"/>
                <w:sz w:val="24"/>
                <w:szCs w:val="24"/>
                <w:highlight w:val="none"/>
              </w:rPr>
              <w:t>事故单位名称</w:t>
            </w:r>
          </w:p>
        </w:tc>
        <w:tc>
          <w:tcPr>
            <w:tcW w:w="3844" w:type="pct"/>
            <w:gridSpan w:val="3"/>
            <w:tcBorders>
              <w:top w:val="single" w:color="000000" w:sz="6" w:space="0"/>
              <w:right w:val="single" w:color="000000" w:sz="6" w:space="0"/>
            </w:tcBorders>
          </w:tcPr>
          <w:p w14:paraId="0F2046B7">
            <w:pPr>
              <w:rPr>
                <w:rFonts w:ascii="Arial"/>
                <w:color w:val="auto"/>
                <w:highlight w:val="none"/>
              </w:rPr>
            </w:pPr>
          </w:p>
        </w:tc>
      </w:tr>
      <w:tr w14:paraId="57E00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55" w:type="pct"/>
            <w:tcBorders>
              <w:left w:val="single" w:color="000000" w:sz="6" w:space="0"/>
            </w:tcBorders>
          </w:tcPr>
          <w:p w14:paraId="4E3256F9">
            <w:pPr>
              <w:pStyle w:val="62"/>
              <w:spacing w:before="166" w:line="216" w:lineRule="auto"/>
              <w:ind w:left="381"/>
              <w:rPr>
                <w:color w:val="auto"/>
                <w:sz w:val="24"/>
                <w:szCs w:val="24"/>
                <w:highlight w:val="none"/>
              </w:rPr>
            </w:pPr>
            <w:r>
              <w:rPr>
                <w:color w:val="auto"/>
                <w:spacing w:val="-3"/>
                <w:sz w:val="24"/>
                <w:szCs w:val="24"/>
                <w:highlight w:val="none"/>
              </w:rPr>
              <w:t>事故单位地址</w:t>
            </w:r>
          </w:p>
        </w:tc>
        <w:tc>
          <w:tcPr>
            <w:tcW w:w="3844" w:type="pct"/>
            <w:gridSpan w:val="3"/>
            <w:tcBorders>
              <w:right w:val="single" w:color="000000" w:sz="6" w:space="0"/>
            </w:tcBorders>
          </w:tcPr>
          <w:p w14:paraId="633A00B7">
            <w:pPr>
              <w:rPr>
                <w:rFonts w:ascii="Arial"/>
                <w:color w:val="auto"/>
                <w:highlight w:val="none"/>
              </w:rPr>
            </w:pPr>
          </w:p>
        </w:tc>
      </w:tr>
      <w:tr w14:paraId="219E5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1155" w:type="pct"/>
            <w:tcBorders>
              <w:left w:val="single" w:color="000000" w:sz="6" w:space="0"/>
            </w:tcBorders>
          </w:tcPr>
          <w:p w14:paraId="48D0936E">
            <w:pPr>
              <w:pStyle w:val="62"/>
              <w:spacing w:before="166" w:line="216" w:lineRule="auto"/>
              <w:ind w:left="615"/>
              <w:rPr>
                <w:color w:val="auto"/>
                <w:sz w:val="24"/>
                <w:szCs w:val="24"/>
                <w:highlight w:val="none"/>
              </w:rPr>
            </w:pPr>
            <w:r>
              <w:rPr>
                <w:color w:val="auto"/>
                <w:spacing w:val="-3"/>
                <w:sz w:val="24"/>
                <w:szCs w:val="24"/>
                <w:highlight w:val="none"/>
              </w:rPr>
              <w:t>所属行业</w:t>
            </w:r>
          </w:p>
        </w:tc>
        <w:tc>
          <w:tcPr>
            <w:tcW w:w="1175" w:type="pct"/>
          </w:tcPr>
          <w:p w14:paraId="3E19C7C6">
            <w:pPr>
              <w:rPr>
                <w:rFonts w:ascii="Arial"/>
                <w:color w:val="auto"/>
                <w:highlight w:val="none"/>
              </w:rPr>
            </w:pPr>
          </w:p>
        </w:tc>
        <w:tc>
          <w:tcPr>
            <w:tcW w:w="815" w:type="pct"/>
          </w:tcPr>
          <w:p w14:paraId="46214153">
            <w:pPr>
              <w:pStyle w:val="62"/>
              <w:spacing w:before="200" w:line="216" w:lineRule="auto"/>
              <w:ind w:left="299"/>
              <w:rPr>
                <w:color w:val="auto"/>
                <w:sz w:val="24"/>
                <w:szCs w:val="24"/>
                <w:highlight w:val="none"/>
              </w:rPr>
            </w:pPr>
            <w:r>
              <w:rPr>
                <w:color w:val="auto"/>
                <w:spacing w:val="-3"/>
                <w:sz w:val="24"/>
                <w:szCs w:val="24"/>
                <w:highlight w:val="none"/>
              </w:rPr>
              <w:t>核定产能</w:t>
            </w:r>
          </w:p>
        </w:tc>
        <w:tc>
          <w:tcPr>
            <w:tcW w:w="1853" w:type="pct"/>
            <w:tcBorders>
              <w:right w:val="single" w:color="000000" w:sz="6" w:space="0"/>
            </w:tcBorders>
          </w:tcPr>
          <w:p w14:paraId="1A0B88EF">
            <w:pPr>
              <w:rPr>
                <w:rFonts w:ascii="Arial"/>
                <w:color w:val="auto"/>
                <w:highlight w:val="none"/>
              </w:rPr>
            </w:pPr>
          </w:p>
        </w:tc>
      </w:tr>
      <w:tr w14:paraId="34E76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155" w:type="pct"/>
            <w:tcBorders>
              <w:left w:val="single" w:color="000000" w:sz="6" w:space="0"/>
            </w:tcBorders>
          </w:tcPr>
          <w:p w14:paraId="31E98066">
            <w:pPr>
              <w:pStyle w:val="62"/>
              <w:spacing w:before="161" w:line="218" w:lineRule="auto"/>
              <w:ind w:left="381"/>
              <w:rPr>
                <w:color w:val="auto"/>
                <w:sz w:val="24"/>
                <w:szCs w:val="24"/>
                <w:highlight w:val="none"/>
              </w:rPr>
            </w:pPr>
            <w:r>
              <w:rPr>
                <w:color w:val="auto"/>
                <w:spacing w:val="-3"/>
                <w:sz w:val="24"/>
                <w:szCs w:val="24"/>
                <w:highlight w:val="none"/>
              </w:rPr>
              <w:t>事故发生时间</w:t>
            </w:r>
          </w:p>
        </w:tc>
        <w:tc>
          <w:tcPr>
            <w:tcW w:w="3844" w:type="pct"/>
            <w:gridSpan w:val="3"/>
            <w:tcBorders>
              <w:right w:val="single" w:color="000000" w:sz="6" w:space="0"/>
            </w:tcBorders>
          </w:tcPr>
          <w:p w14:paraId="5891212E">
            <w:pPr>
              <w:pStyle w:val="62"/>
              <w:spacing w:before="145" w:line="225" w:lineRule="auto"/>
              <w:ind w:firstLine="1376" w:firstLineChars="800"/>
              <w:rPr>
                <w:color w:val="auto"/>
                <w:sz w:val="20"/>
                <w:szCs w:val="20"/>
                <w:highlight w:val="none"/>
              </w:rPr>
            </w:pPr>
            <w:r>
              <w:rPr>
                <w:color w:val="auto"/>
                <w:spacing w:val="-14"/>
                <w:sz w:val="20"/>
                <w:szCs w:val="20"/>
                <w:highlight w:val="none"/>
              </w:rPr>
              <w:t>年</w:t>
            </w:r>
            <w:r>
              <w:rPr>
                <w:color w:val="auto"/>
                <w:spacing w:val="7"/>
                <w:sz w:val="20"/>
                <w:szCs w:val="20"/>
                <w:highlight w:val="none"/>
              </w:rPr>
              <w:t xml:space="preserve">   </w:t>
            </w:r>
            <w:r>
              <w:rPr>
                <w:color w:val="auto"/>
                <w:spacing w:val="-14"/>
                <w:sz w:val="20"/>
                <w:szCs w:val="20"/>
                <w:highlight w:val="none"/>
              </w:rPr>
              <w:t>月</w:t>
            </w:r>
            <w:r>
              <w:rPr>
                <w:color w:val="auto"/>
                <w:spacing w:val="9"/>
                <w:sz w:val="20"/>
                <w:szCs w:val="20"/>
                <w:highlight w:val="none"/>
              </w:rPr>
              <w:t xml:space="preserve">     </w:t>
            </w:r>
            <w:r>
              <w:rPr>
                <w:color w:val="auto"/>
                <w:spacing w:val="-14"/>
                <w:sz w:val="20"/>
                <w:szCs w:val="20"/>
                <w:highlight w:val="none"/>
              </w:rPr>
              <w:t>日</w:t>
            </w:r>
            <w:r>
              <w:rPr>
                <w:color w:val="auto"/>
                <w:spacing w:val="8"/>
                <w:sz w:val="20"/>
                <w:szCs w:val="20"/>
                <w:highlight w:val="none"/>
              </w:rPr>
              <w:t xml:space="preserve">    </w:t>
            </w:r>
            <w:r>
              <w:rPr>
                <w:color w:val="auto"/>
                <w:spacing w:val="-14"/>
                <w:sz w:val="20"/>
                <w:szCs w:val="20"/>
                <w:highlight w:val="none"/>
              </w:rPr>
              <w:t>时</w:t>
            </w:r>
            <w:r>
              <w:rPr>
                <w:color w:val="auto"/>
                <w:spacing w:val="6"/>
                <w:sz w:val="20"/>
                <w:szCs w:val="20"/>
                <w:highlight w:val="none"/>
              </w:rPr>
              <w:t xml:space="preserve">       </w:t>
            </w:r>
            <w:r>
              <w:rPr>
                <w:color w:val="auto"/>
                <w:spacing w:val="-14"/>
                <w:sz w:val="20"/>
                <w:szCs w:val="20"/>
                <w:highlight w:val="none"/>
              </w:rPr>
              <w:t>分</w:t>
            </w:r>
          </w:p>
        </w:tc>
      </w:tr>
      <w:tr w14:paraId="2AED9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155" w:type="pct"/>
            <w:tcBorders>
              <w:left w:val="single" w:color="000000" w:sz="6" w:space="0"/>
            </w:tcBorders>
          </w:tcPr>
          <w:p w14:paraId="454F32C8">
            <w:pPr>
              <w:pStyle w:val="62"/>
              <w:spacing w:before="162" w:line="218" w:lineRule="auto"/>
              <w:ind w:left="381"/>
              <w:rPr>
                <w:color w:val="auto"/>
                <w:sz w:val="24"/>
                <w:szCs w:val="24"/>
                <w:highlight w:val="none"/>
              </w:rPr>
            </w:pPr>
            <w:r>
              <w:rPr>
                <w:color w:val="auto"/>
                <w:spacing w:val="-3"/>
                <w:sz w:val="24"/>
                <w:szCs w:val="24"/>
                <w:highlight w:val="none"/>
              </w:rPr>
              <w:t>事故发生地点</w:t>
            </w:r>
          </w:p>
        </w:tc>
        <w:tc>
          <w:tcPr>
            <w:tcW w:w="1175" w:type="pct"/>
            <w:tcBorders>
              <w:right w:val="single" w:color="000000" w:sz="6" w:space="0"/>
            </w:tcBorders>
          </w:tcPr>
          <w:p w14:paraId="486E45CE">
            <w:pPr>
              <w:rPr>
                <w:rFonts w:ascii="Arial"/>
                <w:color w:val="auto"/>
                <w:highlight w:val="none"/>
              </w:rPr>
            </w:pPr>
          </w:p>
        </w:tc>
        <w:tc>
          <w:tcPr>
            <w:tcW w:w="815" w:type="pct"/>
            <w:tcBorders>
              <w:left w:val="single" w:color="000000" w:sz="6" w:space="0"/>
              <w:right w:val="single" w:color="000000" w:sz="6" w:space="0"/>
            </w:tcBorders>
          </w:tcPr>
          <w:p w14:paraId="3AF86ABF">
            <w:pPr>
              <w:pStyle w:val="62"/>
              <w:spacing w:before="196" w:line="218" w:lineRule="auto"/>
              <w:ind w:left="302"/>
              <w:rPr>
                <w:color w:val="auto"/>
                <w:sz w:val="24"/>
                <w:szCs w:val="24"/>
                <w:highlight w:val="none"/>
              </w:rPr>
            </w:pPr>
            <w:r>
              <w:rPr>
                <w:color w:val="auto"/>
                <w:spacing w:val="-5"/>
                <w:sz w:val="24"/>
                <w:szCs w:val="24"/>
                <w:highlight w:val="none"/>
              </w:rPr>
              <w:t>事故类别</w:t>
            </w:r>
          </w:p>
        </w:tc>
        <w:tc>
          <w:tcPr>
            <w:tcW w:w="1853" w:type="pct"/>
            <w:tcBorders>
              <w:left w:val="single" w:color="000000" w:sz="6" w:space="0"/>
              <w:right w:val="single" w:color="000000" w:sz="6" w:space="0"/>
            </w:tcBorders>
          </w:tcPr>
          <w:p w14:paraId="2A4F3690">
            <w:pPr>
              <w:rPr>
                <w:rFonts w:ascii="Arial"/>
                <w:color w:val="auto"/>
                <w:highlight w:val="none"/>
              </w:rPr>
            </w:pPr>
          </w:p>
        </w:tc>
      </w:tr>
      <w:tr w14:paraId="0BE81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1155" w:type="pct"/>
            <w:tcBorders>
              <w:left w:val="single" w:color="000000" w:sz="6" w:space="0"/>
            </w:tcBorders>
          </w:tcPr>
          <w:p w14:paraId="2633B331">
            <w:pPr>
              <w:pStyle w:val="62"/>
              <w:spacing w:before="78" w:line="218" w:lineRule="auto"/>
              <w:ind w:left="381"/>
              <w:rPr>
                <w:color w:val="auto"/>
                <w:sz w:val="24"/>
                <w:szCs w:val="24"/>
                <w:highlight w:val="none"/>
              </w:rPr>
            </w:pPr>
            <w:r>
              <w:rPr>
                <w:color w:val="auto"/>
                <w:spacing w:val="-3"/>
                <w:sz w:val="24"/>
                <w:szCs w:val="24"/>
                <w:highlight w:val="none"/>
              </w:rPr>
              <w:t>事故伤亡人数</w:t>
            </w:r>
          </w:p>
        </w:tc>
        <w:tc>
          <w:tcPr>
            <w:tcW w:w="3844" w:type="pct"/>
            <w:gridSpan w:val="3"/>
            <w:tcBorders>
              <w:right w:val="single" w:color="000000" w:sz="6" w:space="0"/>
            </w:tcBorders>
          </w:tcPr>
          <w:p w14:paraId="67C76717">
            <w:pPr>
              <w:pStyle w:val="62"/>
              <w:spacing w:before="270" w:line="225" w:lineRule="auto"/>
              <w:rPr>
                <w:color w:val="auto"/>
                <w:sz w:val="20"/>
                <w:szCs w:val="20"/>
                <w:highlight w:val="none"/>
                <w:lang w:eastAsia="zh-CN"/>
              </w:rPr>
            </w:pPr>
            <w:r>
              <w:rPr>
                <w:color w:val="auto"/>
                <w:spacing w:val="5"/>
                <w:sz w:val="20"/>
                <w:szCs w:val="20"/>
                <w:highlight w:val="none"/>
                <w:lang w:eastAsia="zh-CN"/>
              </w:rPr>
              <w:t>共计    人，其中：死亡    人，重伤</w:t>
            </w:r>
            <w:r>
              <w:rPr>
                <w:color w:val="auto"/>
                <w:spacing w:val="8"/>
                <w:sz w:val="20"/>
                <w:szCs w:val="20"/>
                <w:highlight w:val="none"/>
                <w:lang w:eastAsia="zh-CN"/>
              </w:rPr>
              <w:t xml:space="preserve">    </w:t>
            </w:r>
            <w:r>
              <w:rPr>
                <w:color w:val="auto"/>
                <w:spacing w:val="5"/>
                <w:sz w:val="20"/>
                <w:szCs w:val="20"/>
                <w:highlight w:val="none"/>
                <w:lang w:eastAsia="zh-CN"/>
              </w:rPr>
              <w:t>人，轻伤</w:t>
            </w:r>
            <w:r>
              <w:rPr>
                <w:color w:val="auto"/>
                <w:spacing w:val="8"/>
                <w:sz w:val="20"/>
                <w:szCs w:val="20"/>
                <w:highlight w:val="none"/>
                <w:lang w:eastAsia="zh-CN"/>
              </w:rPr>
              <w:t xml:space="preserve">    </w:t>
            </w:r>
            <w:r>
              <w:rPr>
                <w:color w:val="auto"/>
                <w:spacing w:val="4"/>
                <w:sz w:val="20"/>
                <w:szCs w:val="20"/>
                <w:highlight w:val="none"/>
                <w:lang w:eastAsia="zh-CN"/>
              </w:rPr>
              <w:t>人，中毒</w:t>
            </w:r>
            <w:r>
              <w:rPr>
                <w:color w:val="auto"/>
                <w:spacing w:val="8"/>
                <w:sz w:val="20"/>
                <w:szCs w:val="20"/>
                <w:highlight w:val="none"/>
                <w:lang w:eastAsia="zh-CN"/>
              </w:rPr>
              <w:t xml:space="preserve">    </w:t>
            </w:r>
            <w:r>
              <w:rPr>
                <w:color w:val="auto"/>
                <w:spacing w:val="4"/>
                <w:sz w:val="20"/>
                <w:szCs w:val="20"/>
                <w:highlight w:val="none"/>
                <w:lang w:eastAsia="zh-CN"/>
              </w:rPr>
              <w:t>人，被</w:t>
            </w:r>
            <w:r>
              <w:rPr>
                <w:color w:val="auto"/>
                <w:spacing w:val="5"/>
                <w:sz w:val="20"/>
                <w:szCs w:val="20"/>
                <w:highlight w:val="none"/>
                <w:lang w:eastAsia="zh-CN"/>
              </w:rPr>
              <w:t>困（涉险）</w:t>
            </w:r>
            <w:r>
              <w:rPr>
                <w:color w:val="auto"/>
                <w:spacing w:val="10"/>
                <w:sz w:val="20"/>
                <w:szCs w:val="20"/>
                <w:highlight w:val="none"/>
                <w:lang w:eastAsia="zh-CN"/>
              </w:rPr>
              <w:t xml:space="preserve">    </w:t>
            </w:r>
            <w:r>
              <w:rPr>
                <w:color w:val="auto"/>
                <w:spacing w:val="5"/>
                <w:sz w:val="20"/>
                <w:szCs w:val="20"/>
                <w:highlight w:val="none"/>
                <w:lang w:eastAsia="zh-CN"/>
              </w:rPr>
              <w:t>人，下落不明    人。</w:t>
            </w:r>
          </w:p>
        </w:tc>
      </w:tr>
      <w:tr w14:paraId="7BA29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1155" w:type="pct"/>
            <w:tcBorders>
              <w:left w:val="single" w:color="000000" w:sz="6" w:space="0"/>
            </w:tcBorders>
          </w:tcPr>
          <w:p w14:paraId="51D0DD3D">
            <w:pPr>
              <w:pStyle w:val="62"/>
              <w:spacing w:before="83" w:line="216" w:lineRule="auto"/>
              <w:ind w:left="140"/>
              <w:rPr>
                <w:color w:val="auto"/>
                <w:sz w:val="24"/>
                <w:szCs w:val="24"/>
                <w:highlight w:val="none"/>
                <w:lang w:eastAsia="zh-CN"/>
              </w:rPr>
            </w:pPr>
            <w:r>
              <w:rPr>
                <w:color w:val="auto"/>
                <w:spacing w:val="-2"/>
                <w:sz w:val="24"/>
                <w:szCs w:val="24"/>
                <w:highlight w:val="none"/>
                <w:lang w:eastAsia="zh-CN"/>
              </w:rPr>
              <w:t>经济损失初步测算</w:t>
            </w:r>
          </w:p>
          <w:p w14:paraId="388A5D55">
            <w:pPr>
              <w:pStyle w:val="62"/>
              <w:spacing w:before="31" w:line="221" w:lineRule="auto"/>
              <w:ind w:left="610"/>
              <w:rPr>
                <w:color w:val="auto"/>
                <w:sz w:val="24"/>
                <w:szCs w:val="24"/>
                <w:highlight w:val="none"/>
                <w:lang w:eastAsia="zh-CN"/>
              </w:rPr>
            </w:pPr>
            <w:r>
              <w:rPr>
                <w:color w:val="auto"/>
                <w:spacing w:val="-2"/>
                <w:sz w:val="24"/>
                <w:szCs w:val="24"/>
                <w:highlight w:val="none"/>
                <w:lang w:eastAsia="zh-CN"/>
              </w:rPr>
              <w:t>（万元）</w:t>
            </w:r>
          </w:p>
        </w:tc>
        <w:tc>
          <w:tcPr>
            <w:tcW w:w="3844" w:type="pct"/>
            <w:gridSpan w:val="3"/>
            <w:tcBorders>
              <w:right w:val="single" w:color="000000" w:sz="6" w:space="0"/>
            </w:tcBorders>
          </w:tcPr>
          <w:p w14:paraId="399A5DF7">
            <w:pPr>
              <w:tabs>
                <w:tab w:val="left" w:pos="1126"/>
              </w:tabs>
              <w:rPr>
                <w:rFonts w:ascii="Arial"/>
                <w:color w:val="auto"/>
                <w:highlight w:val="none"/>
              </w:rPr>
            </w:pPr>
          </w:p>
        </w:tc>
      </w:tr>
      <w:tr w14:paraId="5886C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9" w:hRule="atLeast"/>
        </w:trPr>
        <w:tc>
          <w:tcPr>
            <w:tcW w:w="5000" w:type="pct"/>
            <w:gridSpan w:val="4"/>
            <w:tcBorders>
              <w:left w:val="single" w:color="000000" w:sz="6" w:space="0"/>
              <w:bottom w:val="single" w:color="000000" w:sz="6" w:space="0"/>
              <w:right w:val="single" w:color="000000" w:sz="6" w:space="0"/>
            </w:tcBorders>
          </w:tcPr>
          <w:p w14:paraId="446FA3BF">
            <w:pPr>
              <w:pStyle w:val="62"/>
              <w:spacing w:before="122" w:line="216" w:lineRule="auto"/>
              <w:ind w:left="120"/>
              <w:rPr>
                <w:color w:val="auto"/>
                <w:sz w:val="20"/>
                <w:szCs w:val="20"/>
                <w:highlight w:val="none"/>
                <w:lang w:eastAsia="zh-CN"/>
              </w:rPr>
            </w:pPr>
            <w:r>
              <w:rPr>
                <w:color w:val="auto"/>
                <w:spacing w:val="9"/>
                <w:sz w:val="24"/>
                <w:szCs w:val="24"/>
                <w:highlight w:val="none"/>
                <w:lang w:eastAsia="zh-CN"/>
              </w:rPr>
              <w:t>事故简单经过</w:t>
            </w:r>
            <w:r>
              <w:rPr>
                <w:color w:val="auto"/>
                <w:spacing w:val="-19"/>
                <w:sz w:val="24"/>
                <w:szCs w:val="24"/>
                <w:highlight w:val="none"/>
                <w:lang w:eastAsia="zh-CN"/>
              </w:rPr>
              <w:t>：</w:t>
            </w:r>
            <w:r>
              <w:rPr>
                <w:color w:val="auto"/>
                <w:spacing w:val="-19"/>
                <w:sz w:val="20"/>
                <w:szCs w:val="20"/>
                <w:highlight w:val="none"/>
                <w:lang w:eastAsia="zh-CN"/>
              </w:rPr>
              <w:t>（</w:t>
            </w:r>
            <w:r>
              <w:rPr>
                <w:color w:val="auto"/>
                <w:spacing w:val="9"/>
                <w:sz w:val="20"/>
                <w:szCs w:val="20"/>
                <w:highlight w:val="none"/>
                <w:lang w:eastAsia="zh-CN"/>
              </w:rPr>
              <w:t>包括现场总人数或煤矿入井总人数、撤离人数或煤矿安全升井人数）</w:t>
            </w:r>
          </w:p>
        </w:tc>
      </w:tr>
      <w:tr w14:paraId="0B6C4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5000" w:type="pct"/>
            <w:gridSpan w:val="4"/>
            <w:tcBorders>
              <w:top w:val="single" w:color="000000" w:sz="6" w:space="0"/>
              <w:left w:val="single" w:color="000000" w:sz="6" w:space="0"/>
              <w:right w:val="single" w:color="000000" w:sz="6" w:space="0"/>
            </w:tcBorders>
          </w:tcPr>
          <w:p w14:paraId="44B77FB4">
            <w:pPr>
              <w:pStyle w:val="62"/>
              <w:spacing w:before="120" w:line="216" w:lineRule="auto"/>
              <w:ind w:left="119"/>
              <w:rPr>
                <w:color w:val="auto"/>
                <w:sz w:val="24"/>
                <w:szCs w:val="24"/>
                <w:highlight w:val="none"/>
              </w:rPr>
            </w:pPr>
            <w:r>
              <w:rPr>
                <w:color w:val="auto"/>
                <w:spacing w:val="-3"/>
                <w:sz w:val="24"/>
                <w:szCs w:val="24"/>
                <w:highlight w:val="none"/>
              </w:rPr>
              <w:t>原因初步分析：</w:t>
            </w:r>
          </w:p>
        </w:tc>
      </w:tr>
      <w:tr w14:paraId="12F0C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2" w:hRule="atLeast"/>
        </w:trPr>
        <w:tc>
          <w:tcPr>
            <w:tcW w:w="5000" w:type="pct"/>
            <w:gridSpan w:val="4"/>
            <w:tcBorders>
              <w:left w:val="single" w:color="000000" w:sz="6" w:space="0"/>
              <w:right w:val="single" w:color="000000" w:sz="6" w:space="0"/>
            </w:tcBorders>
          </w:tcPr>
          <w:p w14:paraId="1083C15B">
            <w:pPr>
              <w:pStyle w:val="62"/>
              <w:spacing w:before="125" w:line="217" w:lineRule="auto"/>
              <w:ind w:left="115"/>
              <w:rPr>
                <w:color w:val="auto"/>
                <w:sz w:val="24"/>
                <w:szCs w:val="24"/>
                <w:highlight w:val="none"/>
                <w:lang w:eastAsia="zh-CN"/>
              </w:rPr>
            </w:pPr>
            <w:r>
              <w:rPr>
                <w:color w:val="auto"/>
                <w:spacing w:val="-1"/>
                <w:sz w:val="24"/>
                <w:szCs w:val="24"/>
                <w:highlight w:val="none"/>
                <w:lang w:eastAsia="zh-CN"/>
              </w:rPr>
              <w:t>抢险救灾进展情况及采取措施：</w:t>
            </w:r>
          </w:p>
        </w:tc>
      </w:tr>
      <w:tr w14:paraId="427CF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2" w:hRule="atLeast"/>
        </w:trPr>
        <w:tc>
          <w:tcPr>
            <w:tcW w:w="5000" w:type="pct"/>
            <w:gridSpan w:val="4"/>
            <w:tcBorders>
              <w:left w:val="single" w:color="000000" w:sz="6" w:space="0"/>
              <w:right w:val="single" w:color="000000" w:sz="6" w:space="0"/>
            </w:tcBorders>
          </w:tcPr>
          <w:p w14:paraId="6170ACFB">
            <w:pPr>
              <w:pStyle w:val="62"/>
              <w:spacing w:before="128" w:line="218" w:lineRule="auto"/>
              <w:ind w:left="112"/>
              <w:rPr>
                <w:color w:val="auto"/>
                <w:sz w:val="20"/>
                <w:szCs w:val="20"/>
                <w:highlight w:val="none"/>
                <w:lang w:eastAsia="zh-CN"/>
              </w:rPr>
            </w:pPr>
            <w:r>
              <w:rPr>
                <w:color w:val="auto"/>
                <w:spacing w:val="6"/>
                <w:sz w:val="24"/>
                <w:szCs w:val="24"/>
                <w:highlight w:val="none"/>
                <w:lang w:eastAsia="zh-CN"/>
              </w:rPr>
              <w:t>发生事故的现场示意图</w:t>
            </w:r>
            <w:r>
              <w:rPr>
                <w:color w:val="auto"/>
                <w:spacing w:val="-25"/>
                <w:sz w:val="24"/>
                <w:szCs w:val="24"/>
                <w:highlight w:val="none"/>
                <w:lang w:eastAsia="zh-CN"/>
              </w:rPr>
              <w:t>：</w:t>
            </w:r>
            <w:r>
              <w:rPr>
                <w:color w:val="auto"/>
                <w:spacing w:val="-25"/>
                <w:sz w:val="20"/>
                <w:szCs w:val="20"/>
                <w:highlight w:val="none"/>
                <w:lang w:eastAsia="zh-CN"/>
              </w:rPr>
              <w:t>（</w:t>
            </w:r>
            <w:r>
              <w:rPr>
                <w:color w:val="auto"/>
                <w:spacing w:val="6"/>
                <w:sz w:val="20"/>
                <w:szCs w:val="20"/>
                <w:highlight w:val="none"/>
                <w:lang w:eastAsia="zh-CN"/>
              </w:rPr>
              <w:t>可附页）</w:t>
            </w:r>
          </w:p>
        </w:tc>
      </w:tr>
      <w:tr w14:paraId="53B0A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2" w:hRule="atLeast"/>
        </w:trPr>
        <w:tc>
          <w:tcPr>
            <w:tcW w:w="1155" w:type="pct"/>
            <w:tcBorders>
              <w:left w:val="single" w:color="000000" w:sz="6" w:space="0"/>
              <w:bottom w:val="single" w:color="000000" w:sz="6" w:space="0"/>
            </w:tcBorders>
          </w:tcPr>
          <w:p w14:paraId="494BD9DD">
            <w:pPr>
              <w:pStyle w:val="62"/>
              <w:spacing w:before="78" w:line="217" w:lineRule="auto"/>
              <w:ind w:left="141"/>
              <w:rPr>
                <w:color w:val="auto"/>
                <w:sz w:val="24"/>
                <w:szCs w:val="24"/>
                <w:highlight w:val="none"/>
              </w:rPr>
            </w:pPr>
            <w:r>
              <w:rPr>
                <w:color w:val="auto"/>
                <w:spacing w:val="-3"/>
                <w:sz w:val="24"/>
                <w:szCs w:val="24"/>
                <w:highlight w:val="none"/>
              </w:rPr>
              <w:t>报告地方政府情况</w:t>
            </w:r>
          </w:p>
        </w:tc>
        <w:tc>
          <w:tcPr>
            <w:tcW w:w="3844" w:type="pct"/>
            <w:gridSpan w:val="3"/>
            <w:tcBorders>
              <w:bottom w:val="single" w:color="000000" w:sz="6" w:space="0"/>
              <w:right w:val="single" w:color="000000" w:sz="6" w:space="0"/>
            </w:tcBorders>
          </w:tcPr>
          <w:p w14:paraId="56F6E8C9">
            <w:pPr>
              <w:rPr>
                <w:rFonts w:ascii="Arial"/>
                <w:color w:val="auto"/>
                <w:highlight w:val="none"/>
              </w:rPr>
            </w:pPr>
          </w:p>
        </w:tc>
      </w:tr>
    </w:tbl>
    <w:p w14:paraId="00C22A55">
      <w:pPr>
        <w:spacing w:line="520" w:lineRule="exact"/>
        <w:rPr>
          <w:rFonts w:ascii="宋体" w:hAnsi="宋体" w:cs="宋体"/>
          <w:color w:val="auto"/>
          <w:sz w:val="24"/>
          <w:highlight w:val="none"/>
        </w:rPr>
      </w:pPr>
      <w:r>
        <w:rPr>
          <w:rFonts w:hint="eastAsia" w:ascii="宋体" w:hAnsi="宋体" w:cs="宋体"/>
          <w:color w:val="auto"/>
          <w:sz w:val="24"/>
          <w:highlight w:val="none"/>
        </w:rPr>
        <w:t>单位负责人：                          报告时间：     年  月  日  时  分</w:t>
      </w:r>
    </w:p>
    <w:p w14:paraId="59E5F244">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6</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生产安全事故续报单</w:t>
      </w:r>
    </w:p>
    <w:tbl>
      <w:tblPr>
        <w:tblStyle w:val="5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5"/>
        <w:gridCol w:w="819"/>
        <w:gridCol w:w="828"/>
        <w:gridCol w:w="1058"/>
        <w:gridCol w:w="646"/>
        <w:gridCol w:w="720"/>
        <w:gridCol w:w="1129"/>
        <w:gridCol w:w="1065"/>
        <w:gridCol w:w="1057"/>
        <w:gridCol w:w="702"/>
      </w:tblGrid>
      <w:tr w14:paraId="5EDB5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397" w:type="pct"/>
            <w:gridSpan w:val="3"/>
          </w:tcPr>
          <w:p w14:paraId="0745529D">
            <w:pPr>
              <w:pStyle w:val="62"/>
              <w:spacing w:before="131" w:line="216" w:lineRule="auto"/>
              <w:ind w:left="620"/>
              <w:rPr>
                <w:color w:val="auto"/>
                <w:sz w:val="24"/>
                <w:szCs w:val="24"/>
                <w:highlight w:val="none"/>
              </w:rPr>
            </w:pPr>
            <w:r>
              <w:rPr>
                <w:color w:val="auto"/>
                <w:spacing w:val="-3"/>
                <w:sz w:val="24"/>
                <w:szCs w:val="24"/>
                <w:highlight w:val="none"/>
              </w:rPr>
              <w:t>事故单位名称</w:t>
            </w:r>
          </w:p>
        </w:tc>
        <w:tc>
          <w:tcPr>
            <w:tcW w:w="3602" w:type="pct"/>
            <w:gridSpan w:val="7"/>
          </w:tcPr>
          <w:p w14:paraId="59347E0B">
            <w:pPr>
              <w:rPr>
                <w:rFonts w:ascii="仿宋" w:hAnsi="仿宋" w:eastAsia="仿宋"/>
                <w:color w:val="auto"/>
                <w:sz w:val="24"/>
                <w:highlight w:val="none"/>
              </w:rPr>
            </w:pPr>
          </w:p>
        </w:tc>
      </w:tr>
      <w:tr w14:paraId="2A9AD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397" w:type="pct"/>
            <w:gridSpan w:val="3"/>
          </w:tcPr>
          <w:p w14:paraId="5A2E6C00">
            <w:pPr>
              <w:pStyle w:val="62"/>
              <w:spacing w:before="115" w:line="218" w:lineRule="auto"/>
              <w:ind w:left="620"/>
              <w:rPr>
                <w:color w:val="auto"/>
                <w:sz w:val="24"/>
                <w:szCs w:val="24"/>
                <w:highlight w:val="none"/>
              </w:rPr>
            </w:pPr>
            <w:r>
              <w:rPr>
                <w:color w:val="auto"/>
                <w:spacing w:val="-3"/>
                <w:sz w:val="24"/>
                <w:szCs w:val="24"/>
                <w:highlight w:val="none"/>
              </w:rPr>
              <w:t>事故发生地点</w:t>
            </w:r>
          </w:p>
        </w:tc>
        <w:tc>
          <w:tcPr>
            <w:tcW w:w="3602" w:type="pct"/>
            <w:gridSpan w:val="7"/>
          </w:tcPr>
          <w:p w14:paraId="4CBC2581">
            <w:pPr>
              <w:rPr>
                <w:rFonts w:ascii="仿宋" w:hAnsi="仿宋" w:eastAsia="仿宋"/>
                <w:color w:val="auto"/>
                <w:sz w:val="24"/>
                <w:highlight w:val="none"/>
              </w:rPr>
            </w:pPr>
          </w:p>
        </w:tc>
      </w:tr>
      <w:tr w14:paraId="70657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397" w:type="pct"/>
            <w:gridSpan w:val="3"/>
          </w:tcPr>
          <w:p w14:paraId="78A76047">
            <w:pPr>
              <w:pStyle w:val="62"/>
              <w:spacing w:before="115" w:line="218" w:lineRule="auto"/>
              <w:ind w:left="860"/>
              <w:rPr>
                <w:color w:val="auto"/>
                <w:sz w:val="24"/>
                <w:szCs w:val="24"/>
                <w:highlight w:val="none"/>
              </w:rPr>
            </w:pPr>
            <w:r>
              <w:rPr>
                <w:color w:val="auto"/>
                <w:spacing w:val="-5"/>
                <w:sz w:val="24"/>
                <w:szCs w:val="24"/>
                <w:highlight w:val="none"/>
              </w:rPr>
              <w:t>事故类别</w:t>
            </w:r>
          </w:p>
        </w:tc>
        <w:tc>
          <w:tcPr>
            <w:tcW w:w="3602" w:type="pct"/>
            <w:gridSpan w:val="7"/>
          </w:tcPr>
          <w:p w14:paraId="7CA013F2">
            <w:pPr>
              <w:rPr>
                <w:rFonts w:ascii="仿宋" w:hAnsi="仿宋" w:eastAsia="仿宋"/>
                <w:color w:val="auto"/>
                <w:sz w:val="24"/>
                <w:highlight w:val="none"/>
              </w:rPr>
            </w:pPr>
          </w:p>
        </w:tc>
      </w:tr>
      <w:tr w14:paraId="5D08E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5000" w:type="pct"/>
            <w:gridSpan w:val="10"/>
          </w:tcPr>
          <w:p w14:paraId="7BD8E56B">
            <w:pPr>
              <w:pStyle w:val="62"/>
              <w:spacing w:before="126" w:line="217" w:lineRule="auto"/>
              <w:ind w:left="4035"/>
              <w:rPr>
                <w:color w:val="auto"/>
                <w:sz w:val="24"/>
                <w:szCs w:val="24"/>
                <w:highlight w:val="none"/>
              </w:rPr>
            </w:pPr>
            <w:r>
              <w:rPr>
                <w:color w:val="auto"/>
                <w:spacing w:val="-3"/>
                <w:sz w:val="24"/>
                <w:szCs w:val="24"/>
                <w:highlight w:val="none"/>
              </w:rPr>
              <w:t>现场基本情况</w:t>
            </w:r>
          </w:p>
        </w:tc>
      </w:tr>
      <w:tr w14:paraId="2FD0C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5000" w:type="pct"/>
            <w:gridSpan w:val="10"/>
          </w:tcPr>
          <w:p w14:paraId="033548B3">
            <w:pPr>
              <w:rPr>
                <w:rFonts w:ascii="仿宋" w:hAnsi="仿宋" w:eastAsia="仿宋"/>
                <w:color w:val="auto"/>
                <w:sz w:val="24"/>
                <w:highlight w:val="none"/>
              </w:rPr>
            </w:pPr>
          </w:p>
        </w:tc>
      </w:tr>
      <w:tr w14:paraId="0F46F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5000" w:type="pct"/>
            <w:gridSpan w:val="10"/>
          </w:tcPr>
          <w:p w14:paraId="56813C9A">
            <w:pPr>
              <w:pStyle w:val="62"/>
              <w:spacing w:before="167" w:line="216" w:lineRule="auto"/>
              <w:ind w:left="3803"/>
              <w:rPr>
                <w:color w:val="auto"/>
                <w:sz w:val="24"/>
                <w:szCs w:val="24"/>
                <w:highlight w:val="none"/>
              </w:rPr>
            </w:pPr>
            <w:r>
              <w:rPr>
                <w:color w:val="auto"/>
                <w:spacing w:val="-4"/>
                <w:sz w:val="24"/>
                <w:szCs w:val="24"/>
                <w:highlight w:val="none"/>
              </w:rPr>
              <w:t>涉险人员基本信息</w:t>
            </w:r>
          </w:p>
        </w:tc>
      </w:tr>
      <w:tr w14:paraId="52BD3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466" w:type="pct"/>
          </w:tcPr>
          <w:p w14:paraId="1B618EC5">
            <w:pPr>
              <w:jc w:val="center"/>
              <w:rPr>
                <w:rFonts w:ascii="仿宋" w:hAnsi="仿宋" w:eastAsia="仿宋"/>
                <w:color w:val="auto"/>
                <w:sz w:val="24"/>
                <w:highlight w:val="none"/>
              </w:rPr>
            </w:pPr>
            <w:r>
              <w:rPr>
                <w:rFonts w:ascii="仿宋" w:hAnsi="仿宋" w:eastAsia="仿宋"/>
                <w:color w:val="auto"/>
                <w:sz w:val="24"/>
                <w:highlight w:val="none"/>
              </w:rPr>
              <w:t>序号</w:t>
            </w:r>
          </w:p>
        </w:tc>
        <w:tc>
          <w:tcPr>
            <w:tcW w:w="463" w:type="pct"/>
          </w:tcPr>
          <w:p w14:paraId="4415891D">
            <w:pPr>
              <w:jc w:val="center"/>
              <w:rPr>
                <w:rFonts w:ascii="仿宋" w:hAnsi="仿宋" w:eastAsia="仿宋"/>
                <w:color w:val="auto"/>
                <w:sz w:val="24"/>
                <w:highlight w:val="none"/>
              </w:rPr>
            </w:pPr>
            <w:r>
              <w:rPr>
                <w:rFonts w:ascii="仿宋" w:hAnsi="仿宋" w:eastAsia="仿宋"/>
                <w:color w:val="auto"/>
                <w:sz w:val="24"/>
                <w:highlight w:val="none"/>
              </w:rPr>
              <w:t>姓名</w:t>
            </w:r>
          </w:p>
        </w:tc>
        <w:tc>
          <w:tcPr>
            <w:tcW w:w="466" w:type="pct"/>
          </w:tcPr>
          <w:p w14:paraId="0B21EFC9">
            <w:pPr>
              <w:jc w:val="center"/>
              <w:rPr>
                <w:rFonts w:ascii="仿宋" w:hAnsi="仿宋" w:eastAsia="仿宋"/>
                <w:color w:val="auto"/>
                <w:sz w:val="24"/>
                <w:highlight w:val="none"/>
              </w:rPr>
            </w:pPr>
            <w:r>
              <w:rPr>
                <w:rFonts w:ascii="仿宋" w:hAnsi="仿宋" w:eastAsia="仿宋"/>
                <w:color w:val="auto"/>
                <w:sz w:val="24"/>
                <w:highlight w:val="none"/>
              </w:rPr>
              <w:t>性别</w:t>
            </w:r>
          </w:p>
        </w:tc>
        <w:tc>
          <w:tcPr>
            <w:tcW w:w="598" w:type="pct"/>
          </w:tcPr>
          <w:p w14:paraId="42C4296B">
            <w:pPr>
              <w:jc w:val="center"/>
              <w:rPr>
                <w:rFonts w:ascii="仿宋" w:hAnsi="仿宋" w:eastAsia="仿宋"/>
                <w:color w:val="auto"/>
                <w:sz w:val="24"/>
                <w:highlight w:val="none"/>
              </w:rPr>
            </w:pPr>
            <w:r>
              <w:rPr>
                <w:rFonts w:ascii="仿宋" w:hAnsi="仿宋" w:eastAsia="仿宋"/>
                <w:color w:val="auto"/>
                <w:sz w:val="24"/>
                <w:highlight w:val="none"/>
              </w:rPr>
              <w:t>出生年月</w:t>
            </w:r>
          </w:p>
        </w:tc>
        <w:tc>
          <w:tcPr>
            <w:tcW w:w="365" w:type="pct"/>
          </w:tcPr>
          <w:p w14:paraId="0810B29D">
            <w:pPr>
              <w:jc w:val="center"/>
              <w:rPr>
                <w:rFonts w:ascii="仿宋" w:hAnsi="仿宋" w:eastAsia="仿宋"/>
                <w:color w:val="auto"/>
                <w:sz w:val="24"/>
                <w:highlight w:val="none"/>
              </w:rPr>
            </w:pPr>
            <w:r>
              <w:rPr>
                <w:rFonts w:ascii="仿宋" w:hAnsi="仿宋" w:eastAsia="仿宋"/>
                <w:color w:val="auto"/>
                <w:sz w:val="24"/>
                <w:highlight w:val="none"/>
              </w:rPr>
              <w:t>年龄</w:t>
            </w:r>
          </w:p>
        </w:tc>
        <w:tc>
          <w:tcPr>
            <w:tcW w:w="407" w:type="pct"/>
          </w:tcPr>
          <w:p w14:paraId="11CD2053">
            <w:pPr>
              <w:jc w:val="center"/>
              <w:rPr>
                <w:rFonts w:ascii="仿宋" w:hAnsi="仿宋" w:eastAsia="仿宋"/>
                <w:color w:val="auto"/>
                <w:sz w:val="24"/>
                <w:highlight w:val="none"/>
              </w:rPr>
            </w:pPr>
            <w:r>
              <w:rPr>
                <w:rFonts w:ascii="仿宋" w:hAnsi="仿宋" w:eastAsia="仿宋"/>
                <w:color w:val="auto"/>
                <w:sz w:val="24"/>
                <w:highlight w:val="none"/>
              </w:rPr>
              <w:t>工种</w:t>
            </w:r>
          </w:p>
        </w:tc>
        <w:tc>
          <w:tcPr>
            <w:tcW w:w="638" w:type="pct"/>
          </w:tcPr>
          <w:p w14:paraId="69D6D31F">
            <w:pPr>
              <w:jc w:val="center"/>
              <w:rPr>
                <w:rFonts w:ascii="仿宋" w:hAnsi="仿宋" w:eastAsia="仿宋"/>
                <w:color w:val="auto"/>
                <w:sz w:val="24"/>
                <w:highlight w:val="none"/>
              </w:rPr>
            </w:pPr>
            <w:r>
              <w:rPr>
                <w:rFonts w:ascii="仿宋" w:hAnsi="仿宋" w:eastAsia="仿宋"/>
                <w:color w:val="auto"/>
                <w:sz w:val="24"/>
                <w:highlight w:val="none"/>
              </w:rPr>
              <w:t>参加工作 年月</w:t>
            </w:r>
          </w:p>
        </w:tc>
        <w:tc>
          <w:tcPr>
            <w:tcW w:w="602" w:type="pct"/>
          </w:tcPr>
          <w:p w14:paraId="7DDFC983">
            <w:pPr>
              <w:jc w:val="center"/>
              <w:rPr>
                <w:rFonts w:ascii="仿宋" w:hAnsi="仿宋" w:eastAsia="仿宋"/>
                <w:color w:val="auto"/>
                <w:sz w:val="24"/>
                <w:highlight w:val="none"/>
              </w:rPr>
            </w:pPr>
            <w:r>
              <w:rPr>
                <w:rFonts w:ascii="仿宋" w:hAnsi="仿宋" w:eastAsia="仿宋"/>
                <w:color w:val="auto"/>
                <w:sz w:val="24"/>
                <w:highlight w:val="none"/>
              </w:rPr>
              <w:t>户籍所在 地</w:t>
            </w:r>
          </w:p>
        </w:tc>
        <w:tc>
          <w:tcPr>
            <w:tcW w:w="597" w:type="pct"/>
          </w:tcPr>
          <w:p w14:paraId="275A5F83">
            <w:pPr>
              <w:jc w:val="center"/>
              <w:rPr>
                <w:rFonts w:ascii="仿宋" w:hAnsi="仿宋" w:eastAsia="仿宋"/>
                <w:color w:val="auto"/>
                <w:sz w:val="24"/>
                <w:highlight w:val="none"/>
              </w:rPr>
            </w:pPr>
            <w:r>
              <w:rPr>
                <w:rFonts w:ascii="仿宋" w:hAnsi="仿宋" w:eastAsia="仿宋"/>
                <w:color w:val="auto"/>
                <w:sz w:val="24"/>
                <w:highlight w:val="none"/>
              </w:rPr>
              <w:t>现家庭住 址</w:t>
            </w:r>
          </w:p>
        </w:tc>
        <w:tc>
          <w:tcPr>
            <w:tcW w:w="393" w:type="pct"/>
          </w:tcPr>
          <w:p w14:paraId="1B092D69">
            <w:pPr>
              <w:jc w:val="center"/>
              <w:rPr>
                <w:rFonts w:ascii="仿宋" w:hAnsi="仿宋" w:eastAsia="仿宋"/>
                <w:color w:val="auto"/>
                <w:sz w:val="24"/>
                <w:highlight w:val="none"/>
              </w:rPr>
            </w:pPr>
            <w:r>
              <w:rPr>
                <w:rFonts w:ascii="仿宋" w:hAnsi="仿宋" w:eastAsia="仿宋"/>
                <w:color w:val="auto"/>
                <w:sz w:val="24"/>
                <w:highlight w:val="none"/>
              </w:rPr>
              <w:t>用工形式</w:t>
            </w:r>
          </w:p>
        </w:tc>
      </w:tr>
      <w:tr w14:paraId="231BA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466" w:type="pct"/>
          </w:tcPr>
          <w:p w14:paraId="6E77A49E">
            <w:pPr>
              <w:rPr>
                <w:rFonts w:ascii="仿宋" w:hAnsi="仿宋" w:eastAsia="仿宋"/>
                <w:color w:val="auto"/>
                <w:sz w:val="24"/>
                <w:highlight w:val="none"/>
              </w:rPr>
            </w:pPr>
          </w:p>
        </w:tc>
        <w:tc>
          <w:tcPr>
            <w:tcW w:w="463" w:type="pct"/>
          </w:tcPr>
          <w:p w14:paraId="02858469">
            <w:pPr>
              <w:rPr>
                <w:rFonts w:ascii="仿宋" w:hAnsi="仿宋" w:eastAsia="仿宋"/>
                <w:color w:val="auto"/>
                <w:sz w:val="24"/>
                <w:highlight w:val="none"/>
              </w:rPr>
            </w:pPr>
          </w:p>
        </w:tc>
        <w:tc>
          <w:tcPr>
            <w:tcW w:w="466" w:type="pct"/>
          </w:tcPr>
          <w:p w14:paraId="7ECEE1E6">
            <w:pPr>
              <w:rPr>
                <w:rFonts w:ascii="仿宋" w:hAnsi="仿宋" w:eastAsia="仿宋"/>
                <w:color w:val="auto"/>
                <w:sz w:val="24"/>
                <w:highlight w:val="none"/>
              </w:rPr>
            </w:pPr>
          </w:p>
        </w:tc>
        <w:tc>
          <w:tcPr>
            <w:tcW w:w="598" w:type="pct"/>
          </w:tcPr>
          <w:p w14:paraId="722AD21F">
            <w:pPr>
              <w:rPr>
                <w:rFonts w:ascii="仿宋" w:hAnsi="仿宋" w:eastAsia="仿宋"/>
                <w:color w:val="auto"/>
                <w:sz w:val="24"/>
                <w:highlight w:val="none"/>
              </w:rPr>
            </w:pPr>
          </w:p>
        </w:tc>
        <w:tc>
          <w:tcPr>
            <w:tcW w:w="365" w:type="pct"/>
          </w:tcPr>
          <w:p w14:paraId="7092D2C6">
            <w:pPr>
              <w:rPr>
                <w:rFonts w:ascii="仿宋" w:hAnsi="仿宋" w:eastAsia="仿宋"/>
                <w:color w:val="auto"/>
                <w:sz w:val="24"/>
                <w:highlight w:val="none"/>
              </w:rPr>
            </w:pPr>
          </w:p>
        </w:tc>
        <w:tc>
          <w:tcPr>
            <w:tcW w:w="407" w:type="pct"/>
          </w:tcPr>
          <w:p w14:paraId="6C5C4524">
            <w:pPr>
              <w:rPr>
                <w:rFonts w:ascii="仿宋" w:hAnsi="仿宋" w:eastAsia="仿宋"/>
                <w:color w:val="auto"/>
                <w:sz w:val="24"/>
                <w:highlight w:val="none"/>
              </w:rPr>
            </w:pPr>
          </w:p>
        </w:tc>
        <w:tc>
          <w:tcPr>
            <w:tcW w:w="638" w:type="pct"/>
          </w:tcPr>
          <w:p w14:paraId="1DDC01DD">
            <w:pPr>
              <w:rPr>
                <w:rFonts w:ascii="仿宋" w:hAnsi="仿宋" w:eastAsia="仿宋"/>
                <w:color w:val="auto"/>
                <w:sz w:val="24"/>
                <w:highlight w:val="none"/>
              </w:rPr>
            </w:pPr>
          </w:p>
        </w:tc>
        <w:tc>
          <w:tcPr>
            <w:tcW w:w="602" w:type="pct"/>
          </w:tcPr>
          <w:p w14:paraId="2C59A38A">
            <w:pPr>
              <w:rPr>
                <w:rFonts w:ascii="仿宋" w:hAnsi="仿宋" w:eastAsia="仿宋"/>
                <w:color w:val="auto"/>
                <w:sz w:val="24"/>
                <w:highlight w:val="none"/>
              </w:rPr>
            </w:pPr>
          </w:p>
        </w:tc>
        <w:tc>
          <w:tcPr>
            <w:tcW w:w="597" w:type="pct"/>
          </w:tcPr>
          <w:p w14:paraId="7C1A228F">
            <w:pPr>
              <w:rPr>
                <w:rFonts w:ascii="仿宋" w:hAnsi="仿宋" w:eastAsia="仿宋"/>
                <w:color w:val="auto"/>
                <w:sz w:val="24"/>
                <w:highlight w:val="none"/>
              </w:rPr>
            </w:pPr>
          </w:p>
        </w:tc>
        <w:tc>
          <w:tcPr>
            <w:tcW w:w="393" w:type="pct"/>
          </w:tcPr>
          <w:p w14:paraId="2EFB2361">
            <w:pPr>
              <w:rPr>
                <w:rFonts w:ascii="仿宋" w:hAnsi="仿宋" w:eastAsia="仿宋"/>
                <w:color w:val="auto"/>
                <w:sz w:val="24"/>
                <w:highlight w:val="none"/>
              </w:rPr>
            </w:pPr>
          </w:p>
        </w:tc>
      </w:tr>
      <w:tr w14:paraId="38542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466" w:type="pct"/>
          </w:tcPr>
          <w:p w14:paraId="31CC5A26">
            <w:pPr>
              <w:rPr>
                <w:rFonts w:ascii="仿宋" w:hAnsi="仿宋" w:eastAsia="仿宋"/>
                <w:color w:val="auto"/>
                <w:sz w:val="24"/>
                <w:highlight w:val="none"/>
              </w:rPr>
            </w:pPr>
          </w:p>
        </w:tc>
        <w:tc>
          <w:tcPr>
            <w:tcW w:w="463" w:type="pct"/>
          </w:tcPr>
          <w:p w14:paraId="1DFD462B">
            <w:pPr>
              <w:rPr>
                <w:rFonts w:ascii="仿宋" w:hAnsi="仿宋" w:eastAsia="仿宋"/>
                <w:color w:val="auto"/>
                <w:sz w:val="24"/>
                <w:highlight w:val="none"/>
              </w:rPr>
            </w:pPr>
          </w:p>
        </w:tc>
        <w:tc>
          <w:tcPr>
            <w:tcW w:w="466" w:type="pct"/>
          </w:tcPr>
          <w:p w14:paraId="2C4E6330">
            <w:pPr>
              <w:rPr>
                <w:rFonts w:ascii="仿宋" w:hAnsi="仿宋" w:eastAsia="仿宋"/>
                <w:color w:val="auto"/>
                <w:sz w:val="24"/>
                <w:highlight w:val="none"/>
              </w:rPr>
            </w:pPr>
          </w:p>
        </w:tc>
        <w:tc>
          <w:tcPr>
            <w:tcW w:w="598" w:type="pct"/>
          </w:tcPr>
          <w:p w14:paraId="760FD937">
            <w:pPr>
              <w:rPr>
                <w:rFonts w:ascii="仿宋" w:hAnsi="仿宋" w:eastAsia="仿宋"/>
                <w:color w:val="auto"/>
                <w:sz w:val="24"/>
                <w:highlight w:val="none"/>
              </w:rPr>
            </w:pPr>
          </w:p>
        </w:tc>
        <w:tc>
          <w:tcPr>
            <w:tcW w:w="365" w:type="pct"/>
          </w:tcPr>
          <w:p w14:paraId="3DF2E05F">
            <w:pPr>
              <w:rPr>
                <w:rFonts w:ascii="仿宋" w:hAnsi="仿宋" w:eastAsia="仿宋"/>
                <w:color w:val="auto"/>
                <w:sz w:val="24"/>
                <w:highlight w:val="none"/>
              </w:rPr>
            </w:pPr>
          </w:p>
        </w:tc>
        <w:tc>
          <w:tcPr>
            <w:tcW w:w="407" w:type="pct"/>
          </w:tcPr>
          <w:p w14:paraId="1BE0084A">
            <w:pPr>
              <w:rPr>
                <w:rFonts w:ascii="仿宋" w:hAnsi="仿宋" w:eastAsia="仿宋"/>
                <w:color w:val="auto"/>
                <w:sz w:val="24"/>
                <w:highlight w:val="none"/>
              </w:rPr>
            </w:pPr>
          </w:p>
        </w:tc>
        <w:tc>
          <w:tcPr>
            <w:tcW w:w="638" w:type="pct"/>
          </w:tcPr>
          <w:p w14:paraId="12D292FA">
            <w:pPr>
              <w:rPr>
                <w:rFonts w:ascii="仿宋" w:hAnsi="仿宋" w:eastAsia="仿宋"/>
                <w:color w:val="auto"/>
                <w:sz w:val="24"/>
                <w:highlight w:val="none"/>
              </w:rPr>
            </w:pPr>
          </w:p>
        </w:tc>
        <w:tc>
          <w:tcPr>
            <w:tcW w:w="602" w:type="pct"/>
          </w:tcPr>
          <w:p w14:paraId="233AD81B">
            <w:pPr>
              <w:rPr>
                <w:rFonts w:ascii="仿宋" w:hAnsi="仿宋" w:eastAsia="仿宋"/>
                <w:color w:val="auto"/>
                <w:sz w:val="24"/>
                <w:highlight w:val="none"/>
              </w:rPr>
            </w:pPr>
          </w:p>
        </w:tc>
        <w:tc>
          <w:tcPr>
            <w:tcW w:w="597" w:type="pct"/>
          </w:tcPr>
          <w:p w14:paraId="6F7F04BF">
            <w:pPr>
              <w:rPr>
                <w:rFonts w:ascii="仿宋" w:hAnsi="仿宋" w:eastAsia="仿宋"/>
                <w:color w:val="auto"/>
                <w:sz w:val="24"/>
                <w:highlight w:val="none"/>
              </w:rPr>
            </w:pPr>
          </w:p>
        </w:tc>
        <w:tc>
          <w:tcPr>
            <w:tcW w:w="393" w:type="pct"/>
          </w:tcPr>
          <w:p w14:paraId="096463D0">
            <w:pPr>
              <w:rPr>
                <w:rFonts w:ascii="仿宋" w:hAnsi="仿宋" w:eastAsia="仿宋"/>
                <w:color w:val="auto"/>
                <w:sz w:val="24"/>
                <w:highlight w:val="none"/>
              </w:rPr>
            </w:pPr>
          </w:p>
        </w:tc>
      </w:tr>
      <w:tr w14:paraId="62DB9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000" w:type="pct"/>
            <w:gridSpan w:val="10"/>
          </w:tcPr>
          <w:p w14:paraId="0AC082AA">
            <w:pPr>
              <w:pStyle w:val="62"/>
              <w:spacing w:before="175" w:line="217" w:lineRule="auto"/>
              <w:ind w:left="3795"/>
              <w:rPr>
                <w:color w:val="auto"/>
                <w:sz w:val="24"/>
                <w:szCs w:val="24"/>
                <w:highlight w:val="none"/>
              </w:rPr>
            </w:pPr>
            <w:r>
              <w:rPr>
                <w:color w:val="auto"/>
                <w:spacing w:val="-3"/>
                <w:sz w:val="24"/>
                <w:szCs w:val="24"/>
                <w:highlight w:val="none"/>
              </w:rPr>
              <w:t>事故救援进展情况</w:t>
            </w:r>
          </w:p>
        </w:tc>
      </w:tr>
      <w:tr w14:paraId="05ADF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5000" w:type="pct"/>
            <w:gridSpan w:val="10"/>
          </w:tcPr>
          <w:p w14:paraId="6D0FB4ED">
            <w:pPr>
              <w:rPr>
                <w:rFonts w:ascii="仿宋" w:hAnsi="仿宋" w:eastAsia="仿宋"/>
                <w:color w:val="auto"/>
                <w:sz w:val="24"/>
                <w:highlight w:val="none"/>
              </w:rPr>
            </w:pPr>
          </w:p>
        </w:tc>
      </w:tr>
      <w:tr w14:paraId="7C338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5000" w:type="pct"/>
            <w:gridSpan w:val="10"/>
          </w:tcPr>
          <w:p w14:paraId="50FDF210">
            <w:pPr>
              <w:pStyle w:val="62"/>
              <w:spacing w:before="125" w:line="218" w:lineRule="auto"/>
              <w:ind w:left="4035"/>
              <w:rPr>
                <w:color w:val="auto"/>
                <w:sz w:val="24"/>
                <w:szCs w:val="24"/>
                <w:highlight w:val="none"/>
              </w:rPr>
            </w:pPr>
            <w:r>
              <w:rPr>
                <w:color w:val="auto"/>
                <w:spacing w:val="-3"/>
                <w:sz w:val="24"/>
                <w:szCs w:val="24"/>
                <w:highlight w:val="none"/>
              </w:rPr>
              <w:t>事故救援方案</w:t>
            </w:r>
          </w:p>
        </w:tc>
      </w:tr>
      <w:tr w14:paraId="5F99C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 w:hRule="atLeast"/>
        </w:trPr>
        <w:tc>
          <w:tcPr>
            <w:tcW w:w="5000" w:type="pct"/>
            <w:gridSpan w:val="10"/>
          </w:tcPr>
          <w:p w14:paraId="43D47EF3">
            <w:pPr>
              <w:rPr>
                <w:rFonts w:ascii="仿宋" w:hAnsi="仿宋" w:eastAsia="仿宋"/>
                <w:color w:val="auto"/>
                <w:sz w:val="24"/>
                <w:highlight w:val="none"/>
              </w:rPr>
            </w:pPr>
          </w:p>
        </w:tc>
      </w:tr>
      <w:tr w14:paraId="7F553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5000" w:type="pct"/>
            <w:gridSpan w:val="10"/>
          </w:tcPr>
          <w:p w14:paraId="7750AB59">
            <w:pPr>
              <w:pStyle w:val="62"/>
              <w:spacing w:before="131" w:line="216" w:lineRule="auto"/>
              <w:ind w:left="3548"/>
              <w:rPr>
                <w:color w:val="auto"/>
                <w:sz w:val="24"/>
                <w:szCs w:val="24"/>
                <w:highlight w:val="none"/>
                <w:lang w:eastAsia="zh-CN"/>
              </w:rPr>
            </w:pPr>
            <w:r>
              <w:rPr>
                <w:color w:val="auto"/>
                <w:spacing w:val="-1"/>
                <w:sz w:val="24"/>
                <w:szCs w:val="24"/>
                <w:highlight w:val="none"/>
                <w:lang w:eastAsia="zh-CN"/>
              </w:rPr>
              <w:t>其他应当报告的情况。</w:t>
            </w:r>
          </w:p>
        </w:tc>
      </w:tr>
      <w:tr w14:paraId="17943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trPr>
        <w:tc>
          <w:tcPr>
            <w:tcW w:w="5000" w:type="pct"/>
            <w:gridSpan w:val="10"/>
          </w:tcPr>
          <w:p w14:paraId="0A4BE2EB">
            <w:pPr>
              <w:rPr>
                <w:rFonts w:ascii="仿宋" w:hAnsi="仿宋" w:eastAsia="仿宋"/>
                <w:color w:val="auto"/>
                <w:sz w:val="24"/>
                <w:highlight w:val="none"/>
              </w:rPr>
            </w:pPr>
          </w:p>
        </w:tc>
      </w:tr>
    </w:tbl>
    <w:p w14:paraId="101EE00F">
      <w:pPr>
        <w:spacing w:line="400" w:lineRule="exact"/>
        <w:rPr>
          <w:color w:val="auto"/>
          <w:sz w:val="24"/>
          <w:highlight w:val="none"/>
        </w:rPr>
      </w:pPr>
      <w:r>
        <w:rPr>
          <w:color w:val="auto"/>
          <w:sz w:val="24"/>
          <w:highlight w:val="none"/>
        </w:rPr>
        <w:t>单位负责人：                     报告时间：      年   月    日   时   分</w:t>
      </w:r>
    </w:p>
    <w:p w14:paraId="686D5505">
      <w:pPr>
        <w:spacing w:line="400" w:lineRule="exact"/>
        <w:rPr>
          <w:color w:val="auto"/>
          <w:sz w:val="24"/>
          <w:highlight w:val="none"/>
        </w:rPr>
      </w:pPr>
      <w:r>
        <w:rPr>
          <w:color w:val="auto"/>
          <w:sz w:val="24"/>
          <w:highlight w:val="none"/>
        </w:rPr>
        <w:t>填表说明：1.该表格应在事故发生后，每天上午、下午定期汇报两次。</w:t>
      </w:r>
    </w:p>
    <w:p w14:paraId="48198E45">
      <w:pPr>
        <w:spacing w:line="400" w:lineRule="exact"/>
        <w:rPr>
          <w:color w:val="auto"/>
          <w:sz w:val="24"/>
          <w:highlight w:val="none"/>
        </w:rPr>
      </w:pPr>
      <w:r>
        <w:rPr>
          <w:color w:val="auto"/>
          <w:sz w:val="24"/>
          <w:highlight w:val="none"/>
        </w:rPr>
        <w:t>2.事故现场发生重大变化，或事故救援方案发生重大变更，或应急救援发生重大变化时，随时汇报。</w:t>
      </w:r>
    </w:p>
    <w:p w14:paraId="75B1FA96">
      <w:pPr>
        <w:adjustRightInd w:val="0"/>
        <w:snapToGrid w:val="0"/>
        <w:spacing w:line="560" w:lineRule="exact"/>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表1</w:t>
      </w:r>
      <w:r>
        <w:rPr>
          <w:rFonts w:hint="eastAsia" w:ascii="仿宋_GB2312" w:hAnsi="仿宋_GB2312" w:eastAsia="仿宋_GB2312" w:cs="仿宋_GB2312"/>
          <w:b/>
          <w:color w:val="auto"/>
          <w:sz w:val="32"/>
          <w:szCs w:val="32"/>
          <w:highlight w:val="none"/>
          <w:lang w:val="en-US" w:eastAsia="zh-CN"/>
        </w:rPr>
        <w:t>7</w:t>
      </w:r>
      <w:r>
        <w:rPr>
          <w:rFonts w:hint="eastAsia" w:ascii="仿宋_GB2312" w:hAnsi="仿宋_GB2312" w:eastAsia="仿宋_GB2312" w:cs="仿宋_GB2312"/>
          <w:b/>
          <w:color w:val="auto"/>
          <w:sz w:val="32"/>
          <w:szCs w:val="32"/>
          <w:highlight w:val="none"/>
        </w:rPr>
        <w:t xml:space="preserve">  政府部门事故报告单</w:t>
      </w:r>
    </w:p>
    <w:p w14:paraId="4C241E3E">
      <w:pPr>
        <w:spacing w:line="480" w:lineRule="exact"/>
        <w:rPr>
          <w:rFonts w:eastAsia="仿宋"/>
          <w:color w:val="auto"/>
          <w:sz w:val="28"/>
          <w:szCs w:val="28"/>
          <w:highlight w:val="none"/>
        </w:rPr>
      </w:pPr>
      <w:r>
        <w:rPr>
          <w:rFonts w:eastAsia="仿宋"/>
          <w:color w:val="auto"/>
          <w:sz w:val="28"/>
          <w:szCs w:val="28"/>
          <w:highlight w:val="none"/>
        </w:rPr>
        <w:t>填报单位（盖章）：                      填报日期：  年 月 日</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9"/>
        <w:gridCol w:w="3061"/>
        <w:gridCol w:w="3191"/>
      </w:tblGrid>
      <w:tr w14:paraId="283E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gridSpan w:val="3"/>
            <w:vAlign w:val="center"/>
          </w:tcPr>
          <w:p w14:paraId="3C687E5B">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事故单位：                        隶属关系：</w:t>
            </w:r>
          </w:p>
        </w:tc>
      </w:tr>
      <w:tr w14:paraId="4747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gridSpan w:val="3"/>
            <w:vAlign w:val="center"/>
          </w:tcPr>
          <w:p w14:paraId="3867C24C">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事故发生时间：   年  月  日  时  分    事故类别：</w:t>
            </w:r>
          </w:p>
        </w:tc>
      </w:tr>
      <w:tr w14:paraId="574F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gridSpan w:val="3"/>
            <w:vAlign w:val="center"/>
          </w:tcPr>
          <w:p w14:paraId="508D89C0">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事故发生地点：</w:t>
            </w:r>
          </w:p>
        </w:tc>
      </w:tr>
      <w:tr w14:paraId="47C2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00" w:type="pct"/>
            <w:gridSpan w:val="3"/>
            <w:vAlign w:val="center"/>
          </w:tcPr>
          <w:p w14:paraId="15F9CA98">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事故伤亡人数：共  人 ，其中： 死亡  人，重伤  人，轻伤  人</w:t>
            </w:r>
          </w:p>
        </w:tc>
      </w:tr>
      <w:tr w14:paraId="4572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5000" w:type="pct"/>
            <w:gridSpan w:val="3"/>
          </w:tcPr>
          <w:p w14:paraId="03A7E493">
            <w:pPr>
              <w:rPr>
                <w:rFonts w:ascii="仿宋" w:hAnsi="仿宋" w:eastAsia="仿宋" w:cs="仿宋_GB2312"/>
                <w:color w:val="auto"/>
                <w:sz w:val="24"/>
                <w:highlight w:val="none"/>
              </w:rPr>
            </w:pPr>
            <w:r>
              <w:rPr>
                <w:rFonts w:hint="eastAsia" w:ascii="仿宋" w:hAnsi="仿宋" w:eastAsia="仿宋" w:cs="仿宋_GB2312"/>
                <w:color w:val="auto"/>
                <w:sz w:val="24"/>
                <w:highlight w:val="none"/>
              </w:rPr>
              <w:t xml:space="preserve">死者姓名：      性别：    年龄：    工种：     文化程度：  </w:t>
            </w:r>
          </w:p>
          <w:p w14:paraId="2CCA45B8">
            <w:pPr>
              <w:rPr>
                <w:rFonts w:ascii="仿宋" w:hAnsi="仿宋" w:eastAsia="仿宋" w:cs="仿宋_GB2312"/>
                <w:color w:val="auto"/>
                <w:sz w:val="24"/>
                <w:highlight w:val="none"/>
              </w:rPr>
            </w:pPr>
            <w:r>
              <w:rPr>
                <w:rFonts w:hint="eastAsia" w:ascii="仿宋" w:hAnsi="仿宋" w:eastAsia="仿宋" w:cs="仿宋_GB2312"/>
                <w:color w:val="auto"/>
                <w:sz w:val="24"/>
                <w:highlight w:val="none"/>
              </w:rPr>
              <w:t>就业类型：</w:t>
            </w:r>
          </w:p>
          <w:p w14:paraId="0EE8BA34">
            <w:pPr>
              <w:rPr>
                <w:rFonts w:ascii="仿宋" w:hAnsi="仿宋" w:eastAsia="仿宋" w:cs="仿宋_GB2312"/>
                <w:color w:val="auto"/>
                <w:sz w:val="24"/>
                <w:highlight w:val="none"/>
              </w:rPr>
            </w:pPr>
          </w:p>
        </w:tc>
      </w:tr>
      <w:tr w14:paraId="11E4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1550" w:type="pct"/>
          </w:tcPr>
          <w:p w14:paraId="66059AD0">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事故简单经过：</w:t>
            </w:r>
          </w:p>
        </w:tc>
        <w:tc>
          <w:tcPr>
            <w:tcW w:w="1689" w:type="pct"/>
          </w:tcPr>
          <w:p w14:paraId="3E0AF3B4">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事故直接原因：</w:t>
            </w:r>
          </w:p>
        </w:tc>
        <w:tc>
          <w:tcPr>
            <w:tcW w:w="1759" w:type="pct"/>
          </w:tcPr>
          <w:p w14:paraId="26260CB0">
            <w:pPr>
              <w:rPr>
                <w:rFonts w:ascii="仿宋" w:hAnsi="仿宋" w:eastAsia="仿宋" w:cs="仿宋_GB2312"/>
                <w:color w:val="auto"/>
                <w:sz w:val="24"/>
                <w:highlight w:val="none"/>
              </w:rPr>
            </w:pPr>
            <w:r>
              <w:rPr>
                <w:rFonts w:hint="eastAsia" w:ascii="仿宋" w:hAnsi="仿宋" w:eastAsia="仿宋" w:cs="仿宋_GB2312"/>
                <w:color w:val="auto"/>
                <w:sz w:val="24"/>
                <w:highlight w:val="none"/>
              </w:rPr>
              <w:t>今后采取的主要措施：</w:t>
            </w:r>
          </w:p>
        </w:tc>
      </w:tr>
      <w:tr w14:paraId="3853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trPr>
        <w:tc>
          <w:tcPr>
            <w:tcW w:w="5000" w:type="pct"/>
            <w:gridSpan w:val="3"/>
          </w:tcPr>
          <w:p w14:paraId="788B3143">
            <w:pPr>
              <w:rPr>
                <w:rFonts w:ascii="仿宋" w:hAnsi="仿宋" w:eastAsia="仿宋" w:cs="仿宋_GB2312"/>
                <w:color w:val="auto"/>
                <w:sz w:val="24"/>
                <w:highlight w:val="none"/>
              </w:rPr>
            </w:pPr>
            <w:r>
              <w:rPr>
                <w:rFonts w:hint="eastAsia" w:ascii="仿宋" w:hAnsi="仿宋" w:eastAsia="仿宋" w:cs="仿宋_GB2312"/>
                <w:color w:val="auto"/>
                <w:sz w:val="24"/>
                <w:highlight w:val="none"/>
              </w:rPr>
              <w:t>事故现场示意图：（另附）</w:t>
            </w:r>
          </w:p>
        </w:tc>
      </w:tr>
      <w:tr w14:paraId="5C7C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5000" w:type="pct"/>
            <w:gridSpan w:val="3"/>
            <w:tcBorders>
              <w:bottom w:val="single" w:color="auto" w:sz="4" w:space="0"/>
            </w:tcBorders>
          </w:tcPr>
          <w:p w14:paraId="0D8AD3D8">
            <w:pPr>
              <w:rPr>
                <w:rFonts w:ascii="仿宋" w:hAnsi="仿宋" w:eastAsia="仿宋" w:cs="仿宋_GB2312"/>
                <w:color w:val="auto"/>
                <w:sz w:val="24"/>
                <w:highlight w:val="none"/>
              </w:rPr>
            </w:pPr>
            <w:r>
              <w:rPr>
                <w:rFonts w:hint="eastAsia" w:ascii="仿宋" w:hAnsi="仿宋" w:eastAsia="仿宋" w:cs="仿宋_GB2312"/>
                <w:color w:val="auto"/>
                <w:sz w:val="24"/>
                <w:highlight w:val="none"/>
              </w:rPr>
              <w:t xml:space="preserve">          </w:t>
            </w:r>
          </w:p>
          <w:p w14:paraId="38B3A80D">
            <w:pPr>
              <w:ind w:firstLine="720" w:firstLineChars="300"/>
              <w:rPr>
                <w:rFonts w:ascii="仿宋" w:hAnsi="仿宋" w:eastAsia="仿宋" w:cs="仿宋_GB2312"/>
                <w:color w:val="auto"/>
                <w:sz w:val="24"/>
                <w:highlight w:val="none"/>
              </w:rPr>
            </w:pPr>
            <w:r>
              <w:rPr>
                <w:rFonts w:hint="eastAsia" w:ascii="仿宋" w:hAnsi="仿宋" w:eastAsia="仿宋" w:cs="仿宋_GB2312"/>
                <w:color w:val="auto"/>
                <w:sz w:val="24"/>
                <w:highlight w:val="none"/>
              </w:rPr>
              <w:t>单位负责人签字：                         报告人：</w:t>
            </w:r>
          </w:p>
          <w:p w14:paraId="75714F6C">
            <w:pPr>
              <w:rPr>
                <w:rFonts w:ascii="仿宋" w:hAnsi="仿宋" w:eastAsia="仿宋" w:cs="仿宋_GB2312"/>
                <w:color w:val="auto"/>
                <w:sz w:val="24"/>
                <w:highlight w:val="none"/>
              </w:rPr>
            </w:pPr>
          </w:p>
          <w:p w14:paraId="5AE16A20">
            <w:pPr>
              <w:rPr>
                <w:rFonts w:ascii="仿宋" w:hAnsi="仿宋" w:eastAsia="仿宋" w:cs="仿宋_GB2312"/>
                <w:color w:val="auto"/>
                <w:sz w:val="24"/>
                <w:highlight w:val="none"/>
              </w:rPr>
            </w:pPr>
            <w:r>
              <w:rPr>
                <w:rFonts w:hint="eastAsia" w:ascii="仿宋" w:hAnsi="仿宋" w:eastAsia="仿宋" w:cs="仿宋_GB2312"/>
                <w:color w:val="auto"/>
                <w:sz w:val="24"/>
                <w:highlight w:val="none"/>
              </w:rPr>
              <w:t xml:space="preserve">                                     时间：  年  月  日</w:t>
            </w:r>
          </w:p>
        </w:tc>
      </w:tr>
    </w:tbl>
    <w:p w14:paraId="580B1830">
      <w:pPr>
        <w:adjustRightInd w:val="0"/>
        <w:snapToGrid w:val="0"/>
        <w:spacing w:line="560" w:lineRule="exact"/>
        <w:jc w:val="right"/>
        <w:rPr>
          <w:rFonts w:ascii="仿宋" w:hAnsi="仿宋" w:eastAsia="仿宋" w:cs="仿宋"/>
          <w:color w:val="auto"/>
          <w:sz w:val="30"/>
          <w:szCs w:val="30"/>
          <w:highlight w:val="none"/>
        </w:rPr>
      </w:pPr>
      <w:r>
        <w:rPr>
          <w:color w:val="auto"/>
          <w:sz w:val="28"/>
          <w:szCs w:val="28"/>
          <w:highlight w:val="none"/>
        </w:rPr>
        <w:br w:type="page"/>
      </w:r>
      <w:bookmarkEnd w:id="617"/>
    </w:p>
    <w:p w14:paraId="2C16210B">
      <w:pPr>
        <w:pStyle w:val="44"/>
        <w:spacing w:line="360" w:lineRule="auto"/>
        <w:jc w:val="center"/>
        <w:outlineLvl w:val="3"/>
        <w:rPr>
          <w:rFonts w:ascii="仿宋_GB2312" w:hAnsi="仿宋_GB2312" w:eastAsia="仿宋_GB2312" w:cs="仿宋_GB2312"/>
          <w:b/>
          <w:color w:val="auto"/>
          <w:kern w:val="2"/>
          <w:sz w:val="32"/>
          <w:szCs w:val="32"/>
          <w:highlight w:val="none"/>
        </w:rPr>
      </w:pPr>
      <w:bookmarkStart w:id="618" w:name="_Toc11483"/>
      <w:bookmarkStart w:id="619" w:name="_Toc7094"/>
      <w:bookmarkStart w:id="620" w:name="_Toc14381"/>
      <w:bookmarkStart w:id="621" w:name="_Toc8739"/>
      <w:bookmarkStart w:id="622" w:name="_Toc12703"/>
      <w:r>
        <w:rPr>
          <w:rFonts w:hint="eastAsia" w:ascii="仿宋_GB2312" w:hAnsi="仿宋_GB2312" w:eastAsia="仿宋_GB2312" w:cs="仿宋_GB2312"/>
          <w:b/>
          <w:color w:val="auto"/>
          <w:kern w:val="2"/>
          <w:sz w:val="32"/>
          <w:szCs w:val="32"/>
          <w:highlight w:val="none"/>
        </w:rPr>
        <w:t>表1</w:t>
      </w:r>
      <w:r>
        <w:rPr>
          <w:rFonts w:hint="eastAsia" w:ascii="仿宋_GB2312" w:hAnsi="仿宋_GB2312" w:eastAsia="仿宋_GB2312" w:cs="仿宋_GB2312"/>
          <w:b/>
          <w:color w:val="auto"/>
          <w:kern w:val="2"/>
          <w:sz w:val="32"/>
          <w:szCs w:val="32"/>
          <w:highlight w:val="none"/>
          <w:lang w:val="en-US" w:eastAsia="zh-CN"/>
        </w:rPr>
        <w:t>8</w:t>
      </w:r>
      <w:r>
        <w:rPr>
          <w:rFonts w:hint="eastAsia" w:ascii="仿宋_GB2312" w:hAnsi="仿宋_GB2312" w:eastAsia="仿宋_GB2312" w:cs="仿宋_GB2312"/>
          <w:b/>
          <w:color w:val="auto"/>
          <w:kern w:val="2"/>
          <w:sz w:val="32"/>
          <w:szCs w:val="32"/>
          <w:highlight w:val="none"/>
        </w:rPr>
        <w:t xml:space="preserve">  </w:t>
      </w:r>
      <w:r>
        <w:rPr>
          <w:rFonts w:hint="eastAsia" w:ascii="仿宋_GB2312" w:hAnsi="仿宋_GB2312" w:eastAsia="仿宋_GB2312" w:cs="仿宋_GB2312"/>
          <w:b/>
          <w:color w:val="auto"/>
          <w:kern w:val="2"/>
          <w:sz w:val="32"/>
          <w:szCs w:val="32"/>
          <w:highlight w:val="none"/>
          <w:lang w:eastAsia="zh-CN"/>
        </w:rPr>
        <w:t>长城一矿</w:t>
      </w:r>
      <w:r>
        <w:rPr>
          <w:rFonts w:hint="eastAsia" w:ascii="仿宋_GB2312" w:hAnsi="仿宋_GB2312" w:eastAsia="仿宋_GB2312" w:cs="仿宋_GB2312"/>
          <w:b/>
          <w:color w:val="auto"/>
          <w:kern w:val="2"/>
          <w:sz w:val="32"/>
          <w:szCs w:val="32"/>
          <w:highlight w:val="none"/>
        </w:rPr>
        <w:t>生产安全事故调度接报记录</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
        <w:gridCol w:w="823"/>
        <w:gridCol w:w="914"/>
        <w:gridCol w:w="638"/>
        <w:gridCol w:w="2179"/>
        <w:gridCol w:w="2736"/>
        <w:gridCol w:w="1334"/>
      </w:tblGrid>
      <w:tr w14:paraId="1AE6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9" w:type="pct"/>
            <w:vMerge w:val="restart"/>
            <w:tcBorders>
              <w:top w:val="single" w:color="auto" w:sz="4" w:space="0"/>
              <w:left w:val="single" w:color="auto" w:sz="4" w:space="0"/>
              <w:bottom w:val="single" w:color="auto" w:sz="4" w:space="0"/>
              <w:right w:val="single" w:color="auto" w:sz="4" w:space="0"/>
            </w:tcBorders>
            <w:vAlign w:val="center"/>
          </w:tcPr>
          <w:p w14:paraId="4ECB037F">
            <w:pPr>
              <w:jc w:val="center"/>
              <w:rPr>
                <w:color w:val="auto"/>
                <w:szCs w:val="21"/>
                <w:highlight w:val="none"/>
              </w:rPr>
            </w:pPr>
            <w:r>
              <w:rPr>
                <w:color w:val="auto"/>
                <w:szCs w:val="21"/>
                <w:highlight w:val="none"/>
              </w:rPr>
              <w:t>序号</w:t>
            </w:r>
          </w:p>
        </w:tc>
        <w:tc>
          <w:tcPr>
            <w:tcW w:w="454" w:type="pct"/>
            <w:vMerge w:val="restart"/>
            <w:tcBorders>
              <w:top w:val="single" w:color="auto" w:sz="4" w:space="0"/>
              <w:left w:val="nil"/>
              <w:bottom w:val="single" w:color="auto" w:sz="4" w:space="0"/>
              <w:right w:val="single" w:color="auto" w:sz="4" w:space="0"/>
            </w:tcBorders>
            <w:vAlign w:val="center"/>
          </w:tcPr>
          <w:p w14:paraId="564D8A89">
            <w:pPr>
              <w:jc w:val="center"/>
              <w:rPr>
                <w:color w:val="auto"/>
                <w:szCs w:val="21"/>
                <w:highlight w:val="none"/>
              </w:rPr>
            </w:pPr>
            <w:r>
              <w:rPr>
                <w:color w:val="auto"/>
                <w:szCs w:val="21"/>
                <w:highlight w:val="none"/>
              </w:rPr>
              <w:t>汇报时间</w:t>
            </w:r>
          </w:p>
        </w:tc>
        <w:tc>
          <w:tcPr>
            <w:tcW w:w="504" w:type="pct"/>
            <w:vMerge w:val="restart"/>
            <w:tcBorders>
              <w:top w:val="single" w:color="auto" w:sz="4" w:space="0"/>
              <w:left w:val="nil"/>
              <w:bottom w:val="single" w:color="auto" w:sz="4" w:space="0"/>
              <w:right w:val="single" w:color="auto" w:sz="4" w:space="0"/>
            </w:tcBorders>
            <w:vAlign w:val="center"/>
          </w:tcPr>
          <w:p w14:paraId="18FBEB9A">
            <w:pPr>
              <w:jc w:val="center"/>
              <w:rPr>
                <w:color w:val="auto"/>
                <w:szCs w:val="21"/>
                <w:highlight w:val="none"/>
              </w:rPr>
            </w:pPr>
            <w:r>
              <w:rPr>
                <w:color w:val="auto"/>
                <w:szCs w:val="21"/>
                <w:highlight w:val="none"/>
              </w:rPr>
              <w:t>汇报单位</w:t>
            </w:r>
          </w:p>
        </w:tc>
        <w:tc>
          <w:tcPr>
            <w:tcW w:w="352" w:type="pct"/>
            <w:vMerge w:val="restart"/>
            <w:tcBorders>
              <w:top w:val="single" w:color="auto" w:sz="4" w:space="0"/>
              <w:left w:val="nil"/>
              <w:bottom w:val="single" w:color="auto" w:sz="4" w:space="0"/>
              <w:right w:val="single" w:color="auto" w:sz="4" w:space="0"/>
            </w:tcBorders>
            <w:vAlign w:val="center"/>
          </w:tcPr>
          <w:p w14:paraId="309A73F6">
            <w:pPr>
              <w:jc w:val="center"/>
              <w:rPr>
                <w:color w:val="auto"/>
                <w:szCs w:val="21"/>
                <w:highlight w:val="none"/>
              </w:rPr>
            </w:pPr>
            <w:r>
              <w:rPr>
                <w:color w:val="auto"/>
                <w:szCs w:val="21"/>
                <w:highlight w:val="none"/>
              </w:rPr>
              <w:t>汇报人</w:t>
            </w:r>
          </w:p>
        </w:tc>
        <w:tc>
          <w:tcPr>
            <w:tcW w:w="2711" w:type="pct"/>
            <w:gridSpan w:val="2"/>
            <w:tcBorders>
              <w:top w:val="single" w:color="auto" w:sz="4" w:space="0"/>
              <w:left w:val="nil"/>
              <w:bottom w:val="single" w:color="auto" w:sz="4" w:space="0"/>
              <w:right w:val="single" w:color="auto" w:sz="4" w:space="0"/>
            </w:tcBorders>
            <w:vAlign w:val="center"/>
          </w:tcPr>
          <w:p w14:paraId="19ED16EE">
            <w:pPr>
              <w:jc w:val="center"/>
              <w:rPr>
                <w:color w:val="auto"/>
                <w:szCs w:val="21"/>
                <w:highlight w:val="none"/>
              </w:rPr>
            </w:pPr>
            <w:r>
              <w:rPr>
                <w:color w:val="auto"/>
                <w:szCs w:val="21"/>
                <w:highlight w:val="none"/>
              </w:rPr>
              <w:t>汇 报 内 容</w:t>
            </w:r>
          </w:p>
        </w:tc>
        <w:tc>
          <w:tcPr>
            <w:tcW w:w="736" w:type="pct"/>
            <w:vMerge w:val="restart"/>
            <w:tcBorders>
              <w:top w:val="single" w:color="auto" w:sz="4" w:space="0"/>
              <w:left w:val="nil"/>
              <w:bottom w:val="single" w:color="auto" w:sz="4" w:space="0"/>
              <w:right w:val="single" w:color="auto" w:sz="4" w:space="0"/>
            </w:tcBorders>
            <w:vAlign w:val="center"/>
          </w:tcPr>
          <w:p w14:paraId="0C678EAE">
            <w:pPr>
              <w:jc w:val="center"/>
              <w:rPr>
                <w:color w:val="auto"/>
                <w:szCs w:val="21"/>
                <w:highlight w:val="none"/>
              </w:rPr>
            </w:pPr>
            <w:r>
              <w:rPr>
                <w:color w:val="auto"/>
                <w:szCs w:val="21"/>
                <w:highlight w:val="none"/>
              </w:rPr>
              <w:t>备 注</w:t>
            </w:r>
          </w:p>
        </w:tc>
      </w:tr>
      <w:tr w14:paraId="5C74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39" w:type="pct"/>
            <w:vMerge w:val="continue"/>
            <w:tcBorders>
              <w:top w:val="single" w:color="auto" w:sz="4" w:space="0"/>
              <w:left w:val="single" w:color="auto" w:sz="4" w:space="0"/>
              <w:bottom w:val="single" w:color="auto" w:sz="4" w:space="0"/>
              <w:right w:val="single" w:color="auto" w:sz="4" w:space="0"/>
            </w:tcBorders>
            <w:vAlign w:val="center"/>
          </w:tcPr>
          <w:p w14:paraId="27944D03">
            <w:pPr>
              <w:widowControl/>
              <w:jc w:val="left"/>
              <w:rPr>
                <w:color w:val="auto"/>
                <w:szCs w:val="21"/>
                <w:highlight w:val="none"/>
              </w:rPr>
            </w:pPr>
          </w:p>
        </w:tc>
        <w:tc>
          <w:tcPr>
            <w:tcW w:w="454" w:type="pct"/>
            <w:vMerge w:val="continue"/>
            <w:tcBorders>
              <w:top w:val="single" w:color="auto" w:sz="4" w:space="0"/>
              <w:left w:val="nil"/>
              <w:bottom w:val="single" w:color="auto" w:sz="4" w:space="0"/>
              <w:right w:val="single" w:color="auto" w:sz="4" w:space="0"/>
            </w:tcBorders>
            <w:vAlign w:val="center"/>
          </w:tcPr>
          <w:p w14:paraId="7463F066">
            <w:pPr>
              <w:widowControl/>
              <w:jc w:val="center"/>
              <w:rPr>
                <w:color w:val="auto"/>
                <w:szCs w:val="21"/>
                <w:highlight w:val="none"/>
              </w:rPr>
            </w:pPr>
          </w:p>
        </w:tc>
        <w:tc>
          <w:tcPr>
            <w:tcW w:w="504" w:type="pct"/>
            <w:vMerge w:val="continue"/>
            <w:tcBorders>
              <w:top w:val="single" w:color="auto" w:sz="4" w:space="0"/>
              <w:left w:val="nil"/>
              <w:bottom w:val="single" w:color="auto" w:sz="4" w:space="0"/>
              <w:right w:val="single" w:color="auto" w:sz="4" w:space="0"/>
            </w:tcBorders>
            <w:vAlign w:val="center"/>
          </w:tcPr>
          <w:p w14:paraId="460C538F">
            <w:pPr>
              <w:widowControl/>
              <w:jc w:val="center"/>
              <w:rPr>
                <w:color w:val="auto"/>
                <w:szCs w:val="21"/>
                <w:highlight w:val="none"/>
              </w:rPr>
            </w:pPr>
          </w:p>
        </w:tc>
        <w:tc>
          <w:tcPr>
            <w:tcW w:w="352" w:type="pct"/>
            <w:vMerge w:val="continue"/>
            <w:tcBorders>
              <w:top w:val="single" w:color="auto" w:sz="4" w:space="0"/>
              <w:left w:val="nil"/>
              <w:bottom w:val="single" w:color="auto" w:sz="4" w:space="0"/>
              <w:right w:val="single" w:color="auto" w:sz="4" w:space="0"/>
            </w:tcBorders>
            <w:vAlign w:val="center"/>
          </w:tcPr>
          <w:p w14:paraId="793ADD22">
            <w:pPr>
              <w:widowControl/>
              <w:jc w:val="center"/>
              <w:rPr>
                <w:color w:val="auto"/>
                <w:szCs w:val="21"/>
                <w:highlight w:val="none"/>
              </w:rPr>
            </w:pPr>
          </w:p>
        </w:tc>
        <w:tc>
          <w:tcPr>
            <w:tcW w:w="1202" w:type="pct"/>
            <w:tcBorders>
              <w:top w:val="single" w:color="auto" w:sz="4" w:space="0"/>
              <w:left w:val="nil"/>
              <w:bottom w:val="single" w:color="auto" w:sz="4" w:space="0"/>
              <w:right w:val="single" w:color="auto" w:sz="4" w:space="0"/>
            </w:tcBorders>
            <w:vAlign w:val="center"/>
          </w:tcPr>
          <w:p w14:paraId="2AC43AFA">
            <w:pPr>
              <w:jc w:val="center"/>
              <w:rPr>
                <w:color w:val="auto"/>
                <w:szCs w:val="21"/>
                <w:highlight w:val="none"/>
              </w:rPr>
            </w:pPr>
            <w:r>
              <w:rPr>
                <w:color w:val="auto"/>
                <w:szCs w:val="21"/>
                <w:highlight w:val="none"/>
              </w:rPr>
              <w:t>事故基本情况</w:t>
            </w:r>
          </w:p>
        </w:tc>
        <w:tc>
          <w:tcPr>
            <w:tcW w:w="1509" w:type="pct"/>
            <w:tcBorders>
              <w:top w:val="single" w:color="auto" w:sz="4" w:space="0"/>
              <w:left w:val="nil"/>
              <w:bottom w:val="single" w:color="auto" w:sz="4" w:space="0"/>
              <w:right w:val="single" w:color="auto" w:sz="4" w:space="0"/>
            </w:tcBorders>
            <w:vAlign w:val="center"/>
          </w:tcPr>
          <w:p w14:paraId="3FE25DB8">
            <w:pPr>
              <w:jc w:val="center"/>
              <w:rPr>
                <w:color w:val="auto"/>
                <w:szCs w:val="21"/>
                <w:highlight w:val="none"/>
              </w:rPr>
            </w:pPr>
            <w:r>
              <w:rPr>
                <w:color w:val="auto"/>
                <w:szCs w:val="21"/>
                <w:highlight w:val="none"/>
              </w:rPr>
              <w:t>事故处置情况</w:t>
            </w:r>
          </w:p>
        </w:tc>
        <w:tc>
          <w:tcPr>
            <w:tcW w:w="736" w:type="pct"/>
            <w:vMerge w:val="continue"/>
            <w:tcBorders>
              <w:top w:val="single" w:color="auto" w:sz="4" w:space="0"/>
              <w:left w:val="nil"/>
              <w:bottom w:val="single" w:color="auto" w:sz="4" w:space="0"/>
              <w:right w:val="single" w:color="auto" w:sz="4" w:space="0"/>
            </w:tcBorders>
            <w:vAlign w:val="center"/>
          </w:tcPr>
          <w:p w14:paraId="713441BE">
            <w:pPr>
              <w:widowControl/>
              <w:jc w:val="left"/>
              <w:rPr>
                <w:color w:val="auto"/>
                <w:szCs w:val="21"/>
                <w:highlight w:val="none"/>
              </w:rPr>
            </w:pPr>
          </w:p>
        </w:tc>
      </w:tr>
      <w:tr w14:paraId="64B7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4930823E">
            <w:pPr>
              <w:jc w:val="center"/>
              <w:rPr>
                <w:color w:val="auto"/>
                <w:szCs w:val="21"/>
                <w:highlight w:val="none"/>
              </w:rPr>
            </w:pPr>
            <w:r>
              <w:rPr>
                <w:color w:val="auto"/>
                <w:szCs w:val="21"/>
                <w:highlight w:val="none"/>
              </w:rPr>
              <w:t>1</w:t>
            </w:r>
          </w:p>
        </w:tc>
        <w:tc>
          <w:tcPr>
            <w:tcW w:w="454" w:type="pct"/>
            <w:tcBorders>
              <w:top w:val="single" w:color="auto" w:sz="4" w:space="0"/>
              <w:left w:val="nil"/>
              <w:bottom w:val="single" w:color="auto" w:sz="4" w:space="0"/>
              <w:right w:val="single" w:color="auto" w:sz="4" w:space="0"/>
            </w:tcBorders>
          </w:tcPr>
          <w:p w14:paraId="0253B2BB">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0278060F">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7BAB017A">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6C7D87A8">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082FED07">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66BE4256">
            <w:pPr>
              <w:rPr>
                <w:color w:val="auto"/>
                <w:szCs w:val="21"/>
                <w:highlight w:val="none"/>
              </w:rPr>
            </w:pPr>
          </w:p>
        </w:tc>
      </w:tr>
      <w:tr w14:paraId="511E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2DD403EB">
            <w:pPr>
              <w:jc w:val="center"/>
              <w:rPr>
                <w:color w:val="auto"/>
                <w:szCs w:val="21"/>
                <w:highlight w:val="none"/>
              </w:rPr>
            </w:pPr>
            <w:r>
              <w:rPr>
                <w:color w:val="auto"/>
                <w:szCs w:val="21"/>
                <w:highlight w:val="none"/>
              </w:rPr>
              <w:t>2</w:t>
            </w:r>
          </w:p>
        </w:tc>
        <w:tc>
          <w:tcPr>
            <w:tcW w:w="454" w:type="pct"/>
            <w:tcBorders>
              <w:top w:val="single" w:color="auto" w:sz="4" w:space="0"/>
              <w:left w:val="nil"/>
              <w:bottom w:val="single" w:color="auto" w:sz="4" w:space="0"/>
              <w:right w:val="single" w:color="auto" w:sz="4" w:space="0"/>
            </w:tcBorders>
          </w:tcPr>
          <w:p w14:paraId="7444D843">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5A18B839">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266786F9">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3BBC3C91">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74F2EB64">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1362C59D">
            <w:pPr>
              <w:rPr>
                <w:color w:val="auto"/>
                <w:szCs w:val="21"/>
                <w:highlight w:val="none"/>
              </w:rPr>
            </w:pPr>
          </w:p>
        </w:tc>
      </w:tr>
      <w:tr w14:paraId="2F82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10D01474">
            <w:pPr>
              <w:jc w:val="center"/>
              <w:rPr>
                <w:color w:val="auto"/>
                <w:szCs w:val="21"/>
                <w:highlight w:val="none"/>
              </w:rPr>
            </w:pPr>
            <w:r>
              <w:rPr>
                <w:color w:val="auto"/>
                <w:szCs w:val="21"/>
                <w:highlight w:val="none"/>
              </w:rPr>
              <w:t>3</w:t>
            </w:r>
          </w:p>
        </w:tc>
        <w:tc>
          <w:tcPr>
            <w:tcW w:w="454" w:type="pct"/>
            <w:tcBorders>
              <w:top w:val="single" w:color="auto" w:sz="4" w:space="0"/>
              <w:left w:val="nil"/>
              <w:bottom w:val="single" w:color="auto" w:sz="4" w:space="0"/>
              <w:right w:val="single" w:color="auto" w:sz="4" w:space="0"/>
            </w:tcBorders>
          </w:tcPr>
          <w:p w14:paraId="22F2EF58">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1C5B0B9B">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248585A7">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0DB8323E">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6F058967">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203CD6CE">
            <w:pPr>
              <w:rPr>
                <w:color w:val="auto"/>
                <w:szCs w:val="21"/>
                <w:highlight w:val="none"/>
              </w:rPr>
            </w:pPr>
          </w:p>
        </w:tc>
      </w:tr>
      <w:tr w14:paraId="53F5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14C45A23">
            <w:pPr>
              <w:jc w:val="center"/>
              <w:rPr>
                <w:color w:val="auto"/>
                <w:szCs w:val="21"/>
                <w:highlight w:val="none"/>
              </w:rPr>
            </w:pPr>
            <w:r>
              <w:rPr>
                <w:color w:val="auto"/>
                <w:szCs w:val="21"/>
                <w:highlight w:val="none"/>
              </w:rPr>
              <w:t>4</w:t>
            </w:r>
          </w:p>
        </w:tc>
        <w:tc>
          <w:tcPr>
            <w:tcW w:w="454" w:type="pct"/>
            <w:tcBorders>
              <w:top w:val="single" w:color="auto" w:sz="4" w:space="0"/>
              <w:left w:val="nil"/>
              <w:bottom w:val="single" w:color="auto" w:sz="4" w:space="0"/>
              <w:right w:val="single" w:color="auto" w:sz="4" w:space="0"/>
            </w:tcBorders>
          </w:tcPr>
          <w:p w14:paraId="2A722AEF">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78504119">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11E0DBF8">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247878B7">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3D659B6E">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1D597BD0">
            <w:pPr>
              <w:rPr>
                <w:color w:val="auto"/>
                <w:szCs w:val="21"/>
                <w:highlight w:val="none"/>
              </w:rPr>
            </w:pPr>
          </w:p>
        </w:tc>
      </w:tr>
      <w:tr w14:paraId="2626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302A1BCD">
            <w:pPr>
              <w:jc w:val="center"/>
              <w:rPr>
                <w:color w:val="auto"/>
                <w:szCs w:val="21"/>
                <w:highlight w:val="none"/>
              </w:rPr>
            </w:pPr>
            <w:r>
              <w:rPr>
                <w:color w:val="auto"/>
                <w:szCs w:val="21"/>
                <w:highlight w:val="none"/>
              </w:rPr>
              <w:t>5</w:t>
            </w:r>
          </w:p>
        </w:tc>
        <w:tc>
          <w:tcPr>
            <w:tcW w:w="454" w:type="pct"/>
            <w:tcBorders>
              <w:top w:val="single" w:color="auto" w:sz="4" w:space="0"/>
              <w:left w:val="nil"/>
              <w:bottom w:val="single" w:color="auto" w:sz="4" w:space="0"/>
              <w:right w:val="single" w:color="auto" w:sz="4" w:space="0"/>
            </w:tcBorders>
          </w:tcPr>
          <w:p w14:paraId="10FA1811">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2645842D">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295B3C74">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6B1E9465">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42F79585">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3C1D1F57">
            <w:pPr>
              <w:rPr>
                <w:color w:val="auto"/>
                <w:szCs w:val="21"/>
                <w:highlight w:val="none"/>
              </w:rPr>
            </w:pPr>
          </w:p>
        </w:tc>
      </w:tr>
      <w:tr w14:paraId="39E9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1D22EF7B">
            <w:pPr>
              <w:jc w:val="center"/>
              <w:rPr>
                <w:color w:val="auto"/>
                <w:szCs w:val="21"/>
                <w:highlight w:val="none"/>
              </w:rPr>
            </w:pPr>
            <w:r>
              <w:rPr>
                <w:color w:val="auto"/>
                <w:szCs w:val="21"/>
                <w:highlight w:val="none"/>
              </w:rPr>
              <w:t>6</w:t>
            </w:r>
          </w:p>
        </w:tc>
        <w:tc>
          <w:tcPr>
            <w:tcW w:w="454" w:type="pct"/>
            <w:tcBorders>
              <w:top w:val="single" w:color="auto" w:sz="4" w:space="0"/>
              <w:left w:val="nil"/>
              <w:bottom w:val="single" w:color="auto" w:sz="4" w:space="0"/>
              <w:right w:val="single" w:color="auto" w:sz="4" w:space="0"/>
            </w:tcBorders>
          </w:tcPr>
          <w:p w14:paraId="4891957E">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5CE5C6CD">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3D407750">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4739D87B">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5D31855D">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105DB522">
            <w:pPr>
              <w:rPr>
                <w:color w:val="auto"/>
                <w:szCs w:val="21"/>
                <w:highlight w:val="none"/>
              </w:rPr>
            </w:pPr>
          </w:p>
        </w:tc>
      </w:tr>
      <w:tr w14:paraId="7243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11092D67">
            <w:pPr>
              <w:jc w:val="center"/>
              <w:rPr>
                <w:color w:val="auto"/>
                <w:szCs w:val="21"/>
                <w:highlight w:val="none"/>
              </w:rPr>
            </w:pPr>
            <w:r>
              <w:rPr>
                <w:color w:val="auto"/>
                <w:szCs w:val="21"/>
                <w:highlight w:val="none"/>
              </w:rPr>
              <w:t>7</w:t>
            </w:r>
          </w:p>
        </w:tc>
        <w:tc>
          <w:tcPr>
            <w:tcW w:w="454" w:type="pct"/>
            <w:tcBorders>
              <w:top w:val="single" w:color="auto" w:sz="4" w:space="0"/>
              <w:left w:val="nil"/>
              <w:bottom w:val="single" w:color="auto" w:sz="4" w:space="0"/>
              <w:right w:val="single" w:color="auto" w:sz="4" w:space="0"/>
            </w:tcBorders>
          </w:tcPr>
          <w:p w14:paraId="7ED01A39">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66A5A17A">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0FFFD391">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4C480A80">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38B7D7B6">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1256F80E">
            <w:pPr>
              <w:rPr>
                <w:color w:val="auto"/>
                <w:szCs w:val="21"/>
                <w:highlight w:val="none"/>
              </w:rPr>
            </w:pPr>
          </w:p>
        </w:tc>
      </w:tr>
      <w:tr w14:paraId="31D8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005C8B7B">
            <w:pPr>
              <w:jc w:val="center"/>
              <w:rPr>
                <w:color w:val="auto"/>
                <w:szCs w:val="21"/>
                <w:highlight w:val="none"/>
              </w:rPr>
            </w:pPr>
            <w:r>
              <w:rPr>
                <w:color w:val="auto"/>
                <w:szCs w:val="21"/>
                <w:highlight w:val="none"/>
              </w:rPr>
              <w:t>8</w:t>
            </w:r>
          </w:p>
        </w:tc>
        <w:tc>
          <w:tcPr>
            <w:tcW w:w="454" w:type="pct"/>
            <w:tcBorders>
              <w:top w:val="single" w:color="auto" w:sz="4" w:space="0"/>
              <w:left w:val="nil"/>
              <w:bottom w:val="single" w:color="auto" w:sz="4" w:space="0"/>
              <w:right w:val="single" w:color="auto" w:sz="4" w:space="0"/>
            </w:tcBorders>
          </w:tcPr>
          <w:p w14:paraId="48FD5AD9">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54268D0B">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641B25EA">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1725ADE3">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1897F377">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7E772C3D">
            <w:pPr>
              <w:rPr>
                <w:color w:val="auto"/>
                <w:szCs w:val="21"/>
                <w:highlight w:val="none"/>
              </w:rPr>
            </w:pPr>
          </w:p>
        </w:tc>
      </w:tr>
      <w:tr w14:paraId="1B9D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Borders>
              <w:top w:val="single" w:color="auto" w:sz="4" w:space="0"/>
              <w:left w:val="single" w:color="auto" w:sz="4" w:space="0"/>
              <w:bottom w:val="single" w:color="auto" w:sz="4" w:space="0"/>
              <w:right w:val="single" w:color="auto" w:sz="4" w:space="0"/>
            </w:tcBorders>
            <w:vAlign w:val="center"/>
          </w:tcPr>
          <w:p w14:paraId="3F2ED6EF">
            <w:pPr>
              <w:jc w:val="center"/>
              <w:rPr>
                <w:color w:val="auto"/>
                <w:szCs w:val="21"/>
                <w:highlight w:val="none"/>
              </w:rPr>
            </w:pPr>
            <w:r>
              <w:rPr>
                <w:rFonts w:hint="eastAsia"/>
                <w:color w:val="auto"/>
                <w:szCs w:val="21"/>
                <w:highlight w:val="none"/>
              </w:rPr>
              <w:t>9</w:t>
            </w:r>
          </w:p>
        </w:tc>
        <w:tc>
          <w:tcPr>
            <w:tcW w:w="454" w:type="pct"/>
            <w:tcBorders>
              <w:top w:val="single" w:color="auto" w:sz="4" w:space="0"/>
              <w:left w:val="nil"/>
              <w:bottom w:val="single" w:color="auto" w:sz="4" w:space="0"/>
              <w:right w:val="single" w:color="auto" w:sz="4" w:space="0"/>
            </w:tcBorders>
          </w:tcPr>
          <w:p w14:paraId="0A10940C">
            <w:pPr>
              <w:rPr>
                <w:color w:val="auto"/>
                <w:szCs w:val="21"/>
                <w:highlight w:val="none"/>
              </w:rPr>
            </w:pPr>
          </w:p>
        </w:tc>
        <w:tc>
          <w:tcPr>
            <w:tcW w:w="504" w:type="pct"/>
            <w:tcBorders>
              <w:top w:val="single" w:color="auto" w:sz="4" w:space="0"/>
              <w:left w:val="nil"/>
              <w:bottom w:val="single" w:color="auto" w:sz="4" w:space="0"/>
              <w:right w:val="single" w:color="auto" w:sz="4" w:space="0"/>
            </w:tcBorders>
          </w:tcPr>
          <w:p w14:paraId="5EF66FF0">
            <w:pPr>
              <w:rPr>
                <w:color w:val="auto"/>
                <w:szCs w:val="21"/>
                <w:highlight w:val="none"/>
              </w:rPr>
            </w:pPr>
          </w:p>
        </w:tc>
        <w:tc>
          <w:tcPr>
            <w:tcW w:w="352" w:type="pct"/>
            <w:tcBorders>
              <w:top w:val="single" w:color="auto" w:sz="4" w:space="0"/>
              <w:left w:val="nil"/>
              <w:bottom w:val="single" w:color="auto" w:sz="4" w:space="0"/>
              <w:right w:val="single" w:color="auto" w:sz="4" w:space="0"/>
            </w:tcBorders>
          </w:tcPr>
          <w:p w14:paraId="7B4BFC23">
            <w:pPr>
              <w:rPr>
                <w:color w:val="auto"/>
                <w:szCs w:val="21"/>
                <w:highlight w:val="none"/>
              </w:rPr>
            </w:pPr>
          </w:p>
        </w:tc>
        <w:tc>
          <w:tcPr>
            <w:tcW w:w="1202" w:type="pct"/>
            <w:tcBorders>
              <w:top w:val="single" w:color="auto" w:sz="4" w:space="0"/>
              <w:left w:val="nil"/>
              <w:bottom w:val="single" w:color="auto" w:sz="4" w:space="0"/>
              <w:right w:val="single" w:color="auto" w:sz="4" w:space="0"/>
            </w:tcBorders>
          </w:tcPr>
          <w:p w14:paraId="256E58AE">
            <w:pPr>
              <w:rPr>
                <w:color w:val="auto"/>
                <w:szCs w:val="21"/>
                <w:highlight w:val="none"/>
              </w:rPr>
            </w:pPr>
          </w:p>
        </w:tc>
        <w:tc>
          <w:tcPr>
            <w:tcW w:w="1509" w:type="pct"/>
            <w:tcBorders>
              <w:top w:val="single" w:color="auto" w:sz="4" w:space="0"/>
              <w:left w:val="nil"/>
              <w:bottom w:val="single" w:color="auto" w:sz="4" w:space="0"/>
              <w:right w:val="single" w:color="auto" w:sz="4" w:space="0"/>
            </w:tcBorders>
          </w:tcPr>
          <w:p w14:paraId="7E4CFA1B">
            <w:pPr>
              <w:rPr>
                <w:color w:val="auto"/>
                <w:szCs w:val="21"/>
                <w:highlight w:val="none"/>
              </w:rPr>
            </w:pPr>
          </w:p>
        </w:tc>
        <w:tc>
          <w:tcPr>
            <w:tcW w:w="736" w:type="pct"/>
            <w:tcBorders>
              <w:top w:val="single" w:color="auto" w:sz="4" w:space="0"/>
              <w:left w:val="nil"/>
              <w:bottom w:val="single" w:color="auto" w:sz="4" w:space="0"/>
              <w:right w:val="single" w:color="auto" w:sz="4" w:space="0"/>
            </w:tcBorders>
          </w:tcPr>
          <w:p w14:paraId="6C5A072B">
            <w:pPr>
              <w:rPr>
                <w:color w:val="auto"/>
                <w:szCs w:val="21"/>
                <w:highlight w:val="none"/>
              </w:rPr>
            </w:pPr>
          </w:p>
        </w:tc>
      </w:tr>
    </w:tbl>
    <w:p w14:paraId="4352337C">
      <w:pPr>
        <w:rPr>
          <w:color w:val="auto"/>
          <w:highlight w:val="none"/>
        </w:rPr>
      </w:pPr>
    </w:p>
    <w:p w14:paraId="50A3D878">
      <w:pPr>
        <w:rPr>
          <w:color w:val="auto"/>
          <w:highlight w:val="none"/>
        </w:rPr>
      </w:pPr>
    </w:p>
    <w:p w14:paraId="00C15BDA">
      <w:pPr>
        <w:rPr>
          <w:color w:val="auto"/>
          <w:highlight w:val="none"/>
        </w:rPr>
      </w:pPr>
    </w:p>
    <w:p w14:paraId="4745E2B2">
      <w:pPr>
        <w:rPr>
          <w:color w:val="auto"/>
          <w:highlight w:val="none"/>
        </w:rPr>
      </w:pPr>
    </w:p>
    <w:p w14:paraId="72D78016">
      <w:pPr>
        <w:rPr>
          <w:color w:val="auto"/>
          <w:highlight w:val="none"/>
        </w:rPr>
      </w:pPr>
    </w:p>
    <w:p w14:paraId="6B9F73A7">
      <w:pPr>
        <w:rPr>
          <w:color w:val="auto"/>
          <w:highlight w:val="none"/>
        </w:rPr>
      </w:pPr>
    </w:p>
    <w:p w14:paraId="200A44B8">
      <w:pPr>
        <w:rPr>
          <w:color w:val="auto"/>
          <w:highlight w:val="none"/>
        </w:rPr>
      </w:pPr>
    </w:p>
    <w:p w14:paraId="1FF266FE">
      <w:pPr>
        <w:rPr>
          <w:color w:val="auto"/>
          <w:highlight w:val="none"/>
        </w:rPr>
      </w:pPr>
    </w:p>
    <w:p w14:paraId="1214CA7E">
      <w:pPr>
        <w:rPr>
          <w:color w:val="auto"/>
          <w:highlight w:val="none"/>
        </w:rPr>
      </w:pPr>
    </w:p>
    <w:p w14:paraId="30449AB5">
      <w:pPr>
        <w:pStyle w:val="35"/>
        <w:ind w:firstLine="560"/>
        <w:rPr>
          <w:color w:val="auto"/>
          <w:highlight w:val="none"/>
        </w:rPr>
      </w:pPr>
    </w:p>
    <w:p w14:paraId="41DD97BE">
      <w:pPr>
        <w:rPr>
          <w:color w:val="auto"/>
          <w:highlight w:val="none"/>
        </w:rPr>
      </w:pPr>
    </w:p>
    <w:p w14:paraId="27F606B3">
      <w:pPr>
        <w:rPr>
          <w:color w:val="auto"/>
          <w:highlight w:val="none"/>
        </w:rPr>
      </w:pPr>
    </w:p>
    <w:p w14:paraId="4CE863F9">
      <w:pPr>
        <w:rPr>
          <w:color w:val="auto"/>
          <w:highlight w:val="none"/>
        </w:rPr>
      </w:pPr>
    </w:p>
    <w:p w14:paraId="1F6F1B3E">
      <w:pPr>
        <w:pStyle w:val="44"/>
        <w:spacing w:line="360" w:lineRule="auto"/>
        <w:jc w:val="center"/>
        <w:outlineLvl w:val="3"/>
        <w:rPr>
          <w:rFonts w:ascii="仿宋" w:hAnsi="仿宋" w:eastAsia="仿宋" w:cs="仿宋"/>
          <w:b/>
          <w:color w:val="auto"/>
          <w:kern w:val="2"/>
          <w:sz w:val="30"/>
          <w:szCs w:val="30"/>
          <w:highlight w:val="none"/>
        </w:rPr>
      </w:pPr>
      <w:r>
        <w:rPr>
          <w:rFonts w:hint="eastAsia" w:ascii="仿宋" w:hAnsi="仿宋" w:eastAsia="仿宋" w:cs="仿宋"/>
          <w:b/>
          <w:color w:val="auto"/>
          <w:kern w:val="2"/>
          <w:sz w:val="30"/>
          <w:szCs w:val="30"/>
          <w:highlight w:val="none"/>
        </w:rPr>
        <w:t>表1</w:t>
      </w:r>
      <w:r>
        <w:rPr>
          <w:rFonts w:hint="eastAsia" w:ascii="仿宋" w:hAnsi="仿宋" w:eastAsia="仿宋" w:cs="仿宋"/>
          <w:b/>
          <w:color w:val="auto"/>
          <w:kern w:val="2"/>
          <w:sz w:val="30"/>
          <w:szCs w:val="30"/>
          <w:highlight w:val="none"/>
          <w:lang w:val="en-US" w:eastAsia="zh-CN"/>
        </w:rPr>
        <w:t>9</w:t>
      </w:r>
      <w:r>
        <w:rPr>
          <w:rFonts w:hint="eastAsia" w:ascii="仿宋" w:hAnsi="仿宋" w:eastAsia="仿宋" w:cs="仿宋"/>
          <w:b/>
          <w:color w:val="auto"/>
          <w:kern w:val="2"/>
          <w:sz w:val="30"/>
          <w:szCs w:val="30"/>
          <w:highlight w:val="none"/>
        </w:rPr>
        <w:t xml:space="preserve">  生产安全事故应急响应及处理记录表</w:t>
      </w:r>
    </w:p>
    <w:tbl>
      <w:tblPr>
        <w:tblStyle w:val="28"/>
        <w:tblW w:w="9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121"/>
        <w:gridCol w:w="1310"/>
        <w:gridCol w:w="1150"/>
        <w:gridCol w:w="2080"/>
        <w:gridCol w:w="2140"/>
        <w:gridCol w:w="970"/>
      </w:tblGrid>
      <w:tr w14:paraId="2271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4F9FA83">
            <w:pPr>
              <w:jc w:val="center"/>
              <w:rPr>
                <w:color w:val="auto"/>
                <w:szCs w:val="21"/>
                <w:highlight w:val="none"/>
              </w:rPr>
            </w:pPr>
            <w:r>
              <w:rPr>
                <w:color w:val="auto"/>
                <w:szCs w:val="21"/>
                <w:highlight w:val="none"/>
              </w:rPr>
              <w:t>序号</w:t>
            </w:r>
          </w:p>
        </w:tc>
        <w:tc>
          <w:tcPr>
            <w:tcW w:w="1121" w:type="dxa"/>
            <w:tcBorders>
              <w:top w:val="single" w:color="auto" w:sz="4" w:space="0"/>
              <w:left w:val="nil"/>
              <w:bottom w:val="single" w:color="auto" w:sz="4" w:space="0"/>
              <w:right w:val="single" w:color="auto" w:sz="4" w:space="0"/>
            </w:tcBorders>
            <w:vAlign w:val="center"/>
          </w:tcPr>
          <w:p w14:paraId="0310F568">
            <w:pPr>
              <w:jc w:val="center"/>
              <w:rPr>
                <w:color w:val="auto"/>
                <w:szCs w:val="21"/>
                <w:highlight w:val="none"/>
              </w:rPr>
            </w:pPr>
            <w:r>
              <w:rPr>
                <w:color w:val="auto"/>
                <w:szCs w:val="21"/>
                <w:highlight w:val="none"/>
              </w:rPr>
              <w:t>指令人</w:t>
            </w:r>
          </w:p>
        </w:tc>
        <w:tc>
          <w:tcPr>
            <w:tcW w:w="1310" w:type="dxa"/>
            <w:tcBorders>
              <w:top w:val="single" w:color="auto" w:sz="4" w:space="0"/>
              <w:left w:val="nil"/>
              <w:bottom w:val="single" w:color="auto" w:sz="4" w:space="0"/>
              <w:right w:val="single" w:color="auto" w:sz="4" w:space="0"/>
            </w:tcBorders>
            <w:vAlign w:val="center"/>
          </w:tcPr>
          <w:p w14:paraId="454F71FF">
            <w:pPr>
              <w:jc w:val="center"/>
              <w:rPr>
                <w:color w:val="auto"/>
                <w:szCs w:val="21"/>
                <w:highlight w:val="none"/>
              </w:rPr>
            </w:pPr>
            <w:r>
              <w:rPr>
                <w:color w:val="auto"/>
                <w:szCs w:val="21"/>
                <w:highlight w:val="none"/>
              </w:rPr>
              <w:t>指令人职务</w:t>
            </w:r>
          </w:p>
        </w:tc>
        <w:tc>
          <w:tcPr>
            <w:tcW w:w="1150" w:type="dxa"/>
            <w:tcBorders>
              <w:top w:val="single" w:color="auto" w:sz="4" w:space="0"/>
              <w:left w:val="nil"/>
              <w:bottom w:val="single" w:color="auto" w:sz="4" w:space="0"/>
              <w:right w:val="single" w:color="auto" w:sz="4" w:space="0"/>
            </w:tcBorders>
            <w:vAlign w:val="center"/>
          </w:tcPr>
          <w:p w14:paraId="59DDB238">
            <w:pPr>
              <w:jc w:val="center"/>
              <w:rPr>
                <w:color w:val="auto"/>
                <w:szCs w:val="21"/>
                <w:highlight w:val="none"/>
              </w:rPr>
            </w:pPr>
            <w:r>
              <w:rPr>
                <w:color w:val="auto"/>
                <w:szCs w:val="21"/>
                <w:highlight w:val="none"/>
              </w:rPr>
              <w:t>指令时间</w:t>
            </w:r>
          </w:p>
        </w:tc>
        <w:tc>
          <w:tcPr>
            <w:tcW w:w="2080" w:type="dxa"/>
            <w:tcBorders>
              <w:top w:val="single" w:color="auto" w:sz="4" w:space="0"/>
              <w:left w:val="nil"/>
              <w:bottom w:val="single" w:color="auto" w:sz="4" w:space="0"/>
              <w:right w:val="single" w:color="auto" w:sz="4" w:space="0"/>
            </w:tcBorders>
            <w:vAlign w:val="center"/>
          </w:tcPr>
          <w:p w14:paraId="162AF311">
            <w:pPr>
              <w:jc w:val="center"/>
              <w:rPr>
                <w:color w:val="auto"/>
                <w:szCs w:val="21"/>
                <w:highlight w:val="none"/>
              </w:rPr>
            </w:pPr>
            <w:r>
              <w:rPr>
                <w:color w:val="auto"/>
                <w:szCs w:val="21"/>
                <w:highlight w:val="none"/>
              </w:rPr>
              <w:t>指令内容</w:t>
            </w:r>
          </w:p>
        </w:tc>
        <w:tc>
          <w:tcPr>
            <w:tcW w:w="2140" w:type="dxa"/>
            <w:tcBorders>
              <w:top w:val="single" w:color="auto" w:sz="4" w:space="0"/>
              <w:left w:val="nil"/>
              <w:bottom w:val="single" w:color="auto" w:sz="4" w:space="0"/>
              <w:right w:val="single" w:color="auto" w:sz="4" w:space="0"/>
            </w:tcBorders>
            <w:vAlign w:val="center"/>
          </w:tcPr>
          <w:p w14:paraId="79CD862B">
            <w:pPr>
              <w:jc w:val="center"/>
              <w:rPr>
                <w:color w:val="auto"/>
                <w:szCs w:val="21"/>
                <w:highlight w:val="none"/>
              </w:rPr>
            </w:pPr>
            <w:r>
              <w:rPr>
                <w:color w:val="auto"/>
                <w:szCs w:val="21"/>
                <w:highlight w:val="none"/>
              </w:rPr>
              <w:t>指令落实情况</w:t>
            </w:r>
          </w:p>
        </w:tc>
        <w:tc>
          <w:tcPr>
            <w:tcW w:w="970" w:type="dxa"/>
            <w:tcBorders>
              <w:top w:val="single" w:color="auto" w:sz="4" w:space="0"/>
              <w:left w:val="nil"/>
              <w:bottom w:val="single" w:color="auto" w:sz="4" w:space="0"/>
              <w:right w:val="single" w:color="auto" w:sz="4" w:space="0"/>
            </w:tcBorders>
            <w:vAlign w:val="center"/>
          </w:tcPr>
          <w:p w14:paraId="508B178D">
            <w:pPr>
              <w:jc w:val="center"/>
              <w:rPr>
                <w:color w:val="auto"/>
                <w:szCs w:val="21"/>
                <w:highlight w:val="none"/>
              </w:rPr>
            </w:pPr>
            <w:r>
              <w:rPr>
                <w:color w:val="auto"/>
                <w:szCs w:val="21"/>
                <w:highlight w:val="none"/>
              </w:rPr>
              <w:t>备 注</w:t>
            </w:r>
          </w:p>
        </w:tc>
      </w:tr>
      <w:tr w14:paraId="4B40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5E1B9223">
            <w:pPr>
              <w:jc w:val="center"/>
              <w:rPr>
                <w:color w:val="auto"/>
                <w:szCs w:val="21"/>
                <w:highlight w:val="none"/>
              </w:rPr>
            </w:pPr>
            <w:r>
              <w:rPr>
                <w:color w:val="auto"/>
                <w:szCs w:val="21"/>
                <w:highlight w:val="none"/>
              </w:rPr>
              <w:t>1</w:t>
            </w:r>
          </w:p>
        </w:tc>
        <w:tc>
          <w:tcPr>
            <w:tcW w:w="1121" w:type="dxa"/>
            <w:tcBorders>
              <w:top w:val="single" w:color="auto" w:sz="4" w:space="0"/>
              <w:left w:val="nil"/>
              <w:bottom w:val="single" w:color="auto" w:sz="4" w:space="0"/>
              <w:right w:val="single" w:color="auto" w:sz="4" w:space="0"/>
            </w:tcBorders>
          </w:tcPr>
          <w:p w14:paraId="12935B59">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52E975FA">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2B813A33">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7BA94512">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2FEB4C10">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738E8B65">
            <w:pPr>
              <w:rPr>
                <w:color w:val="auto"/>
                <w:szCs w:val="21"/>
                <w:highlight w:val="none"/>
              </w:rPr>
            </w:pPr>
          </w:p>
        </w:tc>
      </w:tr>
      <w:tr w14:paraId="7699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3542CA3">
            <w:pPr>
              <w:jc w:val="center"/>
              <w:rPr>
                <w:color w:val="auto"/>
                <w:szCs w:val="21"/>
                <w:highlight w:val="none"/>
              </w:rPr>
            </w:pPr>
            <w:r>
              <w:rPr>
                <w:color w:val="auto"/>
                <w:szCs w:val="21"/>
                <w:highlight w:val="none"/>
              </w:rPr>
              <w:t>2</w:t>
            </w:r>
          </w:p>
        </w:tc>
        <w:tc>
          <w:tcPr>
            <w:tcW w:w="1121" w:type="dxa"/>
            <w:tcBorders>
              <w:top w:val="single" w:color="auto" w:sz="4" w:space="0"/>
              <w:left w:val="nil"/>
              <w:bottom w:val="single" w:color="auto" w:sz="4" w:space="0"/>
              <w:right w:val="single" w:color="auto" w:sz="4" w:space="0"/>
            </w:tcBorders>
          </w:tcPr>
          <w:p w14:paraId="549D1A7B">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7C7EE943">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366D4F22">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3AD470E1">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587B5EFB">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792A3C82">
            <w:pPr>
              <w:rPr>
                <w:color w:val="auto"/>
                <w:szCs w:val="21"/>
                <w:highlight w:val="none"/>
              </w:rPr>
            </w:pPr>
          </w:p>
        </w:tc>
      </w:tr>
      <w:tr w14:paraId="08E1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5F50742">
            <w:pPr>
              <w:jc w:val="center"/>
              <w:rPr>
                <w:color w:val="auto"/>
                <w:szCs w:val="21"/>
                <w:highlight w:val="none"/>
              </w:rPr>
            </w:pPr>
            <w:r>
              <w:rPr>
                <w:color w:val="auto"/>
                <w:szCs w:val="21"/>
                <w:highlight w:val="none"/>
              </w:rPr>
              <w:t>3</w:t>
            </w:r>
          </w:p>
        </w:tc>
        <w:tc>
          <w:tcPr>
            <w:tcW w:w="1121" w:type="dxa"/>
            <w:tcBorders>
              <w:top w:val="single" w:color="auto" w:sz="4" w:space="0"/>
              <w:left w:val="nil"/>
              <w:bottom w:val="single" w:color="auto" w:sz="4" w:space="0"/>
              <w:right w:val="single" w:color="auto" w:sz="4" w:space="0"/>
            </w:tcBorders>
          </w:tcPr>
          <w:p w14:paraId="3898ABD7">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3BEA5D13">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4EC9E226">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659A1F33">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7396EFE9">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4B9C7394">
            <w:pPr>
              <w:rPr>
                <w:color w:val="auto"/>
                <w:szCs w:val="21"/>
                <w:highlight w:val="none"/>
              </w:rPr>
            </w:pPr>
          </w:p>
        </w:tc>
      </w:tr>
      <w:tr w14:paraId="426A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FE80215">
            <w:pPr>
              <w:jc w:val="center"/>
              <w:rPr>
                <w:color w:val="auto"/>
                <w:szCs w:val="21"/>
                <w:highlight w:val="none"/>
              </w:rPr>
            </w:pPr>
            <w:r>
              <w:rPr>
                <w:color w:val="auto"/>
                <w:szCs w:val="21"/>
                <w:highlight w:val="none"/>
              </w:rPr>
              <w:t>4</w:t>
            </w:r>
          </w:p>
        </w:tc>
        <w:tc>
          <w:tcPr>
            <w:tcW w:w="1121" w:type="dxa"/>
            <w:tcBorders>
              <w:top w:val="single" w:color="auto" w:sz="4" w:space="0"/>
              <w:left w:val="nil"/>
              <w:bottom w:val="single" w:color="auto" w:sz="4" w:space="0"/>
              <w:right w:val="single" w:color="auto" w:sz="4" w:space="0"/>
            </w:tcBorders>
          </w:tcPr>
          <w:p w14:paraId="7604596C">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04E2072A">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2F1F6E5B">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15B22B75">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727D71DC">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4ADCE1CD">
            <w:pPr>
              <w:rPr>
                <w:color w:val="auto"/>
                <w:szCs w:val="21"/>
                <w:highlight w:val="none"/>
              </w:rPr>
            </w:pPr>
          </w:p>
        </w:tc>
      </w:tr>
      <w:tr w14:paraId="7F12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7F8ADE8">
            <w:pPr>
              <w:jc w:val="center"/>
              <w:rPr>
                <w:color w:val="auto"/>
                <w:szCs w:val="21"/>
                <w:highlight w:val="none"/>
              </w:rPr>
            </w:pPr>
            <w:r>
              <w:rPr>
                <w:color w:val="auto"/>
                <w:szCs w:val="21"/>
                <w:highlight w:val="none"/>
              </w:rPr>
              <w:t>5</w:t>
            </w:r>
          </w:p>
        </w:tc>
        <w:tc>
          <w:tcPr>
            <w:tcW w:w="1121" w:type="dxa"/>
            <w:tcBorders>
              <w:top w:val="single" w:color="auto" w:sz="4" w:space="0"/>
              <w:left w:val="nil"/>
              <w:bottom w:val="single" w:color="auto" w:sz="4" w:space="0"/>
              <w:right w:val="single" w:color="auto" w:sz="4" w:space="0"/>
            </w:tcBorders>
          </w:tcPr>
          <w:p w14:paraId="2E71D43B">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752543D3">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05455694">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4EC0F560">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7E4B56D9">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06B0CE31">
            <w:pPr>
              <w:rPr>
                <w:color w:val="auto"/>
                <w:szCs w:val="21"/>
                <w:highlight w:val="none"/>
              </w:rPr>
            </w:pPr>
          </w:p>
        </w:tc>
      </w:tr>
      <w:tr w14:paraId="5FDE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036F915">
            <w:pPr>
              <w:jc w:val="center"/>
              <w:rPr>
                <w:color w:val="auto"/>
                <w:szCs w:val="21"/>
                <w:highlight w:val="none"/>
              </w:rPr>
            </w:pPr>
            <w:r>
              <w:rPr>
                <w:color w:val="auto"/>
                <w:szCs w:val="21"/>
                <w:highlight w:val="none"/>
              </w:rPr>
              <w:t>6</w:t>
            </w:r>
          </w:p>
        </w:tc>
        <w:tc>
          <w:tcPr>
            <w:tcW w:w="1121" w:type="dxa"/>
            <w:tcBorders>
              <w:top w:val="single" w:color="auto" w:sz="4" w:space="0"/>
              <w:left w:val="nil"/>
              <w:bottom w:val="single" w:color="auto" w:sz="4" w:space="0"/>
              <w:right w:val="single" w:color="auto" w:sz="4" w:space="0"/>
            </w:tcBorders>
          </w:tcPr>
          <w:p w14:paraId="1F87D5E7">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6165699B">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7496B1C8">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4782B719">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0710B0F2">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0FAF3F39">
            <w:pPr>
              <w:rPr>
                <w:color w:val="auto"/>
                <w:szCs w:val="21"/>
                <w:highlight w:val="none"/>
              </w:rPr>
            </w:pPr>
          </w:p>
        </w:tc>
      </w:tr>
      <w:tr w14:paraId="591E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3BCD0A7">
            <w:pPr>
              <w:jc w:val="center"/>
              <w:rPr>
                <w:color w:val="auto"/>
                <w:szCs w:val="21"/>
                <w:highlight w:val="none"/>
              </w:rPr>
            </w:pPr>
            <w:r>
              <w:rPr>
                <w:color w:val="auto"/>
                <w:szCs w:val="21"/>
                <w:highlight w:val="none"/>
              </w:rPr>
              <w:t>7</w:t>
            </w:r>
          </w:p>
        </w:tc>
        <w:tc>
          <w:tcPr>
            <w:tcW w:w="1121" w:type="dxa"/>
            <w:tcBorders>
              <w:top w:val="single" w:color="auto" w:sz="4" w:space="0"/>
              <w:left w:val="nil"/>
              <w:bottom w:val="single" w:color="auto" w:sz="4" w:space="0"/>
              <w:right w:val="single" w:color="auto" w:sz="4" w:space="0"/>
            </w:tcBorders>
          </w:tcPr>
          <w:p w14:paraId="7773A132">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74F6BCC7">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7766BCFD">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01BE4557">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4ECE5981">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3849A9C2">
            <w:pPr>
              <w:rPr>
                <w:color w:val="auto"/>
                <w:szCs w:val="21"/>
                <w:highlight w:val="none"/>
              </w:rPr>
            </w:pPr>
          </w:p>
        </w:tc>
      </w:tr>
      <w:tr w14:paraId="514E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0A898D2">
            <w:pPr>
              <w:jc w:val="center"/>
              <w:rPr>
                <w:color w:val="auto"/>
                <w:szCs w:val="21"/>
                <w:highlight w:val="none"/>
              </w:rPr>
            </w:pPr>
            <w:r>
              <w:rPr>
                <w:color w:val="auto"/>
                <w:szCs w:val="21"/>
                <w:highlight w:val="none"/>
              </w:rPr>
              <w:t>8</w:t>
            </w:r>
          </w:p>
        </w:tc>
        <w:tc>
          <w:tcPr>
            <w:tcW w:w="1121" w:type="dxa"/>
            <w:tcBorders>
              <w:top w:val="single" w:color="auto" w:sz="4" w:space="0"/>
              <w:left w:val="nil"/>
              <w:bottom w:val="single" w:color="auto" w:sz="4" w:space="0"/>
              <w:right w:val="single" w:color="auto" w:sz="4" w:space="0"/>
            </w:tcBorders>
          </w:tcPr>
          <w:p w14:paraId="65EC8B2C">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2C610E67">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29DF5D82">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1F895130">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358D205A">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438A7873">
            <w:pPr>
              <w:rPr>
                <w:color w:val="auto"/>
                <w:szCs w:val="21"/>
                <w:highlight w:val="none"/>
              </w:rPr>
            </w:pPr>
          </w:p>
        </w:tc>
      </w:tr>
      <w:tr w14:paraId="434D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87C3ADC">
            <w:pPr>
              <w:jc w:val="center"/>
              <w:rPr>
                <w:color w:val="auto"/>
                <w:szCs w:val="21"/>
                <w:highlight w:val="none"/>
              </w:rPr>
            </w:pPr>
            <w:r>
              <w:rPr>
                <w:color w:val="auto"/>
                <w:szCs w:val="21"/>
                <w:highlight w:val="none"/>
              </w:rPr>
              <w:t>9</w:t>
            </w:r>
          </w:p>
        </w:tc>
        <w:tc>
          <w:tcPr>
            <w:tcW w:w="1121" w:type="dxa"/>
            <w:tcBorders>
              <w:top w:val="single" w:color="auto" w:sz="4" w:space="0"/>
              <w:left w:val="nil"/>
              <w:bottom w:val="single" w:color="auto" w:sz="4" w:space="0"/>
              <w:right w:val="single" w:color="auto" w:sz="4" w:space="0"/>
            </w:tcBorders>
          </w:tcPr>
          <w:p w14:paraId="79C86089">
            <w:pPr>
              <w:rPr>
                <w:color w:val="auto"/>
                <w:szCs w:val="21"/>
                <w:highlight w:val="none"/>
              </w:rPr>
            </w:pPr>
          </w:p>
        </w:tc>
        <w:tc>
          <w:tcPr>
            <w:tcW w:w="1310" w:type="dxa"/>
            <w:tcBorders>
              <w:top w:val="single" w:color="auto" w:sz="4" w:space="0"/>
              <w:left w:val="nil"/>
              <w:bottom w:val="single" w:color="auto" w:sz="4" w:space="0"/>
              <w:right w:val="single" w:color="auto" w:sz="4" w:space="0"/>
            </w:tcBorders>
          </w:tcPr>
          <w:p w14:paraId="2B227D1D">
            <w:pPr>
              <w:rPr>
                <w:color w:val="auto"/>
                <w:szCs w:val="21"/>
                <w:highlight w:val="none"/>
              </w:rPr>
            </w:pPr>
          </w:p>
        </w:tc>
        <w:tc>
          <w:tcPr>
            <w:tcW w:w="1150" w:type="dxa"/>
            <w:tcBorders>
              <w:top w:val="single" w:color="auto" w:sz="4" w:space="0"/>
              <w:left w:val="nil"/>
              <w:bottom w:val="single" w:color="auto" w:sz="4" w:space="0"/>
              <w:right w:val="single" w:color="auto" w:sz="4" w:space="0"/>
            </w:tcBorders>
          </w:tcPr>
          <w:p w14:paraId="24CEBF89">
            <w:pPr>
              <w:rPr>
                <w:color w:val="auto"/>
                <w:szCs w:val="21"/>
                <w:highlight w:val="none"/>
              </w:rPr>
            </w:pPr>
          </w:p>
        </w:tc>
        <w:tc>
          <w:tcPr>
            <w:tcW w:w="2080" w:type="dxa"/>
            <w:tcBorders>
              <w:top w:val="single" w:color="auto" w:sz="4" w:space="0"/>
              <w:left w:val="nil"/>
              <w:bottom w:val="single" w:color="auto" w:sz="4" w:space="0"/>
              <w:right w:val="single" w:color="auto" w:sz="4" w:space="0"/>
            </w:tcBorders>
          </w:tcPr>
          <w:p w14:paraId="10A9A92E">
            <w:pPr>
              <w:rPr>
                <w:color w:val="auto"/>
                <w:szCs w:val="21"/>
                <w:highlight w:val="none"/>
              </w:rPr>
            </w:pPr>
          </w:p>
        </w:tc>
        <w:tc>
          <w:tcPr>
            <w:tcW w:w="2140" w:type="dxa"/>
            <w:tcBorders>
              <w:top w:val="single" w:color="auto" w:sz="4" w:space="0"/>
              <w:left w:val="nil"/>
              <w:bottom w:val="single" w:color="auto" w:sz="4" w:space="0"/>
              <w:right w:val="single" w:color="auto" w:sz="4" w:space="0"/>
            </w:tcBorders>
          </w:tcPr>
          <w:p w14:paraId="234FEF91">
            <w:pPr>
              <w:rPr>
                <w:color w:val="auto"/>
                <w:szCs w:val="21"/>
                <w:highlight w:val="none"/>
              </w:rPr>
            </w:pPr>
          </w:p>
        </w:tc>
        <w:tc>
          <w:tcPr>
            <w:tcW w:w="970" w:type="dxa"/>
            <w:tcBorders>
              <w:top w:val="single" w:color="auto" w:sz="4" w:space="0"/>
              <w:left w:val="nil"/>
              <w:bottom w:val="single" w:color="auto" w:sz="4" w:space="0"/>
              <w:right w:val="single" w:color="auto" w:sz="4" w:space="0"/>
            </w:tcBorders>
          </w:tcPr>
          <w:p w14:paraId="681C56DD">
            <w:pPr>
              <w:rPr>
                <w:color w:val="auto"/>
                <w:szCs w:val="21"/>
                <w:highlight w:val="none"/>
              </w:rPr>
            </w:pPr>
          </w:p>
        </w:tc>
      </w:tr>
    </w:tbl>
    <w:p w14:paraId="19F9A3C5">
      <w:pPr>
        <w:pStyle w:val="35"/>
        <w:ind w:firstLine="482"/>
        <w:rPr>
          <w:rFonts w:ascii="宋体" w:hAnsi="宋体" w:eastAsia="宋体" w:cs="宋体"/>
          <w:b/>
          <w:bCs/>
          <w:color w:val="auto"/>
          <w:sz w:val="24"/>
          <w:highlight w:val="none"/>
        </w:rPr>
      </w:pPr>
    </w:p>
    <w:p w14:paraId="51E1862B">
      <w:pPr>
        <w:wordWrap w:val="0"/>
        <w:spacing w:line="520" w:lineRule="exact"/>
        <w:ind w:firstLine="482" w:firstLineChars="200"/>
        <w:rPr>
          <w:rFonts w:ascii="宋体" w:hAnsi="宋体" w:cs="宋体"/>
          <w:b/>
          <w:bCs/>
          <w:color w:val="auto"/>
          <w:sz w:val="24"/>
          <w:highlight w:val="none"/>
        </w:rPr>
      </w:pPr>
    </w:p>
    <w:p w14:paraId="11E37D41">
      <w:pPr>
        <w:wordWrap w:val="0"/>
        <w:spacing w:line="520" w:lineRule="exact"/>
        <w:ind w:firstLine="482" w:firstLineChars="200"/>
        <w:rPr>
          <w:rFonts w:ascii="宋体" w:hAnsi="宋体" w:cs="宋体"/>
          <w:b/>
          <w:bCs/>
          <w:color w:val="auto"/>
          <w:sz w:val="24"/>
          <w:highlight w:val="none"/>
        </w:rPr>
      </w:pPr>
    </w:p>
    <w:p w14:paraId="0FF5A056">
      <w:pPr>
        <w:wordWrap w:val="0"/>
        <w:spacing w:line="520" w:lineRule="exact"/>
        <w:ind w:firstLine="482" w:firstLineChars="200"/>
        <w:rPr>
          <w:rFonts w:ascii="宋体" w:hAnsi="宋体" w:cs="宋体"/>
          <w:b/>
          <w:bCs/>
          <w:color w:val="auto"/>
          <w:sz w:val="24"/>
          <w:highlight w:val="none"/>
        </w:rPr>
      </w:pPr>
    </w:p>
    <w:p w14:paraId="2AE0A597">
      <w:pPr>
        <w:pStyle w:val="35"/>
        <w:ind w:firstLine="482"/>
        <w:rPr>
          <w:rFonts w:ascii="宋体" w:hAnsi="宋体" w:eastAsia="宋体" w:cs="宋体"/>
          <w:b/>
          <w:bCs/>
          <w:color w:val="auto"/>
          <w:sz w:val="24"/>
          <w:highlight w:val="none"/>
        </w:rPr>
      </w:pPr>
    </w:p>
    <w:p w14:paraId="0DCD2D45">
      <w:pPr>
        <w:pStyle w:val="35"/>
        <w:ind w:firstLine="482"/>
        <w:rPr>
          <w:rFonts w:ascii="宋体" w:hAnsi="宋体" w:eastAsia="宋体" w:cs="宋体"/>
          <w:b/>
          <w:bCs/>
          <w:color w:val="auto"/>
          <w:sz w:val="24"/>
          <w:highlight w:val="none"/>
        </w:rPr>
      </w:pPr>
    </w:p>
    <w:p w14:paraId="1AEF6A8F">
      <w:pPr>
        <w:pStyle w:val="35"/>
        <w:ind w:firstLine="482"/>
        <w:rPr>
          <w:rFonts w:ascii="宋体" w:hAnsi="宋体" w:eastAsia="宋体" w:cs="宋体"/>
          <w:b/>
          <w:bCs/>
          <w:color w:val="auto"/>
          <w:sz w:val="24"/>
          <w:highlight w:val="none"/>
        </w:rPr>
      </w:pPr>
    </w:p>
    <w:p w14:paraId="6AC57C5E">
      <w:pPr>
        <w:pStyle w:val="35"/>
        <w:ind w:firstLine="482"/>
        <w:rPr>
          <w:rFonts w:ascii="宋体" w:hAnsi="宋体" w:eastAsia="宋体" w:cs="宋体"/>
          <w:b/>
          <w:bCs/>
          <w:color w:val="auto"/>
          <w:sz w:val="24"/>
          <w:highlight w:val="none"/>
        </w:rPr>
      </w:pPr>
    </w:p>
    <w:p w14:paraId="66CB5E30">
      <w:pPr>
        <w:pStyle w:val="35"/>
        <w:ind w:firstLine="482"/>
        <w:rPr>
          <w:rFonts w:ascii="宋体" w:hAnsi="宋体" w:eastAsia="宋体" w:cs="宋体"/>
          <w:b/>
          <w:bCs/>
          <w:color w:val="auto"/>
          <w:sz w:val="24"/>
          <w:highlight w:val="none"/>
        </w:rPr>
      </w:pPr>
    </w:p>
    <w:p w14:paraId="6E34306D">
      <w:pPr>
        <w:pStyle w:val="35"/>
        <w:ind w:firstLine="482"/>
        <w:rPr>
          <w:rFonts w:ascii="宋体" w:hAnsi="宋体" w:eastAsia="宋体" w:cs="宋体"/>
          <w:b/>
          <w:bCs/>
          <w:color w:val="auto"/>
          <w:sz w:val="24"/>
          <w:highlight w:val="none"/>
        </w:rPr>
      </w:pPr>
    </w:p>
    <w:p w14:paraId="121FBFBF">
      <w:pPr>
        <w:pStyle w:val="35"/>
        <w:ind w:firstLine="482"/>
        <w:rPr>
          <w:rFonts w:ascii="宋体" w:hAnsi="宋体" w:eastAsia="宋体" w:cs="宋体"/>
          <w:b/>
          <w:bCs/>
          <w:color w:val="auto"/>
          <w:sz w:val="24"/>
          <w:highlight w:val="none"/>
        </w:rPr>
      </w:pPr>
    </w:p>
    <w:p w14:paraId="35E071C4">
      <w:pPr>
        <w:wordWrap w:val="0"/>
        <w:spacing w:line="520" w:lineRule="exact"/>
        <w:ind w:firstLine="482" w:firstLineChars="200"/>
        <w:rPr>
          <w:rFonts w:ascii="宋体" w:hAnsi="宋体" w:cs="宋体"/>
          <w:b/>
          <w:bCs/>
          <w:color w:val="auto"/>
          <w:sz w:val="24"/>
          <w:highlight w:val="none"/>
        </w:rPr>
      </w:pPr>
    </w:p>
    <w:p w14:paraId="759C49D1">
      <w:pPr>
        <w:pStyle w:val="44"/>
        <w:spacing w:line="360" w:lineRule="auto"/>
        <w:jc w:val="center"/>
        <w:outlineLvl w:val="3"/>
        <w:rPr>
          <w:rFonts w:ascii="仿宋_GB2312" w:hAnsi="仿宋_GB2312" w:eastAsia="仿宋_GB2312" w:cs="仿宋_GB2312"/>
          <w:b/>
          <w:color w:val="auto"/>
          <w:kern w:val="2"/>
          <w:sz w:val="32"/>
          <w:szCs w:val="32"/>
          <w:highlight w:val="none"/>
        </w:rPr>
      </w:pPr>
      <w:r>
        <w:rPr>
          <w:rFonts w:hint="eastAsia" w:ascii="仿宋_GB2312" w:hAnsi="仿宋_GB2312" w:eastAsia="仿宋_GB2312" w:cs="仿宋_GB2312"/>
          <w:b/>
          <w:color w:val="auto"/>
          <w:kern w:val="2"/>
          <w:sz w:val="32"/>
          <w:szCs w:val="32"/>
          <w:highlight w:val="none"/>
        </w:rPr>
        <w:t>表</w:t>
      </w:r>
      <w:r>
        <w:rPr>
          <w:rFonts w:hint="eastAsia" w:ascii="仿宋_GB2312" w:hAnsi="仿宋_GB2312" w:eastAsia="仿宋_GB2312" w:cs="仿宋_GB2312"/>
          <w:b/>
          <w:color w:val="auto"/>
          <w:kern w:val="2"/>
          <w:sz w:val="32"/>
          <w:szCs w:val="32"/>
          <w:highlight w:val="none"/>
          <w:lang w:val="en-US" w:eastAsia="zh-CN"/>
        </w:rPr>
        <w:t>20</w:t>
      </w:r>
      <w:r>
        <w:rPr>
          <w:rFonts w:hint="eastAsia" w:ascii="仿宋_GB2312" w:hAnsi="仿宋_GB2312" w:eastAsia="仿宋_GB2312" w:cs="仿宋_GB2312"/>
          <w:b/>
          <w:color w:val="auto"/>
          <w:kern w:val="2"/>
          <w:sz w:val="32"/>
          <w:szCs w:val="32"/>
          <w:highlight w:val="none"/>
        </w:rPr>
        <w:t xml:space="preserve">  生产安全事故信息发布格式化文本</w:t>
      </w:r>
    </w:p>
    <w:tbl>
      <w:tblPr>
        <w:tblStyle w:val="28"/>
        <w:tblW w:w="8842"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551"/>
        <w:gridCol w:w="1785"/>
        <w:gridCol w:w="854"/>
        <w:gridCol w:w="1508"/>
      </w:tblGrid>
      <w:tr w14:paraId="235E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44" w:type="dxa"/>
            <w:vAlign w:val="center"/>
          </w:tcPr>
          <w:p w14:paraId="0A977D9E">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事故单位名称</w:t>
            </w:r>
          </w:p>
        </w:tc>
        <w:tc>
          <w:tcPr>
            <w:tcW w:w="6698" w:type="dxa"/>
            <w:gridSpan w:val="4"/>
            <w:vAlign w:val="center"/>
          </w:tcPr>
          <w:p w14:paraId="7078BD77">
            <w:pPr>
              <w:jc w:val="center"/>
              <w:rPr>
                <w:rFonts w:asciiTheme="minorEastAsia" w:hAnsiTheme="minorEastAsia" w:eastAsiaTheme="minorEastAsia" w:cstheme="minorEastAsia"/>
                <w:color w:val="auto"/>
                <w:szCs w:val="21"/>
                <w:highlight w:val="none"/>
              </w:rPr>
            </w:pPr>
          </w:p>
        </w:tc>
      </w:tr>
      <w:tr w14:paraId="345C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44" w:type="dxa"/>
            <w:vAlign w:val="center"/>
          </w:tcPr>
          <w:p w14:paraId="7087F374">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事故单位地址</w:t>
            </w:r>
          </w:p>
        </w:tc>
        <w:tc>
          <w:tcPr>
            <w:tcW w:w="4336" w:type="dxa"/>
            <w:gridSpan w:val="2"/>
            <w:vAlign w:val="center"/>
          </w:tcPr>
          <w:p w14:paraId="13A5C0C9">
            <w:pPr>
              <w:jc w:val="center"/>
              <w:rPr>
                <w:rFonts w:asciiTheme="minorEastAsia" w:hAnsiTheme="minorEastAsia" w:eastAsiaTheme="minorEastAsia" w:cstheme="minorEastAsia"/>
                <w:color w:val="auto"/>
                <w:szCs w:val="21"/>
                <w:highlight w:val="none"/>
              </w:rPr>
            </w:pPr>
          </w:p>
        </w:tc>
        <w:tc>
          <w:tcPr>
            <w:tcW w:w="854" w:type="dxa"/>
            <w:vAlign w:val="center"/>
          </w:tcPr>
          <w:p w14:paraId="369350CB">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隶属</w:t>
            </w:r>
          </w:p>
          <w:p w14:paraId="0C0E37B2">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关系</w:t>
            </w:r>
          </w:p>
        </w:tc>
        <w:tc>
          <w:tcPr>
            <w:tcW w:w="1508" w:type="dxa"/>
            <w:vAlign w:val="center"/>
          </w:tcPr>
          <w:p w14:paraId="07563807">
            <w:pPr>
              <w:jc w:val="center"/>
              <w:rPr>
                <w:rFonts w:asciiTheme="minorEastAsia" w:hAnsiTheme="minorEastAsia" w:eastAsiaTheme="minorEastAsia" w:cstheme="minorEastAsia"/>
                <w:color w:val="auto"/>
                <w:szCs w:val="21"/>
                <w:highlight w:val="none"/>
              </w:rPr>
            </w:pPr>
          </w:p>
        </w:tc>
      </w:tr>
      <w:tr w14:paraId="1A67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44" w:type="dxa"/>
            <w:vAlign w:val="center"/>
          </w:tcPr>
          <w:p w14:paraId="5F768C34">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事故发生时间</w:t>
            </w:r>
          </w:p>
        </w:tc>
        <w:tc>
          <w:tcPr>
            <w:tcW w:w="2551" w:type="dxa"/>
            <w:vAlign w:val="center"/>
          </w:tcPr>
          <w:p w14:paraId="0C5982B7">
            <w:pPr>
              <w:ind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年  月  日  时  分</w:t>
            </w:r>
          </w:p>
        </w:tc>
        <w:tc>
          <w:tcPr>
            <w:tcW w:w="1785" w:type="dxa"/>
            <w:vAlign w:val="center"/>
          </w:tcPr>
          <w:p w14:paraId="2F8CB813">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事故发生地点</w:t>
            </w:r>
          </w:p>
        </w:tc>
        <w:tc>
          <w:tcPr>
            <w:tcW w:w="2362" w:type="dxa"/>
            <w:gridSpan w:val="2"/>
            <w:vAlign w:val="center"/>
          </w:tcPr>
          <w:p w14:paraId="5AD3B6E4">
            <w:pPr>
              <w:jc w:val="center"/>
              <w:rPr>
                <w:rFonts w:asciiTheme="minorEastAsia" w:hAnsiTheme="minorEastAsia" w:eastAsiaTheme="minorEastAsia" w:cstheme="minorEastAsia"/>
                <w:color w:val="auto"/>
                <w:szCs w:val="21"/>
                <w:highlight w:val="none"/>
              </w:rPr>
            </w:pPr>
          </w:p>
        </w:tc>
      </w:tr>
      <w:tr w14:paraId="509F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44" w:type="dxa"/>
            <w:vAlign w:val="center"/>
          </w:tcPr>
          <w:p w14:paraId="2137AB2A">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事故类别</w:t>
            </w:r>
          </w:p>
        </w:tc>
        <w:tc>
          <w:tcPr>
            <w:tcW w:w="2551" w:type="dxa"/>
            <w:vAlign w:val="center"/>
          </w:tcPr>
          <w:p w14:paraId="2478DB55">
            <w:pPr>
              <w:ind w:firstLine="960"/>
              <w:jc w:val="center"/>
              <w:rPr>
                <w:rFonts w:asciiTheme="minorEastAsia" w:hAnsiTheme="minorEastAsia" w:eastAsiaTheme="minorEastAsia" w:cstheme="minorEastAsia"/>
                <w:color w:val="auto"/>
                <w:szCs w:val="21"/>
                <w:highlight w:val="none"/>
              </w:rPr>
            </w:pPr>
          </w:p>
        </w:tc>
        <w:tc>
          <w:tcPr>
            <w:tcW w:w="1785" w:type="dxa"/>
            <w:vAlign w:val="center"/>
          </w:tcPr>
          <w:p w14:paraId="7B28AEFC">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事故性质</w:t>
            </w:r>
          </w:p>
        </w:tc>
        <w:tc>
          <w:tcPr>
            <w:tcW w:w="2362" w:type="dxa"/>
            <w:gridSpan w:val="2"/>
            <w:vAlign w:val="center"/>
          </w:tcPr>
          <w:p w14:paraId="2C71F891">
            <w:pPr>
              <w:jc w:val="center"/>
              <w:rPr>
                <w:rFonts w:asciiTheme="minorEastAsia" w:hAnsiTheme="minorEastAsia" w:eastAsiaTheme="minorEastAsia" w:cstheme="minorEastAsia"/>
                <w:color w:val="auto"/>
                <w:szCs w:val="21"/>
                <w:highlight w:val="none"/>
              </w:rPr>
            </w:pPr>
          </w:p>
        </w:tc>
      </w:tr>
      <w:tr w14:paraId="1E13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44" w:type="dxa"/>
            <w:vAlign w:val="center"/>
          </w:tcPr>
          <w:p w14:paraId="2E50EB8E">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死亡人数</w:t>
            </w:r>
          </w:p>
        </w:tc>
        <w:tc>
          <w:tcPr>
            <w:tcW w:w="2551" w:type="dxa"/>
            <w:vAlign w:val="center"/>
          </w:tcPr>
          <w:p w14:paraId="46142BB5">
            <w:pPr>
              <w:jc w:val="center"/>
              <w:rPr>
                <w:rFonts w:asciiTheme="minorEastAsia" w:hAnsiTheme="minorEastAsia" w:eastAsiaTheme="minorEastAsia" w:cstheme="minorEastAsia"/>
                <w:color w:val="auto"/>
                <w:szCs w:val="21"/>
                <w:highlight w:val="none"/>
              </w:rPr>
            </w:pPr>
          </w:p>
        </w:tc>
        <w:tc>
          <w:tcPr>
            <w:tcW w:w="1785" w:type="dxa"/>
            <w:vAlign w:val="center"/>
          </w:tcPr>
          <w:p w14:paraId="56F0735B">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重伤人数</w:t>
            </w:r>
          </w:p>
        </w:tc>
        <w:tc>
          <w:tcPr>
            <w:tcW w:w="2362" w:type="dxa"/>
            <w:gridSpan w:val="2"/>
            <w:vAlign w:val="center"/>
          </w:tcPr>
          <w:p w14:paraId="292CEFF4">
            <w:pPr>
              <w:jc w:val="center"/>
              <w:rPr>
                <w:rFonts w:asciiTheme="minorEastAsia" w:hAnsiTheme="minorEastAsia" w:eastAsiaTheme="minorEastAsia" w:cstheme="minorEastAsia"/>
                <w:color w:val="auto"/>
                <w:szCs w:val="21"/>
                <w:highlight w:val="none"/>
              </w:rPr>
            </w:pPr>
          </w:p>
        </w:tc>
      </w:tr>
      <w:tr w14:paraId="05A6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44" w:type="dxa"/>
            <w:vAlign w:val="center"/>
          </w:tcPr>
          <w:p w14:paraId="413F637F">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被困、下落不明人数</w:t>
            </w:r>
          </w:p>
        </w:tc>
        <w:tc>
          <w:tcPr>
            <w:tcW w:w="2551" w:type="dxa"/>
            <w:vAlign w:val="center"/>
          </w:tcPr>
          <w:p w14:paraId="5FF9E10E">
            <w:pPr>
              <w:jc w:val="center"/>
              <w:rPr>
                <w:rFonts w:asciiTheme="minorEastAsia" w:hAnsiTheme="minorEastAsia" w:eastAsiaTheme="minorEastAsia" w:cstheme="minorEastAsia"/>
                <w:color w:val="auto"/>
                <w:szCs w:val="21"/>
                <w:highlight w:val="none"/>
              </w:rPr>
            </w:pPr>
          </w:p>
        </w:tc>
        <w:tc>
          <w:tcPr>
            <w:tcW w:w="1785" w:type="dxa"/>
            <w:vAlign w:val="center"/>
          </w:tcPr>
          <w:p w14:paraId="00D7E913">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直接经济损失</w:t>
            </w:r>
          </w:p>
        </w:tc>
        <w:tc>
          <w:tcPr>
            <w:tcW w:w="2362" w:type="dxa"/>
            <w:gridSpan w:val="2"/>
            <w:vAlign w:val="center"/>
          </w:tcPr>
          <w:p w14:paraId="78626433">
            <w:pPr>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（万元）</w:t>
            </w:r>
          </w:p>
        </w:tc>
      </w:tr>
      <w:tr w14:paraId="0874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2" w:hRule="atLeast"/>
        </w:trPr>
        <w:tc>
          <w:tcPr>
            <w:tcW w:w="8842" w:type="dxa"/>
            <w:gridSpan w:val="5"/>
          </w:tcPr>
          <w:p w14:paraId="340D9693">
            <w:pPr>
              <w:spacing w:line="560" w:lineRule="exact"/>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信息发布内容</w:t>
            </w:r>
          </w:p>
          <w:p w14:paraId="2F8ABCA1">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1.事故单位概况：</w:t>
            </w:r>
          </w:p>
          <w:p w14:paraId="776A28F4">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2.事故发生经过：</w:t>
            </w:r>
          </w:p>
          <w:p w14:paraId="69E9C4BC">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3.已采取的救援措施及救援进展情况：</w:t>
            </w:r>
          </w:p>
          <w:p w14:paraId="78602F0E">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4.事故目前救援现状：</w:t>
            </w:r>
          </w:p>
          <w:p w14:paraId="64888EE8">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5.下一步准备采取的救援措施：</w:t>
            </w:r>
          </w:p>
          <w:p w14:paraId="5FFF647B">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6.其他与事故及救援有关的信息：</w:t>
            </w:r>
          </w:p>
          <w:p w14:paraId="3CC12E04">
            <w:pPr>
              <w:pStyle w:val="35"/>
              <w:ind w:firstLine="420"/>
              <w:rPr>
                <w:rFonts w:asciiTheme="minorEastAsia" w:hAnsiTheme="minorEastAsia" w:eastAsiaTheme="minorEastAsia" w:cstheme="minorEastAsia"/>
                <w:color w:val="auto"/>
                <w:sz w:val="21"/>
                <w:szCs w:val="21"/>
                <w:highlight w:val="none"/>
              </w:rPr>
            </w:pPr>
          </w:p>
        </w:tc>
      </w:tr>
      <w:tr w14:paraId="6EBC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8842" w:type="dxa"/>
            <w:gridSpan w:val="5"/>
            <w:vAlign w:val="center"/>
          </w:tcPr>
          <w:p w14:paraId="65900D16">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指挥部总指挥：                        信息发布人：            </w:t>
            </w:r>
          </w:p>
          <w:p w14:paraId="194739E7">
            <w:pPr>
              <w:spacing w:line="560" w:lineRule="exact"/>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315A2DC0">
            <w:pPr>
              <w:spacing w:line="560" w:lineRule="exac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信息发布地点 ：                       信息发布时间：    年   月   日   时</w:t>
            </w:r>
          </w:p>
        </w:tc>
      </w:tr>
    </w:tbl>
    <w:p w14:paraId="281E6065">
      <w:pPr>
        <w:wordWrap w:val="0"/>
        <w:spacing w:line="520" w:lineRule="exact"/>
        <w:ind w:firstLine="482" w:firstLineChars="200"/>
        <w:rPr>
          <w:rFonts w:ascii="宋体" w:hAnsi="宋体" w:cs="宋体"/>
          <w:b/>
          <w:bCs/>
          <w:color w:val="auto"/>
          <w:sz w:val="24"/>
          <w:highlight w:val="none"/>
        </w:rPr>
      </w:pPr>
    </w:p>
    <w:p w14:paraId="062AC122">
      <w:pPr>
        <w:wordWrap w:val="0"/>
        <w:spacing w:line="520" w:lineRule="exact"/>
        <w:ind w:firstLine="482" w:firstLineChars="200"/>
        <w:rPr>
          <w:rFonts w:ascii="宋体" w:hAnsi="宋体" w:cs="宋体"/>
          <w:b/>
          <w:bCs/>
          <w:color w:val="auto"/>
          <w:sz w:val="24"/>
          <w:highlight w:val="none"/>
        </w:rPr>
      </w:pPr>
    </w:p>
    <w:bookmarkEnd w:id="618"/>
    <w:bookmarkEnd w:id="619"/>
    <w:bookmarkEnd w:id="620"/>
    <w:bookmarkEnd w:id="621"/>
    <w:bookmarkEnd w:id="622"/>
    <w:p w14:paraId="4827ED18">
      <w:pPr>
        <w:spacing w:line="560" w:lineRule="exact"/>
        <w:ind w:firstLine="560" w:firstLineChars="200"/>
        <w:jc w:val="center"/>
        <w:rPr>
          <w:rFonts w:hint="eastAsia" w:ascii="仿宋_GB2312" w:hAnsi="仿宋_GB2312" w:eastAsia="仿宋_GB2312" w:cs="仿宋_GB2312"/>
          <w:color w:val="auto"/>
          <w:kern w:val="0"/>
          <w:sz w:val="28"/>
          <w:szCs w:val="28"/>
          <w:highlight w:val="none"/>
          <w:lang w:val="en-US" w:eastAsia="zh-CN"/>
        </w:rPr>
      </w:pPr>
      <w:bookmarkStart w:id="623" w:name="_Toc7915"/>
      <w:bookmarkStart w:id="624" w:name="_Toc9903"/>
      <w:r>
        <w:rPr>
          <w:rFonts w:hint="eastAsia" w:ascii="仿宋_GB2312" w:hAnsi="仿宋_GB2312" w:eastAsia="仿宋_GB2312" w:cs="仿宋_GB2312"/>
          <w:color w:val="auto"/>
          <w:kern w:val="0"/>
          <w:sz w:val="28"/>
          <w:szCs w:val="28"/>
          <w:highlight w:val="none"/>
          <w:lang w:eastAsia="zh-CN"/>
        </w:rPr>
        <w:drawing>
          <wp:anchor distT="0" distB="0" distL="114300" distR="114300" simplePos="0" relativeHeight="251669504" behindDoc="0" locked="0" layoutInCell="1" allowOverlap="1">
            <wp:simplePos x="0" y="0"/>
            <wp:positionH relativeFrom="column">
              <wp:posOffset>356870</wp:posOffset>
            </wp:positionH>
            <wp:positionV relativeFrom="paragraph">
              <wp:posOffset>483235</wp:posOffset>
            </wp:positionV>
            <wp:extent cx="4692650" cy="8086725"/>
            <wp:effectExtent l="0" t="0" r="1270" b="5715"/>
            <wp:wrapSquare wrapText="bothSides"/>
            <wp:docPr id="1" name="图片 1" descr="7eb6c3497c73f0d9d94ccb7314ccf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eb6c3497c73f0d9d94ccb7314ccfd51"/>
                    <pic:cNvPicPr>
                      <a:picLocks noChangeAspect="1"/>
                    </pic:cNvPicPr>
                  </pic:nvPicPr>
                  <pic:blipFill>
                    <a:blip r:embed="rId14"/>
                    <a:stretch>
                      <a:fillRect/>
                    </a:stretch>
                  </pic:blipFill>
                  <pic:spPr>
                    <a:xfrm>
                      <a:off x="0" y="0"/>
                      <a:ext cx="4692650" cy="8086725"/>
                    </a:xfrm>
                    <a:prstGeom prst="rect">
                      <a:avLst/>
                    </a:prstGeom>
                  </pic:spPr>
                </pic:pic>
              </a:graphicData>
            </a:graphic>
          </wp:anchor>
        </w:drawing>
      </w:r>
      <w:r>
        <w:rPr>
          <w:rFonts w:ascii="仿宋_GB2312" w:hAnsi="仿宋_GB2312" w:eastAsia="仿宋_GB2312" w:cs="仿宋_GB2312"/>
          <w:color w:val="auto"/>
          <w:kern w:val="0"/>
          <w:sz w:val="28"/>
          <w:szCs w:val="28"/>
          <w:highlight w:val="none"/>
        </w:rPr>
        <w:t>图</w:t>
      </w: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color w:val="auto"/>
          <w:kern w:val="0"/>
          <w:sz w:val="28"/>
          <w:szCs w:val="28"/>
          <w:highlight w:val="none"/>
        </w:rPr>
        <w:t>矿山救护队至</w:t>
      </w:r>
      <w:r>
        <w:rPr>
          <w:rFonts w:hint="eastAsia" w:ascii="仿宋_GB2312" w:hAnsi="仿宋_GB2312" w:eastAsia="仿宋_GB2312" w:cs="仿宋_GB2312"/>
          <w:color w:val="auto"/>
          <w:kern w:val="0"/>
          <w:sz w:val="28"/>
          <w:szCs w:val="28"/>
          <w:highlight w:val="none"/>
          <w:lang w:val="en-US" w:eastAsia="zh-CN"/>
        </w:rPr>
        <w:t>长城一矿</w:t>
      </w:r>
      <w:r>
        <w:rPr>
          <w:rFonts w:hint="eastAsia" w:ascii="仿宋_GB2312" w:hAnsi="仿宋_GB2312" w:eastAsia="仿宋_GB2312" w:cs="仿宋_GB2312"/>
          <w:color w:val="auto"/>
          <w:kern w:val="0"/>
          <w:sz w:val="28"/>
          <w:szCs w:val="28"/>
          <w:highlight w:val="none"/>
        </w:rPr>
        <w:t>应急救援路线</w:t>
      </w:r>
      <w:r>
        <w:rPr>
          <w:rFonts w:hint="eastAsia" w:ascii="仿宋_GB2312" w:hAnsi="仿宋_GB2312" w:eastAsia="仿宋_GB2312" w:cs="仿宋_GB2312"/>
          <w:color w:val="auto"/>
          <w:kern w:val="0"/>
          <w:sz w:val="28"/>
          <w:szCs w:val="28"/>
          <w:highlight w:val="none"/>
          <w:lang w:val="en-US" w:eastAsia="zh-CN"/>
        </w:rPr>
        <w:t>图</w:t>
      </w:r>
    </w:p>
    <w:p w14:paraId="43763135">
      <w:pPr>
        <w:spacing w:line="560" w:lineRule="exact"/>
        <w:ind w:firstLine="560" w:firstLineChars="200"/>
        <w:jc w:val="center"/>
        <w:rPr>
          <w:rFonts w:hint="eastAsia"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图</w:t>
      </w: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color w:val="auto"/>
          <w:kern w:val="0"/>
          <w:sz w:val="28"/>
          <w:szCs w:val="28"/>
          <w:highlight w:val="none"/>
        </w:rPr>
        <w:t>上海庙派出所至煤矿应急救援路线</w:t>
      </w:r>
    </w:p>
    <w:p w14:paraId="38268742">
      <w:pPr>
        <w:pStyle w:val="2"/>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lang w:eastAsia="zh-CN"/>
        </w:rPr>
        <w:drawing>
          <wp:inline distT="0" distB="0" distL="114300" distR="114300">
            <wp:extent cx="4602480" cy="7352665"/>
            <wp:effectExtent l="0" t="0" r="0" b="8255"/>
            <wp:docPr id="18" name="图片 18" descr="0d00dda3ec1b50a0a2af326557a347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d00dda3ec1b50a0a2af326557a3475f"/>
                    <pic:cNvPicPr>
                      <a:picLocks noChangeAspect="1"/>
                    </pic:cNvPicPr>
                  </pic:nvPicPr>
                  <pic:blipFill>
                    <a:blip r:embed="rId15"/>
                    <a:stretch>
                      <a:fillRect/>
                    </a:stretch>
                  </pic:blipFill>
                  <pic:spPr>
                    <a:xfrm>
                      <a:off x="0" y="0"/>
                      <a:ext cx="4602480" cy="7352665"/>
                    </a:xfrm>
                    <a:prstGeom prst="rect">
                      <a:avLst/>
                    </a:prstGeom>
                  </pic:spPr>
                </pic:pic>
              </a:graphicData>
            </a:graphic>
          </wp:inline>
        </w:drawing>
      </w:r>
    </w:p>
    <w:p w14:paraId="336963A1">
      <w:pPr>
        <w:jc w:val="center"/>
        <w:rPr>
          <w:rFonts w:hint="default"/>
          <w:lang w:val="en-US"/>
        </w:rPr>
      </w:pPr>
      <w:r>
        <w:rPr>
          <w:rFonts w:ascii="仿宋_GB2312" w:hAnsi="仿宋_GB2312" w:eastAsia="仿宋_GB2312" w:cs="仿宋_GB2312"/>
          <w:color w:val="auto"/>
          <w:kern w:val="0"/>
          <w:sz w:val="28"/>
          <w:szCs w:val="28"/>
          <w:highlight w:val="none"/>
        </w:rPr>
        <w:t>图</w:t>
      </w:r>
      <w:r>
        <w:rPr>
          <w:rFonts w:hint="eastAsia" w:ascii="仿宋_GB2312" w:hAnsi="仿宋_GB2312" w:eastAsia="仿宋_GB2312" w:cs="仿宋_GB2312"/>
          <w:color w:val="auto"/>
          <w:kern w:val="0"/>
          <w:sz w:val="28"/>
          <w:szCs w:val="28"/>
          <w:highlight w:val="none"/>
          <w:lang w:val="en-US" w:eastAsia="zh-CN"/>
        </w:rPr>
        <w:t>3避灾路线图</w:t>
      </w:r>
    </w:p>
    <w:p w14:paraId="1DF92C78">
      <w:pPr>
        <w:pStyle w:val="2"/>
        <w:rPr>
          <w:rFonts w:ascii="仿宋" w:hAnsi="仿宋" w:eastAsia="仿宋" w:cs="仿宋"/>
          <w:color w:val="auto"/>
          <w:sz w:val="28"/>
          <w:szCs w:val="28"/>
          <w:highlight w:val="none"/>
        </w:rPr>
      </w:pPr>
      <w:r>
        <w:rPr>
          <w:rFonts w:ascii="仿宋" w:hAnsi="仿宋" w:eastAsia="仿宋" w:cs="仿宋"/>
          <w:color w:val="auto"/>
          <w:sz w:val="28"/>
          <w:szCs w:val="28"/>
          <w:highlight w:val="none"/>
        </w:rPr>
        <w:drawing>
          <wp:inline distT="0" distB="0" distL="114300" distR="114300">
            <wp:extent cx="5591810" cy="6812915"/>
            <wp:effectExtent l="0" t="0" r="8890" b="6985"/>
            <wp:docPr id="17" name="图片 17" descr="835b0e51a40140b61add4aec55ce0d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835b0e51a40140b61add4aec55ce0dcb"/>
                    <pic:cNvPicPr>
                      <a:picLocks noChangeAspect="1"/>
                    </pic:cNvPicPr>
                  </pic:nvPicPr>
                  <pic:blipFill>
                    <a:blip r:embed="rId16"/>
                    <a:stretch>
                      <a:fillRect/>
                    </a:stretch>
                  </pic:blipFill>
                  <pic:spPr>
                    <a:xfrm>
                      <a:off x="0" y="0"/>
                      <a:ext cx="5591810" cy="6812915"/>
                    </a:xfrm>
                    <a:prstGeom prst="rect">
                      <a:avLst/>
                    </a:prstGeom>
                  </pic:spPr>
                </pic:pic>
              </a:graphicData>
            </a:graphic>
          </wp:inline>
        </w:drawing>
      </w:r>
    </w:p>
    <w:p w14:paraId="7A570F77">
      <w:pPr>
        <w:spacing w:line="560" w:lineRule="exact"/>
        <w:rPr>
          <w:rFonts w:ascii="仿宋" w:hAnsi="仿宋" w:eastAsia="仿宋" w:cs="仿宋"/>
          <w:color w:val="auto"/>
          <w:sz w:val="28"/>
          <w:szCs w:val="28"/>
          <w:highlight w:val="none"/>
        </w:rPr>
      </w:pPr>
    </w:p>
    <w:p w14:paraId="19A1DB7D">
      <w:pPr>
        <w:adjustRightInd w:val="0"/>
        <w:snapToGrid w:val="0"/>
        <w:spacing w:line="460" w:lineRule="exact"/>
        <w:ind w:firstLine="640" w:firstLineChars="200"/>
        <w:outlineLvl w:val="4"/>
        <w:rPr>
          <w:rFonts w:ascii="楷体_GB2312" w:hAnsi="楷体_GB2312" w:eastAsia="楷体_GB2312" w:cs="楷体_GB2312"/>
          <w:color w:val="auto"/>
          <w:kern w:val="10"/>
          <w:sz w:val="32"/>
          <w:szCs w:val="32"/>
          <w:highlight w:val="none"/>
        </w:rPr>
      </w:pPr>
      <w:r>
        <w:rPr>
          <w:rFonts w:hint="eastAsia" w:ascii="楷体_GB2312" w:hAnsi="楷体_GB2312" w:eastAsia="楷体_GB2312" w:cs="楷体_GB2312"/>
          <w:color w:val="auto"/>
          <w:kern w:val="10"/>
          <w:sz w:val="32"/>
          <w:szCs w:val="32"/>
          <w:highlight w:val="none"/>
          <w:lang w:val="en-US" w:eastAsia="zh-CN"/>
        </w:rPr>
        <w:t>图4</w:t>
      </w:r>
      <w:r>
        <w:rPr>
          <w:rFonts w:hint="eastAsia" w:ascii="楷体_GB2312" w:hAnsi="楷体_GB2312" w:eastAsia="楷体_GB2312" w:cs="楷体_GB2312"/>
          <w:color w:val="auto"/>
          <w:kern w:val="10"/>
          <w:sz w:val="32"/>
          <w:szCs w:val="32"/>
          <w:highlight w:val="none"/>
        </w:rPr>
        <w:t xml:space="preserve"> 相关平面布置、应急资源分布的图纸</w:t>
      </w:r>
    </w:p>
    <w:p w14:paraId="3BEB2B13">
      <w:pPr>
        <w:spacing w:line="560" w:lineRule="exact"/>
        <w:ind w:firstLine="420" w:firstLineChars="200"/>
        <w:rPr>
          <w:rFonts w:ascii="仿宋" w:hAnsi="仿宋" w:eastAsia="仿宋" w:cs="仿宋"/>
          <w:color w:val="auto"/>
          <w:sz w:val="28"/>
          <w:szCs w:val="28"/>
          <w:highlight w:val="none"/>
        </w:rPr>
      </w:pPr>
      <w:r>
        <w:rPr>
          <w:rFonts w:hint="eastAsia" w:ascii="楷体_GB2312" w:hAnsi="楷体_GB2312" w:eastAsia="楷体_GB2312" w:cs="楷体_GB2312"/>
          <w:color w:val="auto"/>
          <w:highlight w:val="none"/>
        </w:rPr>
        <w:drawing>
          <wp:anchor distT="0" distB="0" distL="114300" distR="114300" simplePos="0" relativeHeight="251663360" behindDoc="0" locked="0" layoutInCell="1" allowOverlap="1">
            <wp:simplePos x="0" y="0"/>
            <wp:positionH relativeFrom="column">
              <wp:posOffset>-335915</wp:posOffset>
            </wp:positionH>
            <wp:positionV relativeFrom="paragraph">
              <wp:posOffset>105410</wp:posOffset>
            </wp:positionV>
            <wp:extent cx="5372100" cy="7475220"/>
            <wp:effectExtent l="0" t="0" r="0" b="0"/>
            <wp:wrapNone/>
            <wp:docPr id="20" name="图片 1" descr="56374bfd1f4b7c1c74dc8ef5e6740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56374bfd1f4b7c1c74dc8ef5e6740d4"/>
                    <pic:cNvPicPr>
                      <a:picLocks noChangeAspect="1"/>
                    </pic:cNvPicPr>
                  </pic:nvPicPr>
                  <pic:blipFill>
                    <a:blip r:embed="rId17"/>
                    <a:stretch>
                      <a:fillRect/>
                    </a:stretch>
                  </pic:blipFill>
                  <pic:spPr>
                    <a:xfrm>
                      <a:off x="0" y="0"/>
                      <a:ext cx="5372100" cy="7475220"/>
                    </a:xfrm>
                    <a:prstGeom prst="rect">
                      <a:avLst/>
                    </a:prstGeom>
                    <a:noFill/>
                    <a:ln>
                      <a:noFill/>
                    </a:ln>
                  </pic:spPr>
                </pic:pic>
              </a:graphicData>
            </a:graphic>
          </wp:anchor>
        </w:drawing>
      </w:r>
    </w:p>
    <w:p w14:paraId="61369E9A">
      <w:pPr>
        <w:spacing w:line="560" w:lineRule="exact"/>
        <w:ind w:firstLine="560" w:firstLineChars="200"/>
        <w:rPr>
          <w:rFonts w:ascii="仿宋" w:hAnsi="仿宋" w:eastAsia="仿宋" w:cs="仿宋"/>
          <w:color w:val="auto"/>
          <w:sz w:val="28"/>
          <w:szCs w:val="28"/>
          <w:highlight w:val="none"/>
        </w:rPr>
      </w:pPr>
    </w:p>
    <w:p w14:paraId="52C4E412">
      <w:pPr>
        <w:spacing w:line="560" w:lineRule="exact"/>
        <w:ind w:firstLine="560" w:firstLineChars="200"/>
        <w:rPr>
          <w:rFonts w:ascii="仿宋" w:hAnsi="仿宋" w:eastAsia="仿宋" w:cs="仿宋"/>
          <w:color w:val="auto"/>
          <w:sz w:val="28"/>
          <w:szCs w:val="28"/>
          <w:highlight w:val="none"/>
        </w:rPr>
      </w:pPr>
    </w:p>
    <w:p w14:paraId="69BC9CF3">
      <w:pPr>
        <w:spacing w:line="560" w:lineRule="exact"/>
        <w:ind w:firstLine="560" w:firstLineChars="200"/>
        <w:rPr>
          <w:rFonts w:ascii="仿宋" w:hAnsi="仿宋" w:eastAsia="仿宋" w:cs="仿宋"/>
          <w:color w:val="auto"/>
          <w:sz w:val="28"/>
          <w:szCs w:val="28"/>
          <w:highlight w:val="none"/>
        </w:rPr>
      </w:pPr>
    </w:p>
    <w:p w14:paraId="3E6C6B3F">
      <w:pPr>
        <w:spacing w:line="560" w:lineRule="exact"/>
        <w:ind w:firstLine="560" w:firstLineChars="200"/>
        <w:rPr>
          <w:rFonts w:ascii="仿宋" w:hAnsi="仿宋" w:eastAsia="仿宋" w:cs="仿宋"/>
          <w:color w:val="auto"/>
          <w:sz w:val="28"/>
          <w:szCs w:val="28"/>
          <w:highlight w:val="none"/>
        </w:rPr>
      </w:pPr>
    </w:p>
    <w:p w14:paraId="7563B024">
      <w:pPr>
        <w:spacing w:line="560" w:lineRule="exact"/>
        <w:ind w:firstLine="560" w:firstLineChars="200"/>
        <w:rPr>
          <w:rFonts w:ascii="仿宋" w:hAnsi="仿宋" w:eastAsia="仿宋" w:cs="仿宋"/>
          <w:color w:val="auto"/>
          <w:sz w:val="28"/>
          <w:szCs w:val="28"/>
          <w:highlight w:val="none"/>
        </w:rPr>
      </w:pPr>
    </w:p>
    <w:p w14:paraId="09FBD223">
      <w:pPr>
        <w:spacing w:line="560" w:lineRule="exact"/>
        <w:ind w:firstLine="560" w:firstLineChars="200"/>
        <w:rPr>
          <w:rFonts w:ascii="仿宋" w:hAnsi="仿宋" w:eastAsia="仿宋" w:cs="仿宋"/>
          <w:color w:val="auto"/>
          <w:sz w:val="28"/>
          <w:szCs w:val="28"/>
          <w:highlight w:val="none"/>
        </w:rPr>
      </w:pPr>
    </w:p>
    <w:p w14:paraId="31B5ADE0">
      <w:pPr>
        <w:spacing w:line="560" w:lineRule="exact"/>
        <w:ind w:firstLine="560" w:firstLineChars="200"/>
        <w:rPr>
          <w:rFonts w:ascii="仿宋" w:hAnsi="仿宋" w:eastAsia="仿宋" w:cs="仿宋"/>
          <w:color w:val="auto"/>
          <w:sz w:val="28"/>
          <w:szCs w:val="28"/>
          <w:highlight w:val="none"/>
        </w:rPr>
      </w:pPr>
    </w:p>
    <w:p w14:paraId="4DA131B3">
      <w:pPr>
        <w:spacing w:line="560" w:lineRule="exact"/>
        <w:ind w:firstLine="560" w:firstLineChars="200"/>
        <w:rPr>
          <w:rFonts w:ascii="仿宋" w:hAnsi="仿宋" w:eastAsia="仿宋" w:cs="仿宋"/>
          <w:color w:val="auto"/>
          <w:sz w:val="28"/>
          <w:szCs w:val="28"/>
          <w:highlight w:val="none"/>
        </w:rPr>
      </w:pPr>
    </w:p>
    <w:p w14:paraId="6091D1BC">
      <w:pPr>
        <w:spacing w:line="560" w:lineRule="exact"/>
        <w:ind w:firstLine="560" w:firstLineChars="200"/>
        <w:rPr>
          <w:rFonts w:ascii="仿宋" w:hAnsi="仿宋" w:eastAsia="仿宋" w:cs="仿宋"/>
          <w:color w:val="auto"/>
          <w:sz w:val="28"/>
          <w:szCs w:val="28"/>
          <w:highlight w:val="none"/>
        </w:rPr>
      </w:pPr>
    </w:p>
    <w:p w14:paraId="799D329C">
      <w:pPr>
        <w:pStyle w:val="26"/>
        <w:ind w:firstLine="210"/>
        <w:rPr>
          <w:color w:val="auto"/>
          <w:highlight w:val="none"/>
        </w:rPr>
      </w:pPr>
    </w:p>
    <w:p w14:paraId="5AE32629">
      <w:pPr>
        <w:pStyle w:val="26"/>
        <w:ind w:firstLine="210"/>
        <w:rPr>
          <w:color w:val="auto"/>
          <w:highlight w:val="none"/>
        </w:rPr>
      </w:pPr>
    </w:p>
    <w:p w14:paraId="185D9D57">
      <w:pPr>
        <w:pStyle w:val="26"/>
        <w:ind w:firstLine="210"/>
        <w:rPr>
          <w:color w:val="auto"/>
          <w:highlight w:val="none"/>
        </w:rPr>
      </w:pPr>
    </w:p>
    <w:p w14:paraId="6F023708">
      <w:pPr>
        <w:pStyle w:val="26"/>
        <w:ind w:firstLine="210"/>
        <w:rPr>
          <w:color w:val="auto"/>
          <w:highlight w:val="none"/>
        </w:rPr>
      </w:pPr>
    </w:p>
    <w:p w14:paraId="24ED5292">
      <w:pPr>
        <w:pStyle w:val="26"/>
        <w:ind w:firstLine="210"/>
        <w:rPr>
          <w:color w:val="auto"/>
          <w:highlight w:val="none"/>
        </w:rPr>
      </w:pPr>
    </w:p>
    <w:p w14:paraId="3B8D6FBB">
      <w:pPr>
        <w:pStyle w:val="26"/>
        <w:ind w:firstLine="210"/>
        <w:rPr>
          <w:color w:val="auto"/>
          <w:highlight w:val="none"/>
        </w:rPr>
      </w:pPr>
    </w:p>
    <w:p w14:paraId="194F3F45">
      <w:pPr>
        <w:pStyle w:val="26"/>
        <w:ind w:firstLine="210"/>
        <w:rPr>
          <w:color w:val="auto"/>
          <w:highlight w:val="none"/>
        </w:rPr>
      </w:pPr>
    </w:p>
    <w:p w14:paraId="2BE57A6F">
      <w:pPr>
        <w:pStyle w:val="26"/>
        <w:ind w:firstLine="210"/>
        <w:rPr>
          <w:color w:val="auto"/>
          <w:highlight w:val="none"/>
        </w:rPr>
      </w:pPr>
    </w:p>
    <w:p w14:paraId="6545418B">
      <w:pPr>
        <w:pStyle w:val="26"/>
        <w:ind w:firstLine="210"/>
        <w:rPr>
          <w:color w:val="auto"/>
          <w:highlight w:val="none"/>
        </w:rPr>
      </w:pPr>
    </w:p>
    <w:p w14:paraId="3C1BDF3A">
      <w:pPr>
        <w:spacing w:line="560" w:lineRule="exact"/>
        <w:ind w:firstLine="560" w:firstLineChars="200"/>
        <w:rPr>
          <w:rFonts w:ascii="仿宋" w:hAnsi="仿宋" w:eastAsia="仿宋" w:cs="仿宋"/>
          <w:color w:val="auto"/>
          <w:sz w:val="28"/>
          <w:szCs w:val="28"/>
          <w:highlight w:val="none"/>
        </w:rPr>
      </w:pPr>
    </w:p>
    <w:p w14:paraId="28FA2728">
      <w:pPr>
        <w:spacing w:line="560" w:lineRule="exact"/>
        <w:ind w:firstLine="560" w:firstLineChars="200"/>
        <w:rPr>
          <w:rFonts w:ascii="仿宋" w:hAnsi="仿宋" w:eastAsia="仿宋" w:cs="仿宋"/>
          <w:color w:val="auto"/>
          <w:sz w:val="28"/>
          <w:szCs w:val="28"/>
          <w:highlight w:val="none"/>
        </w:rPr>
      </w:pPr>
    </w:p>
    <w:p w14:paraId="7F43A080">
      <w:pPr>
        <w:rPr>
          <w:color w:val="auto"/>
          <w:highlight w:val="none"/>
        </w:rPr>
      </w:pPr>
    </w:p>
    <w:p w14:paraId="1977D56E">
      <w:pPr>
        <w:adjustRightInd w:val="0"/>
        <w:snapToGrid w:val="0"/>
        <w:spacing w:line="460" w:lineRule="exact"/>
        <w:ind w:firstLine="640" w:firstLineChars="200"/>
        <w:outlineLvl w:val="4"/>
        <w:rPr>
          <w:rFonts w:ascii="楷体_GB2312" w:hAnsi="楷体_GB2312" w:eastAsia="楷体_GB2312" w:cs="楷体_GB2312"/>
          <w:color w:val="auto"/>
          <w:kern w:val="10"/>
          <w:sz w:val="32"/>
          <w:szCs w:val="32"/>
          <w:highlight w:val="none"/>
        </w:rPr>
      </w:pPr>
      <w:r>
        <w:rPr>
          <w:rFonts w:hint="eastAsia" w:ascii="楷体_GB2312" w:hAnsi="楷体_GB2312" w:eastAsia="楷体_GB2312" w:cs="楷体_GB2312"/>
          <w:color w:val="auto"/>
          <w:kern w:val="10"/>
          <w:sz w:val="32"/>
          <w:szCs w:val="32"/>
          <w:highlight w:val="none"/>
          <w:lang w:val="en-US" w:eastAsia="zh-CN"/>
        </w:rPr>
        <w:t xml:space="preserve">图5 </w:t>
      </w:r>
      <w:r>
        <w:rPr>
          <w:rFonts w:hint="eastAsia" w:ascii="楷体_GB2312" w:hAnsi="楷体_GB2312" w:eastAsia="楷体_GB2312" w:cs="楷体_GB2312"/>
          <w:color w:val="auto"/>
          <w:kern w:val="10"/>
          <w:sz w:val="32"/>
          <w:szCs w:val="32"/>
          <w:highlight w:val="none"/>
        </w:rPr>
        <w:t>地理位置及附近交通图、周边关系图</w:t>
      </w:r>
    </w:p>
    <w:p w14:paraId="40BE187E">
      <w:pPr>
        <w:spacing w:line="560" w:lineRule="exact"/>
        <w:ind w:firstLine="420" w:firstLineChars="200"/>
        <w:rPr>
          <w:rFonts w:ascii="仿宋" w:hAnsi="仿宋" w:eastAsia="仿宋" w:cs="仿宋"/>
          <w:color w:val="auto"/>
          <w:sz w:val="28"/>
          <w:szCs w:val="28"/>
          <w:highlight w:val="none"/>
        </w:rPr>
      </w:pPr>
      <w:r>
        <w:rPr>
          <w:rFonts w:hint="eastAsia" w:eastAsia="仿宋_GB2312"/>
          <w:color w:val="auto"/>
          <w:highlight w:val="none"/>
        </w:rPr>
        <w:drawing>
          <wp:anchor distT="0" distB="0" distL="114300" distR="114300" simplePos="0" relativeHeight="251664384" behindDoc="0" locked="0" layoutInCell="1" allowOverlap="1">
            <wp:simplePos x="0" y="0"/>
            <wp:positionH relativeFrom="column">
              <wp:posOffset>-9525</wp:posOffset>
            </wp:positionH>
            <wp:positionV relativeFrom="paragraph">
              <wp:posOffset>46355</wp:posOffset>
            </wp:positionV>
            <wp:extent cx="5590540" cy="7134860"/>
            <wp:effectExtent l="0" t="0" r="10160" b="8890"/>
            <wp:wrapNone/>
            <wp:docPr id="21" name="图片 2" descr="573a497f7dedca834523125e4505a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573a497f7dedca834523125e4505a1c"/>
                    <pic:cNvPicPr>
                      <a:picLocks noChangeAspect="1"/>
                    </pic:cNvPicPr>
                  </pic:nvPicPr>
                  <pic:blipFill>
                    <a:blip r:embed="rId18"/>
                    <a:stretch>
                      <a:fillRect/>
                    </a:stretch>
                  </pic:blipFill>
                  <pic:spPr>
                    <a:xfrm>
                      <a:off x="0" y="0"/>
                      <a:ext cx="5590540" cy="7134860"/>
                    </a:xfrm>
                    <a:prstGeom prst="rect">
                      <a:avLst/>
                    </a:prstGeom>
                    <a:noFill/>
                    <a:ln>
                      <a:noFill/>
                    </a:ln>
                  </pic:spPr>
                </pic:pic>
              </a:graphicData>
            </a:graphic>
          </wp:anchor>
        </w:drawing>
      </w:r>
    </w:p>
    <w:p w14:paraId="7B7F30E7">
      <w:pPr>
        <w:pStyle w:val="35"/>
        <w:ind w:firstLine="560"/>
        <w:rPr>
          <w:rFonts w:ascii="仿宋" w:hAnsi="仿宋" w:eastAsia="仿宋" w:cs="仿宋"/>
          <w:color w:val="auto"/>
          <w:szCs w:val="28"/>
          <w:highlight w:val="none"/>
        </w:rPr>
      </w:pPr>
    </w:p>
    <w:p w14:paraId="6C35B49C">
      <w:pPr>
        <w:pStyle w:val="35"/>
        <w:ind w:firstLine="560"/>
        <w:rPr>
          <w:rFonts w:ascii="仿宋" w:hAnsi="仿宋" w:eastAsia="仿宋" w:cs="仿宋"/>
          <w:color w:val="auto"/>
          <w:szCs w:val="28"/>
          <w:highlight w:val="none"/>
        </w:rPr>
      </w:pPr>
    </w:p>
    <w:p w14:paraId="5580A491">
      <w:pPr>
        <w:pStyle w:val="35"/>
        <w:ind w:firstLine="560"/>
        <w:rPr>
          <w:rFonts w:ascii="仿宋" w:hAnsi="仿宋" w:eastAsia="仿宋" w:cs="仿宋"/>
          <w:color w:val="auto"/>
          <w:szCs w:val="28"/>
          <w:highlight w:val="none"/>
        </w:rPr>
      </w:pPr>
    </w:p>
    <w:p w14:paraId="0DE22DED">
      <w:pPr>
        <w:pStyle w:val="35"/>
        <w:ind w:firstLine="560"/>
        <w:rPr>
          <w:rFonts w:ascii="仿宋" w:hAnsi="仿宋" w:eastAsia="仿宋" w:cs="仿宋"/>
          <w:color w:val="auto"/>
          <w:szCs w:val="28"/>
          <w:highlight w:val="none"/>
        </w:rPr>
      </w:pPr>
    </w:p>
    <w:p w14:paraId="3761CEE9">
      <w:pPr>
        <w:pStyle w:val="35"/>
        <w:ind w:firstLine="560"/>
        <w:rPr>
          <w:rFonts w:ascii="仿宋" w:hAnsi="仿宋" w:eastAsia="仿宋" w:cs="仿宋"/>
          <w:color w:val="auto"/>
          <w:szCs w:val="28"/>
          <w:highlight w:val="none"/>
        </w:rPr>
      </w:pPr>
    </w:p>
    <w:p w14:paraId="216D51A0">
      <w:pPr>
        <w:spacing w:line="560" w:lineRule="exact"/>
        <w:ind w:firstLine="560" w:firstLineChars="200"/>
        <w:rPr>
          <w:rFonts w:ascii="仿宋" w:hAnsi="仿宋" w:eastAsia="仿宋" w:cs="仿宋"/>
          <w:color w:val="auto"/>
          <w:sz w:val="28"/>
          <w:szCs w:val="28"/>
          <w:highlight w:val="none"/>
        </w:rPr>
      </w:pPr>
    </w:p>
    <w:p w14:paraId="4A0BD91C">
      <w:pPr>
        <w:spacing w:line="560" w:lineRule="exact"/>
        <w:ind w:firstLine="560" w:firstLineChars="200"/>
        <w:rPr>
          <w:rFonts w:ascii="仿宋" w:hAnsi="仿宋" w:eastAsia="仿宋" w:cs="仿宋"/>
          <w:color w:val="auto"/>
          <w:sz w:val="28"/>
          <w:szCs w:val="28"/>
          <w:highlight w:val="none"/>
        </w:rPr>
      </w:pPr>
    </w:p>
    <w:p w14:paraId="26F8A544">
      <w:pPr>
        <w:spacing w:line="560" w:lineRule="exact"/>
        <w:ind w:firstLine="560" w:firstLineChars="200"/>
        <w:rPr>
          <w:rFonts w:ascii="仿宋" w:hAnsi="仿宋" w:eastAsia="仿宋" w:cs="仿宋"/>
          <w:color w:val="auto"/>
          <w:sz w:val="28"/>
          <w:szCs w:val="28"/>
          <w:highlight w:val="none"/>
        </w:rPr>
      </w:pPr>
    </w:p>
    <w:p w14:paraId="3A896F35">
      <w:pPr>
        <w:spacing w:line="560" w:lineRule="exact"/>
        <w:ind w:firstLine="560" w:firstLineChars="200"/>
        <w:rPr>
          <w:rFonts w:ascii="仿宋" w:hAnsi="仿宋" w:eastAsia="仿宋" w:cs="仿宋"/>
          <w:color w:val="auto"/>
          <w:sz w:val="28"/>
          <w:szCs w:val="28"/>
          <w:highlight w:val="none"/>
        </w:rPr>
      </w:pPr>
    </w:p>
    <w:p w14:paraId="429297F6">
      <w:pPr>
        <w:pStyle w:val="26"/>
        <w:ind w:firstLine="210"/>
        <w:rPr>
          <w:color w:val="auto"/>
          <w:highlight w:val="none"/>
        </w:rPr>
      </w:pPr>
    </w:p>
    <w:p w14:paraId="14522A52">
      <w:pPr>
        <w:pStyle w:val="26"/>
        <w:ind w:firstLine="210"/>
        <w:rPr>
          <w:color w:val="auto"/>
          <w:highlight w:val="none"/>
        </w:rPr>
      </w:pPr>
    </w:p>
    <w:p w14:paraId="69BC6762">
      <w:pPr>
        <w:pStyle w:val="26"/>
        <w:ind w:firstLine="210"/>
        <w:rPr>
          <w:color w:val="auto"/>
          <w:highlight w:val="none"/>
        </w:rPr>
      </w:pPr>
    </w:p>
    <w:p w14:paraId="22CBBD44">
      <w:pPr>
        <w:pStyle w:val="26"/>
        <w:ind w:firstLine="210"/>
        <w:rPr>
          <w:color w:val="auto"/>
          <w:highlight w:val="none"/>
        </w:rPr>
      </w:pPr>
    </w:p>
    <w:p w14:paraId="51C3DA5E">
      <w:pPr>
        <w:pStyle w:val="26"/>
        <w:ind w:firstLine="210"/>
        <w:rPr>
          <w:color w:val="auto"/>
          <w:highlight w:val="none"/>
        </w:rPr>
      </w:pPr>
    </w:p>
    <w:p w14:paraId="6AC7B238">
      <w:pPr>
        <w:pStyle w:val="26"/>
        <w:ind w:firstLine="210"/>
        <w:rPr>
          <w:color w:val="auto"/>
          <w:highlight w:val="none"/>
        </w:rPr>
      </w:pPr>
    </w:p>
    <w:p w14:paraId="3C3FCF81">
      <w:pPr>
        <w:ind w:firstLine="560" w:firstLineChars="200"/>
        <w:rPr>
          <w:rFonts w:ascii="仿宋_GB2312" w:hAnsi="仿宋_GB2312" w:eastAsia="仿宋_GB2312" w:cs="仿宋_GB2312"/>
          <w:color w:val="auto"/>
          <w:sz w:val="28"/>
          <w:szCs w:val="28"/>
          <w:highlight w:val="none"/>
        </w:rPr>
      </w:pPr>
    </w:p>
    <w:p w14:paraId="76FA8B39">
      <w:pPr>
        <w:spacing w:line="560" w:lineRule="exact"/>
        <w:ind w:firstLine="560" w:firstLineChars="200"/>
        <w:rPr>
          <w:rFonts w:ascii="仿宋" w:hAnsi="仿宋" w:eastAsia="仿宋" w:cs="仿宋"/>
          <w:color w:val="auto"/>
          <w:sz w:val="28"/>
          <w:szCs w:val="28"/>
          <w:highlight w:val="none"/>
        </w:rPr>
      </w:pPr>
    </w:p>
    <w:p w14:paraId="5F94BC35">
      <w:pPr>
        <w:spacing w:line="560" w:lineRule="exact"/>
        <w:rPr>
          <w:rFonts w:ascii="仿宋" w:hAnsi="仿宋" w:eastAsia="仿宋" w:cs="仿宋"/>
          <w:color w:val="auto"/>
          <w:sz w:val="28"/>
          <w:szCs w:val="28"/>
          <w:highlight w:val="none"/>
        </w:rPr>
      </w:pPr>
    </w:p>
    <w:p w14:paraId="0AA352BC">
      <w:pPr>
        <w:spacing w:line="560" w:lineRule="exact"/>
        <w:ind w:firstLine="560" w:firstLineChars="200"/>
        <w:rPr>
          <w:rFonts w:ascii="仿宋" w:hAnsi="仿宋" w:eastAsia="仿宋" w:cs="仿宋"/>
          <w:color w:val="auto"/>
          <w:sz w:val="28"/>
          <w:szCs w:val="28"/>
          <w:highlight w:val="none"/>
        </w:rPr>
      </w:pPr>
      <w:r>
        <w:rPr>
          <w:rFonts w:hint="eastAsia" w:ascii="楷体_GB2312" w:hAnsi="楷体_GB2312" w:eastAsia="楷体_GB2312" w:cs="楷体_GB2312"/>
          <w:color w:val="auto"/>
          <w:sz w:val="28"/>
          <w:szCs w:val="28"/>
          <w:highlight w:val="none"/>
          <w:lang w:val="en-US" w:eastAsia="zh-CN"/>
        </w:rPr>
        <w:t xml:space="preserve">图6 </w:t>
      </w:r>
      <w:r>
        <w:rPr>
          <w:rFonts w:hint="eastAsia" w:ascii="楷体_GB2312" w:hAnsi="楷体_GB2312" w:eastAsia="楷体_GB2312" w:cs="楷体_GB2312"/>
          <w:color w:val="auto"/>
          <w:sz w:val="28"/>
          <w:szCs w:val="28"/>
          <w:highlight w:val="none"/>
        </w:rPr>
        <w:t>地理位置及附近交通图</w:t>
      </w:r>
      <w:r>
        <w:rPr>
          <w:rFonts w:hint="eastAsia" w:ascii="仿宋" w:hAnsi="仿宋" w:eastAsia="仿宋" w:cs="仿宋"/>
          <w:color w:val="auto"/>
          <w:sz w:val="28"/>
          <w:szCs w:val="28"/>
          <w:highlight w:val="none"/>
          <w:lang w:eastAsia="zh-CN"/>
        </w:rPr>
        <w:drawing>
          <wp:anchor distT="0" distB="0" distL="114300" distR="114300" simplePos="0" relativeHeight="251668480" behindDoc="0" locked="0" layoutInCell="1" allowOverlap="1">
            <wp:simplePos x="0" y="0"/>
            <wp:positionH relativeFrom="column">
              <wp:posOffset>-122555</wp:posOffset>
            </wp:positionH>
            <wp:positionV relativeFrom="paragraph">
              <wp:posOffset>633095</wp:posOffset>
            </wp:positionV>
            <wp:extent cx="5614670" cy="6980555"/>
            <wp:effectExtent l="0" t="0" r="8890" b="14605"/>
            <wp:wrapSquare wrapText="bothSides"/>
            <wp:docPr id="14" name="图片 14" descr="6d2512a3199d3471e49eb2b8049b86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6d2512a3199d3471e49eb2b8049b86c5"/>
                    <pic:cNvPicPr>
                      <a:picLocks noChangeAspect="1"/>
                    </pic:cNvPicPr>
                  </pic:nvPicPr>
                  <pic:blipFill>
                    <a:blip r:embed="rId19"/>
                    <a:stretch>
                      <a:fillRect/>
                    </a:stretch>
                  </pic:blipFill>
                  <pic:spPr>
                    <a:xfrm>
                      <a:off x="0" y="0"/>
                      <a:ext cx="5614670" cy="6980555"/>
                    </a:xfrm>
                    <a:prstGeom prst="rect">
                      <a:avLst/>
                    </a:prstGeom>
                  </pic:spPr>
                </pic:pic>
              </a:graphicData>
            </a:graphic>
          </wp:anchor>
        </w:drawing>
      </w:r>
    </w:p>
    <w:p w14:paraId="002439D9">
      <w:pPr>
        <w:rPr>
          <w:color w:val="auto"/>
          <w:highlight w:val="none"/>
        </w:rPr>
      </w:pPr>
      <w:bookmarkStart w:id="625" w:name="_Toc14885"/>
      <w:bookmarkStart w:id="626" w:name="_Toc992"/>
      <w:bookmarkStart w:id="627" w:name="_Toc23941"/>
      <w:bookmarkStart w:id="628" w:name="_Toc4805"/>
      <w:bookmarkStart w:id="629" w:name="_Toc27791"/>
      <w:bookmarkStart w:id="630" w:name="_Toc18301"/>
      <w:bookmarkStart w:id="631" w:name="_Toc7389"/>
    </w:p>
    <w:p w14:paraId="3A333719">
      <w:pPr>
        <w:spacing w:line="560" w:lineRule="exact"/>
        <w:ind w:firstLine="560" w:firstLineChars="200"/>
        <w:rPr>
          <w:rFonts w:ascii="楷体_GB2312" w:hAnsi="楷体_GB2312" w:eastAsia="楷体_GB2312" w:cs="楷体_GB2312"/>
          <w:color w:val="auto"/>
          <w:sz w:val="28"/>
          <w:szCs w:val="28"/>
          <w:highlight w:val="none"/>
        </w:rPr>
      </w:pPr>
      <w:r>
        <w:rPr>
          <w:rFonts w:hint="eastAsia" w:ascii="楷体_GB2312" w:hAnsi="楷体_GB2312" w:eastAsia="楷体_GB2312" w:cs="楷体_GB2312"/>
          <w:color w:val="auto"/>
          <w:sz w:val="28"/>
          <w:szCs w:val="28"/>
          <w:highlight w:val="none"/>
          <w:lang w:val="en-US" w:eastAsia="zh-CN"/>
        </w:rPr>
        <w:t>图7</w:t>
      </w:r>
      <w:r>
        <w:rPr>
          <w:rFonts w:hint="eastAsia" w:ascii="楷体_GB2312" w:hAnsi="楷体_GB2312" w:eastAsia="楷体_GB2312" w:cs="楷体_GB2312"/>
          <w:color w:val="auto"/>
          <w:sz w:val="28"/>
          <w:szCs w:val="28"/>
          <w:highlight w:val="none"/>
        </w:rPr>
        <w:t xml:space="preserve"> 附近医院地理位置图及路线图</w:t>
      </w:r>
    </w:p>
    <w:p w14:paraId="5F61ECBC">
      <w:pPr>
        <w:pStyle w:val="2"/>
        <w:rPr>
          <w:color w:val="auto"/>
          <w:highlight w:val="none"/>
        </w:rPr>
      </w:pPr>
      <w:r>
        <w:rPr>
          <w:rFonts w:hint="eastAsia" w:eastAsia="宋体"/>
          <w:color w:val="auto"/>
          <w:highlight w:val="none"/>
          <w:lang w:eastAsia="zh-CN"/>
        </w:rPr>
        <w:drawing>
          <wp:inline distT="0" distB="0" distL="114300" distR="114300">
            <wp:extent cx="4826000" cy="6615430"/>
            <wp:effectExtent l="0" t="0" r="12700" b="13970"/>
            <wp:docPr id="12" name="图片 12" descr="63f48c8de6d2d0f883ead1d9dedc6f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3f48c8de6d2d0f883ead1d9dedc6f6a"/>
                    <pic:cNvPicPr>
                      <a:picLocks noChangeAspect="1"/>
                    </pic:cNvPicPr>
                  </pic:nvPicPr>
                  <pic:blipFill>
                    <a:blip r:embed="rId20"/>
                    <a:srcRect l="-471" t="4535" r="471" b="5148"/>
                    <a:stretch>
                      <a:fillRect/>
                    </a:stretch>
                  </pic:blipFill>
                  <pic:spPr>
                    <a:xfrm>
                      <a:off x="0" y="0"/>
                      <a:ext cx="4826000" cy="6615430"/>
                    </a:xfrm>
                    <a:prstGeom prst="rect">
                      <a:avLst/>
                    </a:prstGeom>
                  </pic:spPr>
                </pic:pic>
              </a:graphicData>
            </a:graphic>
          </wp:inline>
        </w:drawing>
      </w:r>
    </w:p>
    <w:p w14:paraId="5FE28371">
      <w:pPr>
        <w:pStyle w:val="2"/>
        <w:rPr>
          <w:color w:val="auto"/>
          <w:highlight w:val="none"/>
        </w:rPr>
      </w:pPr>
    </w:p>
    <w:p w14:paraId="54C13370">
      <w:pPr>
        <w:rPr>
          <w:color w:val="auto"/>
          <w:highlight w:val="none"/>
        </w:rPr>
      </w:pPr>
    </w:p>
    <w:p w14:paraId="3C8D9514">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Times New Roman" w:hAnsi="Times New Roman" w:eastAsia="宋体" w:cs="Times New Roman"/>
          <w:b/>
          <w:bCs/>
          <w:color w:val="auto"/>
          <w:kern w:val="2"/>
          <w:sz w:val="28"/>
          <w:szCs w:val="28"/>
          <w:highlight w:val="none"/>
          <w:lang w:val="en-US" w:eastAsia="zh-CN" w:bidi="ar-SA"/>
        </w:rPr>
      </w:pPr>
      <w:r>
        <w:rPr>
          <w:rFonts w:hint="eastAsia" w:ascii="Times New Roman" w:hAnsi="Times New Roman" w:eastAsia="宋体" w:cs="Times New Roman"/>
          <w:b/>
          <w:bCs/>
          <w:color w:val="auto"/>
          <w:kern w:val="2"/>
          <w:sz w:val="28"/>
          <w:szCs w:val="28"/>
          <w:highlight w:val="none"/>
          <w:lang w:val="en-US" w:eastAsia="zh-CN" w:bidi="ar-SA"/>
        </w:rPr>
        <w:t>图8 相关平面布置、应急资源分布的图纸</w:t>
      </w:r>
    </w:p>
    <w:p w14:paraId="35DC8DE0">
      <w:pPr>
        <w:rPr>
          <w:color w:val="auto"/>
          <w:highlight w:val="none"/>
        </w:rPr>
      </w:pPr>
      <w:r>
        <w:rPr>
          <w:sz w:val="24"/>
        </w:rPr>
        <mc:AlternateContent>
          <mc:Choice Requires="wps">
            <w:drawing>
              <wp:anchor distT="0" distB="0" distL="114300" distR="114300" simplePos="0" relativeHeight="251672576" behindDoc="0" locked="0" layoutInCell="1" allowOverlap="1">
                <wp:simplePos x="0" y="0"/>
                <wp:positionH relativeFrom="column">
                  <wp:posOffset>557530</wp:posOffset>
                </wp:positionH>
                <wp:positionV relativeFrom="paragraph">
                  <wp:posOffset>8117840</wp:posOffset>
                </wp:positionV>
                <wp:extent cx="951865" cy="291465"/>
                <wp:effectExtent l="4445" t="4445" r="15240" b="8890"/>
                <wp:wrapNone/>
                <wp:docPr id="290" name="文本框 290"/>
                <wp:cNvGraphicFramePr/>
                <a:graphic xmlns:a="http://schemas.openxmlformats.org/drawingml/2006/main">
                  <a:graphicData uri="http://schemas.microsoft.com/office/word/2010/wordprocessingShape">
                    <wps:wsp>
                      <wps:cNvSpPr txBox="1"/>
                      <wps:spPr>
                        <a:xfrm>
                          <a:off x="0" y="0"/>
                          <a:ext cx="951865" cy="291465"/>
                        </a:xfrm>
                        <a:prstGeom prst="rect">
                          <a:avLst/>
                        </a:prstGeom>
                        <a:solidFill>
                          <a:srgbClr val="FFFFFF"/>
                        </a:solidFill>
                        <a:ln w="6350">
                          <a:solidFill>
                            <a:prstClr val="black"/>
                          </a:solidFill>
                        </a:ln>
                        <a:effectLst/>
                      </wps:spPr>
                      <wps:txbx>
                        <w:txbxContent>
                          <w:p w14:paraId="454E361D">
                            <w:pPr>
                              <w:rPr>
                                <w:rFonts w:hint="default" w:ascii="宋体" w:hAnsi="宋体" w:eastAsia="宋体" w:cs="宋体"/>
                                <w:b w:val="0"/>
                                <w:bCs w:val="0"/>
                                <w:color w:val="FFFDF5"/>
                                <w:lang w:val="en-US" w:eastAsia="zh-CN"/>
                              </w:rPr>
                            </w:pPr>
                            <w:r>
                              <w:rPr>
                                <w:rFonts w:hint="eastAsia" w:ascii="宋体" w:hAnsi="宋体" w:cs="宋体"/>
                                <w:b w:val="0"/>
                                <w:bCs w:val="0"/>
                                <w:color w:val="auto"/>
                                <w:lang w:val="en-US" w:eastAsia="zh-CN"/>
                              </w:rPr>
                              <w:t>应急物资库</w:t>
                            </w:r>
                            <w:r>
                              <w:rPr>
                                <w:rFonts w:hint="eastAsia" w:ascii="宋体" w:hAnsi="宋体" w:eastAsia="宋体" w:cs="宋体"/>
                                <w:b w:val="0"/>
                                <w:bCs w:val="0"/>
                                <w:color w:val="FFFDF5"/>
                                <w:lang w:val="en-US" w:eastAsia="zh-CN"/>
                              </w:rPr>
                              <w:t>资源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9pt;margin-top:639.2pt;height:22.95pt;width:74.95pt;z-index:251672576;mso-width-relative:page;mso-height-relative:page;" fillcolor="#FFFFFF" filled="t" stroked="t" coordsize="21600,21600" o:gfxdata="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4&#10;v69f1wAAAAwBAAAPAAAAAAAAAAEAIAAAACIAAABkcnMvZG93bnJldi54bWxQSwECFAAUAAAACACH&#10;TuJA+ynXZV4CAADIBAAADgAAAAAAAAABACAAAAAmAQAAZHJzL2Uyb0RvYy54bWxQSwUGAAAAAAYA&#10;BgBZAQAA9gUAAAAA&#10;">
                <v:fill on="t" focussize="0,0"/>
                <v:stroke weight="0.5pt" color="#000000" joinstyle="round"/>
                <v:imagedata o:title=""/>
                <o:lock v:ext="edit" aspectratio="f"/>
                <v:textbox>
                  <w:txbxContent>
                    <w:p w14:paraId="454E361D">
                      <w:pPr>
                        <w:rPr>
                          <w:rFonts w:hint="default" w:ascii="宋体" w:hAnsi="宋体" w:eastAsia="宋体" w:cs="宋体"/>
                          <w:b w:val="0"/>
                          <w:bCs w:val="0"/>
                          <w:color w:val="FFFDF5"/>
                          <w:lang w:val="en-US" w:eastAsia="zh-CN"/>
                        </w:rPr>
                      </w:pPr>
                      <w:r>
                        <w:rPr>
                          <w:rFonts w:hint="eastAsia" w:ascii="宋体" w:hAnsi="宋体" w:cs="宋体"/>
                          <w:b w:val="0"/>
                          <w:bCs w:val="0"/>
                          <w:color w:val="auto"/>
                          <w:lang w:val="en-US" w:eastAsia="zh-CN"/>
                        </w:rPr>
                        <w:t>应急物资库</w:t>
                      </w:r>
                      <w:r>
                        <w:rPr>
                          <w:rFonts w:hint="eastAsia" w:ascii="宋体" w:hAnsi="宋体" w:eastAsia="宋体" w:cs="宋体"/>
                          <w:b w:val="0"/>
                          <w:bCs w:val="0"/>
                          <w:color w:val="FFFDF5"/>
                          <w:lang w:val="en-US" w:eastAsia="zh-CN"/>
                        </w:rPr>
                        <w:t>资源</w:t>
                      </w:r>
                    </w:p>
                  </w:txbxContent>
                </v:textbox>
              </v:shap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233680</wp:posOffset>
                </wp:positionH>
                <wp:positionV relativeFrom="paragraph">
                  <wp:posOffset>8129270</wp:posOffset>
                </wp:positionV>
                <wp:extent cx="206375" cy="262255"/>
                <wp:effectExtent l="12700" t="12700" r="28575" b="29845"/>
                <wp:wrapNone/>
                <wp:docPr id="4" name="矩形 4"/>
                <wp:cNvGraphicFramePr/>
                <a:graphic xmlns:a="http://schemas.openxmlformats.org/drawingml/2006/main">
                  <a:graphicData uri="http://schemas.microsoft.com/office/word/2010/wordprocessingShape">
                    <wps:wsp>
                      <wps:cNvSpPr/>
                      <wps:spPr>
                        <a:xfrm>
                          <a:off x="0" y="0"/>
                          <a:ext cx="206375" cy="262255"/>
                        </a:xfrm>
                        <a:prstGeom prst="rect">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4pt;margin-top:640.1pt;height:20.65pt;width:16.25pt;z-index:251673600;v-text-anchor:middle;mso-width-relative:page;mso-height-relative:page;" fillcolor="#FF0000" filled="t" stroked="t" coordsize="21600,21600" o:gfxdata="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BgD8O2AAAAAsBAAAPAAAAAAAAAAEAIAAAACIAAABkcnMvZG93bnJldi54bWxQSwECFAAU&#10;AAAACACHTuJAZLuW52MCAADqBAAADgAAAAAAAAABACAAAAAnAQAAZHJzL2Uyb0RvYy54bWxQSwUG&#10;AAAAAAYABgBZAQAA/AUAAAAA&#10;">
                <v:fill on="t" focussize="0,0"/>
                <v:stroke weight="2pt" color="#FF0000" joinstyle="round"/>
                <v:imagedata o:title=""/>
                <o:lock v:ext="edit" aspectratio="f"/>
              </v:rect>
            </w:pict>
          </mc:Fallback>
        </mc:AlternateContent>
      </w:r>
      <w:r>
        <w:rPr>
          <w:rFonts w:hint="eastAsia" w:ascii="Times New Roman" w:hAnsi="Times New Roman" w:cs="Times New Roman"/>
          <w:spacing w:val="-12"/>
          <w:sz w:val="28"/>
          <w:szCs w:val="28"/>
          <w:lang w:eastAsia="zh-CN"/>
        </w:rPr>
        <w:t>、</w:t>
      </w:r>
      <w:r>
        <w:rPr>
          <w:rFonts w:ascii="Times New Roman" w:hAnsi="Times New Roman" w:eastAsia="宋体" w:cs="Times New Roman"/>
          <w:lang w:eastAsia="zh-CN"/>
        </w:rPr>
        <w:drawing>
          <wp:inline distT="0" distB="0" distL="114300" distR="114300">
            <wp:extent cx="5219065" cy="7603490"/>
            <wp:effectExtent l="0" t="0" r="635" b="16510"/>
            <wp:docPr id="72" name="图片 72" descr="0b642cff8785af266ac76cb521e5e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0b642cff8785af266ac76cb521e5ee3"/>
                    <pic:cNvPicPr>
                      <a:picLocks noChangeAspect="1"/>
                    </pic:cNvPicPr>
                  </pic:nvPicPr>
                  <pic:blipFill>
                    <a:blip r:embed="rId21"/>
                    <a:stretch>
                      <a:fillRect/>
                    </a:stretch>
                  </pic:blipFill>
                  <pic:spPr>
                    <a:xfrm>
                      <a:off x="0" y="0"/>
                      <a:ext cx="5219065" cy="7603490"/>
                    </a:xfrm>
                    <a:prstGeom prst="rect">
                      <a:avLst/>
                    </a:prstGeom>
                  </pic:spPr>
                </pic:pic>
              </a:graphicData>
            </a:graphic>
          </wp:inline>
        </w:drawing>
      </w:r>
    </w:p>
    <w:p w14:paraId="7B4121CD">
      <w:pPr>
        <w:pStyle w:val="44"/>
        <w:jc w:val="center"/>
        <w:rPr>
          <w:rFonts w:hint="default" w:ascii="宋体" w:hAnsi="宋体" w:eastAsia="宋体" w:cs="宋体"/>
          <w:bCs/>
          <w:color w:val="auto"/>
          <w:kern w:val="0"/>
          <w:sz w:val="28"/>
          <w:szCs w:val="28"/>
          <w:highlight w:val="none"/>
          <w:lang w:val="en-US" w:eastAsia="zh-CN"/>
        </w:rPr>
      </w:pPr>
      <w:r>
        <w:rPr>
          <w:rFonts w:hint="eastAsia" w:hAnsi="宋体"/>
          <w:b/>
          <w:color w:val="auto"/>
          <w:sz w:val="28"/>
          <w:lang w:val="en-US" w:eastAsia="zh-CN"/>
        </w:rPr>
        <w:t xml:space="preserve">图9 </w:t>
      </w:r>
      <w:r>
        <w:rPr>
          <w:rFonts w:hint="eastAsia" w:hAnsi="宋体"/>
          <w:b/>
          <w:color w:val="auto"/>
          <w:sz w:val="28"/>
          <w:lang w:val="zh-CN"/>
        </w:rPr>
        <w:t>附近消防队位置图及路线图</w:t>
      </w:r>
    </w:p>
    <w:p w14:paraId="1B2BC0B6">
      <w:pPr>
        <w:pStyle w:val="2"/>
        <w:rPr>
          <w:color w:val="auto"/>
          <w:highlight w:val="none"/>
        </w:rPr>
      </w:pPr>
      <w:r>
        <w:drawing>
          <wp:inline distT="0" distB="0" distL="114300" distR="114300">
            <wp:extent cx="5960745" cy="6774815"/>
            <wp:effectExtent l="0" t="0" r="1905" b="698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2"/>
                    <a:stretch>
                      <a:fillRect/>
                    </a:stretch>
                  </pic:blipFill>
                  <pic:spPr>
                    <a:xfrm>
                      <a:off x="0" y="0"/>
                      <a:ext cx="5960745" cy="6774815"/>
                    </a:xfrm>
                    <a:prstGeom prst="rect">
                      <a:avLst/>
                    </a:prstGeom>
                    <a:noFill/>
                    <a:ln>
                      <a:noFill/>
                    </a:ln>
                  </pic:spPr>
                </pic:pic>
              </a:graphicData>
            </a:graphic>
          </wp:inline>
        </w:drawing>
      </w:r>
    </w:p>
    <w:p w14:paraId="0844F628">
      <w:pPr>
        <w:rPr>
          <w:color w:val="auto"/>
          <w:highlight w:val="none"/>
        </w:rPr>
      </w:pPr>
    </w:p>
    <w:p w14:paraId="0D45A2B7">
      <w:pPr>
        <w:wordWrap w:val="0"/>
        <w:adjustRightInd w:val="0"/>
        <w:snapToGrid w:val="0"/>
        <w:spacing w:line="560" w:lineRule="exact"/>
        <w:outlineLvl w:val="0"/>
        <w:rPr>
          <w:rFonts w:ascii="黑体" w:hAnsi="黑体" w:eastAsia="黑体" w:cs="黑体"/>
          <w:bCs/>
          <w:color w:val="auto"/>
          <w:sz w:val="30"/>
          <w:highlight w:val="none"/>
        </w:rPr>
      </w:pPr>
      <w:bookmarkStart w:id="632" w:name="_Toc26291"/>
      <w:bookmarkStart w:id="633" w:name="_Toc22136"/>
      <w:r>
        <w:rPr>
          <w:rFonts w:hint="eastAsia" w:ascii="黑体" w:hAnsi="黑体" w:eastAsia="黑体" w:cs="黑体"/>
          <w:bCs/>
          <w:color w:val="auto"/>
          <w:sz w:val="30"/>
          <w:highlight w:val="none"/>
        </w:rPr>
        <w:t>8 有关协议或者备忘录</w:t>
      </w:r>
      <w:bookmarkEnd w:id="625"/>
      <w:bookmarkEnd w:id="626"/>
      <w:bookmarkEnd w:id="627"/>
      <w:bookmarkEnd w:id="628"/>
      <w:bookmarkEnd w:id="629"/>
      <w:bookmarkEnd w:id="630"/>
      <w:bookmarkEnd w:id="631"/>
      <w:bookmarkEnd w:id="632"/>
      <w:bookmarkEnd w:id="633"/>
    </w:p>
    <w:p w14:paraId="298131B3">
      <w:pPr>
        <w:pStyle w:val="2"/>
        <w:ind w:left="0" w:leftChars="0" w:firstLine="0" w:firstLineChars="0"/>
        <w:rPr>
          <w:rFonts w:hint="eastAsia" w:ascii="宋体" w:hAnsi="宋体" w:eastAsia="宋体" w:cs="宋体"/>
          <w:b/>
          <w:color w:val="auto"/>
          <w:kern w:val="0"/>
          <w:sz w:val="28"/>
          <w:szCs w:val="28"/>
          <w:highlight w:val="none"/>
          <w:lang w:val="zh-CN" w:eastAsia="zh-CN" w:bidi="ar-SA"/>
        </w:rPr>
      </w:pPr>
      <w:bookmarkStart w:id="634" w:name="_Toc29768"/>
      <w:r>
        <w:rPr>
          <w:rFonts w:hint="eastAsia" w:ascii="楷体_GB2312" w:hAnsi="楷体_GB2312" w:eastAsia="楷体_GB2312" w:cs="楷体_GB2312"/>
          <w:bCs/>
          <w:color w:val="auto"/>
          <w:sz w:val="28"/>
          <w:szCs w:val="28"/>
          <w:highlight w:val="none"/>
        </w:rPr>
        <w:t>8.1救护协议书</w:t>
      </w:r>
      <w:bookmarkEnd w:id="0"/>
      <w:bookmarkEnd w:id="623"/>
      <w:bookmarkEnd w:id="624"/>
      <w:bookmarkEnd w:id="634"/>
    </w:p>
    <w:p w14:paraId="5D671F6B">
      <w:pPr>
        <w:rPr>
          <w:rFonts w:ascii="Times New Roman" w:hAnsi="Times New Roman" w:eastAsia="宋体" w:cs="Times New Roman"/>
          <w:b/>
          <w:bCs/>
          <w:color w:val="auto"/>
          <w:sz w:val="28"/>
          <w:szCs w:val="28"/>
          <w:highlight w:val="none"/>
          <w:lang w:eastAsia="zh-CN"/>
        </w:rPr>
      </w:pPr>
      <w:r>
        <w:rPr>
          <w:rFonts w:ascii="Times New Roman" w:hAnsi="Times New Roman" w:eastAsia="宋体" w:cs="Times New Roman"/>
          <w:b/>
          <w:bCs/>
          <w:color w:val="auto"/>
          <w:sz w:val="28"/>
          <w:szCs w:val="28"/>
          <w:highlight w:val="none"/>
          <w:lang w:eastAsia="zh-CN"/>
        </w:rPr>
        <w:drawing>
          <wp:inline distT="0" distB="0" distL="114300" distR="114300">
            <wp:extent cx="5560060" cy="5887085"/>
            <wp:effectExtent l="0" t="0" r="2540" b="18415"/>
            <wp:docPr id="3" name="图片 3" descr="医疗应急救援协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医疗应急救援协议_01"/>
                    <pic:cNvPicPr>
                      <a:picLocks noChangeAspect="1"/>
                    </pic:cNvPicPr>
                  </pic:nvPicPr>
                  <pic:blipFill>
                    <a:blip r:embed="rId23"/>
                    <a:srcRect b="3995"/>
                    <a:stretch>
                      <a:fillRect/>
                    </a:stretch>
                  </pic:blipFill>
                  <pic:spPr>
                    <a:xfrm>
                      <a:off x="0" y="0"/>
                      <a:ext cx="5560060" cy="5887085"/>
                    </a:xfrm>
                    <a:prstGeom prst="rect">
                      <a:avLst/>
                    </a:prstGeom>
                  </pic:spPr>
                </pic:pic>
              </a:graphicData>
            </a:graphic>
          </wp:inline>
        </w:drawing>
      </w:r>
    </w:p>
    <w:p w14:paraId="62E43351">
      <w:pPr>
        <w:rPr>
          <w:rFonts w:ascii="Times New Roman" w:hAnsi="Times New Roman" w:eastAsia="宋体" w:cs="Times New Roman"/>
          <w:b/>
          <w:bCs/>
          <w:color w:val="auto"/>
          <w:sz w:val="28"/>
          <w:szCs w:val="28"/>
          <w:highlight w:val="none"/>
          <w:lang w:eastAsia="zh-CN"/>
        </w:rPr>
      </w:pPr>
      <w:r>
        <w:rPr>
          <w:rFonts w:ascii="Times New Roman" w:hAnsi="Times New Roman" w:eastAsia="宋体" w:cs="Times New Roman"/>
          <w:b/>
          <w:bCs/>
          <w:color w:val="auto"/>
          <w:sz w:val="28"/>
          <w:szCs w:val="28"/>
          <w:highlight w:val="none"/>
          <w:lang w:eastAsia="zh-CN"/>
        </w:rPr>
        <w:drawing>
          <wp:inline distT="0" distB="0" distL="114300" distR="114300">
            <wp:extent cx="6249035" cy="8844915"/>
            <wp:effectExtent l="0" t="0" r="18415" b="13335"/>
            <wp:docPr id="145" name="图片 145" descr="医疗应急救援协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医疗应急救援协议_02"/>
                    <pic:cNvPicPr>
                      <a:picLocks noChangeAspect="1"/>
                    </pic:cNvPicPr>
                  </pic:nvPicPr>
                  <pic:blipFill>
                    <a:blip r:embed="rId24"/>
                    <a:stretch>
                      <a:fillRect/>
                    </a:stretch>
                  </pic:blipFill>
                  <pic:spPr>
                    <a:xfrm>
                      <a:off x="0" y="0"/>
                      <a:ext cx="6249035" cy="8844915"/>
                    </a:xfrm>
                    <a:prstGeom prst="rect">
                      <a:avLst/>
                    </a:prstGeom>
                  </pic:spPr>
                </pic:pic>
              </a:graphicData>
            </a:graphic>
          </wp:inline>
        </w:drawing>
      </w:r>
    </w:p>
    <w:p w14:paraId="58213015">
      <w:pPr>
        <w:rPr>
          <w:rFonts w:ascii="Times New Roman" w:hAnsi="Times New Roman" w:eastAsia="宋体" w:cs="Times New Roman"/>
          <w:b/>
          <w:bCs/>
          <w:color w:val="auto"/>
          <w:sz w:val="28"/>
          <w:szCs w:val="28"/>
          <w:highlight w:val="none"/>
          <w:lang w:eastAsia="zh-CN"/>
        </w:rPr>
      </w:pPr>
      <w:r>
        <w:rPr>
          <w:rFonts w:ascii="Times New Roman" w:hAnsi="Times New Roman" w:eastAsia="宋体" w:cs="Times New Roman"/>
          <w:b/>
          <w:bCs/>
          <w:color w:val="auto"/>
          <w:sz w:val="28"/>
          <w:szCs w:val="28"/>
          <w:highlight w:val="none"/>
          <w:lang w:eastAsia="zh-CN"/>
        </w:rPr>
        <w:drawing>
          <wp:inline distT="0" distB="0" distL="114300" distR="114300">
            <wp:extent cx="6191250" cy="8763000"/>
            <wp:effectExtent l="0" t="0" r="0" b="0"/>
            <wp:docPr id="146" name="图片 146" descr="医疗应急救援协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医疗应急救援协议_03"/>
                    <pic:cNvPicPr>
                      <a:picLocks noChangeAspect="1"/>
                    </pic:cNvPicPr>
                  </pic:nvPicPr>
                  <pic:blipFill>
                    <a:blip r:embed="rId25"/>
                    <a:stretch>
                      <a:fillRect/>
                    </a:stretch>
                  </pic:blipFill>
                  <pic:spPr>
                    <a:xfrm>
                      <a:off x="0" y="0"/>
                      <a:ext cx="6191250" cy="8763000"/>
                    </a:xfrm>
                    <a:prstGeom prst="rect">
                      <a:avLst/>
                    </a:prstGeom>
                  </pic:spPr>
                </pic:pic>
              </a:graphicData>
            </a:graphic>
          </wp:inline>
        </w:drawing>
      </w:r>
    </w:p>
    <w:p w14:paraId="0BE86691">
      <w:pPr>
        <w:rPr>
          <w:rFonts w:ascii="Times New Roman" w:hAnsi="Times New Roman" w:eastAsia="宋体" w:cs="Times New Roman"/>
          <w:color w:val="auto"/>
          <w:sz w:val="2"/>
          <w:highlight w:val="none"/>
        </w:rPr>
      </w:pPr>
      <w:r>
        <w:rPr>
          <w:rFonts w:ascii="Times New Roman" w:hAnsi="Times New Roman" w:eastAsia="宋体" w:cs="Times New Roman"/>
          <w:color w:val="auto"/>
          <w:sz w:val="2"/>
          <w:highlight w:val="none"/>
        </w:rPr>
        <w:drawing>
          <wp:inline distT="0" distB="0" distL="114300" distR="114300">
            <wp:extent cx="6060440" cy="8228965"/>
            <wp:effectExtent l="0" t="0" r="16510" b="635"/>
            <wp:docPr id="131" name="图片 131" descr="医疗应急救援协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医疗应急救援协议_04"/>
                    <pic:cNvPicPr>
                      <a:picLocks noChangeAspect="1"/>
                    </pic:cNvPicPr>
                  </pic:nvPicPr>
                  <pic:blipFill>
                    <a:blip r:embed="rId26"/>
                    <a:srcRect b="4078"/>
                    <a:stretch>
                      <a:fillRect/>
                    </a:stretch>
                  </pic:blipFill>
                  <pic:spPr>
                    <a:xfrm>
                      <a:off x="0" y="0"/>
                      <a:ext cx="6060440" cy="8228965"/>
                    </a:xfrm>
                    <a:prstGeom prst="rect">
                      <a:avLst/>
                    </a:prstGeom>
                  </pic:spPr>
                </pic:pic>
              </a:graphicData>
            </a:graphic>
          </wp:inline>
        </w:drawing>
      </w:r>
    </w:p>
    <w:p w14:paraId="16A7AE0E">
      <w:pPr>
        <w:wordWrap w:val="0"/>
        <w:spacing w:line="480" w:lineRule="exact"/>
        <w:rPr>
          <w:rFonts w:hint="eastAsia" w:ascii="楷体_GB2312" w:hAnsi="楷体_GB2312" w:eastAsia="楷体_GB2312" w:cs="楷体_GB2312"/>
          <w:bCs/>
          <w:color w:val="auto"/>
          <w:sz w:val="28"/>
          <w:szCs w:val="28"/>
          <w:highlight w:val="none"/>
          <w:lang w:eastAsia="zh-CN"/>
        </w:rPr>
      </w:pPr>
      <w:r>
        <w:rPr>
          <w:rFonts w:hint="eastAsia" w:ascii="楷体_GB2312" w:hAnsi="楷体_GB2312" w:eastAsia="楷体_GB2312" w:cs="楷体_GB2312"/>
          <w:bCs/>
          <w:color w:val="auto"/>
          <w:sz w:val="28"/>
          <w:szCs w:val="28"/>
          <w:highlight w:val="none"/>
          <w:lang w:eastAsia="zh-CN"/>
        </w:rPr>
        <w:drawing>
          <wp:anchor distT="0" distB="0" distL="114300" distR="114300" simplePos="0" relativeHeight="251665408" behindDoc="0" locked="0" layoutInCell="1" allowOverlap="1">
            <wp:simplePos x="0" y="0"/>
            <wp:positionH relativeFrom="column">
              <wp:posOffset>-184150</wp:posOffset>
            </wp:positionH>
            <wp:positionV relativeFrom="paragraph">
              <wp:posOffset>-666750</wp:posOffset>
            </wp:positionV>
            <wp:extent cx="5591175" cy="7914005"/>
            <wp:effectExtent l="0" t="0" r="9525" b="10795"/>
            <wp:wrapSquare wrapText="bothSides"/>
            <wp:docPr id="7" name="图片 7" descr="长城一矿应急救援协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长城一矿应急救援协议_01"/>
                    <pic:cNvPicPr>
                      <a:picLocks noChangeAspect="1"/>
                    </pic:cNvPicPr>
                  </pic:nvPicPr>
                  <pic:blipFill>
                    <a:blip r:embed="rId27"/>
                    <a:stretch>
                      <a:fillRect/>
                    </a:stretch>
                  </pic:blipFill>
                  <pic:spPr>
                    <a:xfrm>
                      <a:off x="0" y="0"/>
                      <a:ext cx="5591175" cy="7914005"/>
                    </a:xfrm>
                    <a:prstGeom prst="rect">
                      <a:avLst/>
                    </a:prstGeom>
                  </pic:spPr>
                </pic:pic>
              </a:graphicData>
            </a:graphic>
          </wp:anchor>
        </w:drawing>
      </w:r>
    </w:p>
    <w:p w14:paraId="7431D1A0">
      <w:pPr>
        <w:wordWrap w:val="0"/>
        <w:spacing w:line="480" w:lineRule="exact"/>
        <w:rPr>
          <w:rFonts w:hint="eastAsia" w:ascii="楷体_GB2312" w:hAnsi="楷体_GB2312" w:eastAsia="楷体_GB2312" w:cs="楷体_GB2312"/>
          <w:bCs/>
          <w:color w:val="auto"/>
          <w:sz w:val="28"/>
          <w:szCs w:val="28"/>
          <w:highlight w:val="none"/>
          <w:lang w:eastAsia="zh-CN"/>
        </w:rPr>
      </w:pPr>
    </w:p>
    <w:p w14:paraId="450BBC9C">
      <w:pPr>
        <w:wordWrap w:val="0"/>
        <w:spacing w:line="480" w:lineRule="exact"/>
        <w:rPr>
          <w:rFonts w:hint="eastAsia" w:ascii="楷体_GB2312" w:hAnsi="楷体_GB2312" w:eastAsia="楷体_GB2312" w:cs="楷体_GB2312"/>
          <w:bCs/>
          <w:color w:val="auto"/>
          <w:sz w:val="28"/>
          <w:szCs w:val="28"/>
          <w:highlight w:val="none"/>
          <w:lang w:eastAsia="zh-CN"/>
        </w:rPr>
      </w:pPr>
      <w:r>
        <w:rPr>
          <w:rFonts w:hint="eastAsia" w:ascii="楷体_GB2312" w:hAnsi="楷体_GB2312" w:eastAsia="楷体_GB2312" w:cs="楷体_GB2312"/>
          <w:bCs/>
          <w:color w:val="auto"/>
          <w:sz w:val="28"/>
          <w:szCs w:val="28"/>
          <w:highlight w:val="none"/>
          <w:lang w:eastAsia="zh-CN"/>
        </w:rPr>
        <w:drawing>
          <wp:anchor distT="0" distB="0" distL="114300" distR="114300" simplePos="0" relativeHeight="251666432" behindDoc="0" locked="0" layoutInCell="1" allowOverlap="1">
            <wp:simplePos x="0" y="0"/>
            <wp:positionH relativeFrom="column">
              <wp:posOffset>-123190</wp:posOffset>
            </wp:positionH>
            <wp:positionV relativeFrom="paragraph">
              <wp:posOffset>257175</wp:posOffset>
            </wp:positionV>
            <wp:extent cx="5591175" cy="7914005"/>
            <wp:effectExtent l="0" t="0" r="9525" b="10795"/>
            <wp:wrapSquare wrapText="bothSides"/>
            <wp:docPr id="8" name="图片 8" descr="长城一矿应急救援协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长城一矿应急救援协议_02"/>
                    <pic:cNvPicPr>
                      <a:picLocks noChangeAspect="1"/>
                    </pic:cNvPicPr>
                  </pic:nvPicPr>
                  <pic:blipFill>
                    <a:blip r:embed="rId28"/>
                    <a:stretch>
                      <a:fillRect/>
                    </a:stretch>
                  </pic:blipFill>
                  <pic:spPr>
                    <a:xfrm>
                      <a:off x="0" y="0"/>
                      <a:ext cx="5591175" cy="7914005"/>
                    </a:xfrm>
                    <a:prstGeom prst="rect">
                      <a:avLst/>
                    </a:prstGeom>
                  </pic:spPr>
                </pic:pic>
              </a:graphicData>
            </a:graphic>
          </wp:anchor>
        </w:drawing>
      </w:r>
    </w:p>
    <w:p w14:paraId="5294B9E0">
      <w:pPr>
        <w:wordWrap w:val="0"/>
        <w:spacing w:line="480" w:lineRule="exact"/>
        <w:rPr>
          <w:rFonts w:hint="eastAsia" w:ascii="楷体_GB2312" w:hAnsi="楷体_GB2312" w:eastAsia="楷体_GB2312" w:cs="楷体_GB2312"/>
          <w:bCs/>
          <w:color w:val="auto"/>
          <w:sz w:val="28"/>
          <w:szCs w:val="28"/>
          <w:highlight w:val="none"/>
          <w:lang w:eastAsia="zh-CN"/>
        </w:rPr>
      </w:pPr>
      <w:r>
        <w:rPr>
          <w:rFonts w:hint="eastAsia" w:ascii="楷体_GB2312" w:hAnsi="楷体_GB2312" w:eastAsia="楷体_GB2312" w:cs="楷体_GB2312"/>
          <w:bCs/>
          <w:color w:val="auto"/>
          <w:sz w:val="28"/>
          <w:szCs w:val="28"/>
          <w:highlight w:val="none"/>
          <w:lang w:eastAsia="zh-CN"/>
        </w:rPr>
        <w:drawing>
          <wp:anchor distT="0" distB="0" distL="114300" distR="114300" simplePos="0" relativeHeight="251667456" behindDoc="0" locked="0" layoutInCell="1" allowOverlap="1">
            <wp:simplePos x="0" y="0"/>
            <wp:positionH relativeFrom="column">
              <wp:posOffset>-143510</wp:posOffset>
            </wp:positionH>
            <wp:positionV relativeFrom="paragraph">
              <wp:posOffset>419100</wp:posOffset>
            </wp:positionV>
            <wp:extent cx="5591175" cy="7914005"/>
            <wp:effectExtent l="0" t="0" r="9525" b="10795"/>
            <wp:wrapSquare wrapText="bothSides"/>
            <wp:docPr id="11" name="图片 11" descr="长城一矿应急救援协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长城一矿应急救援协议_03"/>
                    <pic:cNvPicPr>
                      <a:picLocks noChangeAspect="1"/>
                    </pic:cNvPicPr>
                  </pic:nvPicPr>
                  <pic:blipFill>
                    <a:blip r:embed="rId29"/>
                    <a:stretch>
                      <a:fillRect/>
                    </a:stretch>
                  </pic:blipFill>
                  <pic:spPr>
                    <a:xfrm>
                      <a:off x="0" y="0"/>
                      <a:ext cx="5591175" cy="7914005"/>
                    </a:xfrm>
                    <a:prstGeom prst="rect">
                      <a:avLst/>
                    </a:prstGeom>
                  </pic:spPr>
                </pic:pic>
              </a:graphicData>
            </a:graphic>
          </wp:anchor>
        </w:drawing>
      </w:r>
    </w:p>
    <w:p w14:paraId="60404C33">
      <w:pPr>
        <w:wordWrap w:val="0"/>
        <w:spacing w:line="480" w:lineRule="exact"/>
        <w:rPr>
          <w:rFonts w:hint="eastAsia" w:ascii="楷体_GB2312" w:hAnsi="楷体_GB2312" w:eastAsia="楷体_GB2312" w:cs="楷体_GB2312"/>
          <w:bCs/>
          <w:color w:val="auto"/>
          <w:sz w:val="28"/>
          <w:szCs w:val="28"/>
          <w:highlight w:val="none"/>
          <w:lang w:eastAsia="zh-CN"/>
        </w:rPr>
      </w:pPr>
    </w:p>
    <w:p w14:paraId="4D8A4FC4">
      <w:pPr>
        <w:wordWrap w:val="0"/>
        <w:spacing w:line="480" w:lineRule="exact"/>
        <w:rPr>
          <w:rFonts w:hint="eastAsia" w:ascii="楷体_GB2312" w:hAnsi="楷体_GB2312" w:eastAsia="楷体_GB2312" w:cs="楷体_GB2312"/>
          <w:bCs/>
          <w:color w:val="auto"/>
          <w:sz w:val="28"/>
          <w:szCs w:val="28"/>
          <w:highlight w:val="none"/>
          <w:lang w:eastAsia="zh-CN"/>
        </w:rPr>
      </w:pPr>
    </w:p>
    <w:p w14:paraId="47A4CA18">
      <w:pPr>
        <w:pStyle w:val="2"/>
        <w:rPr>
          <w:rFonts w:hint="eastAsia" w:ascii="楷体_GB2312" w:hAnsi="楷体_GB2312" w:eastAsia="楷体_GB2312" w:cs="楷体_GB2312"/>
          <w:bCs/>
          <w:color w:val="auto"/>
          <w:sz w:val="28"/>
          <w:szCs w:val="28"/>
          <w:highlight w:val="none"/>
          <w:lang w:eastAsia="zh-CN"/>
        </w:rPr>
      </w:pPr>
    </w:p>
    <w:p w14:paraId="6CC7967A">
      <w:pPr>
        <w:rPr>
          <w:rFonts w:hint="eastAsia" w:ascii="楷体_GB2312" w:hAnsi="楷体_GB2312" w:eastAsia="楷体_GB2312" w:cs="楷体_GB2312"/>
          <w:bCs/>
          <w:color w:val="auto"/>
          <w:sz w:val="28"/>
          <w:szCs w:val="28"/>
          <w:highlight w:val="none"/>
          <w:lang w:eastAsia="zh-CN"/>
        </w:rPr>
      </w:pPr>
    </w:p>
    <w:p w14:paraId="196393E8">
      <w:pPr>
        <w:pStyle w:val="2"/>
        <w:rPr>
          <w:rFonts w:hint="eastAsia" w:ascii="楷体_GB2312" w:hAnsi="楷体_GB2312" w:eastAsia="楷体_GB2312" w:cs="楷体_GB2312"/>
          <w:bCs/>
          <w:color w:val="auto"/>
          <w:sz w:val="28"/>
          <w:szCs w:val="28"/>
          <w:highlight w:val="none"/>
          <w:lang w:eastAsia="zh-CN"/>
        </w:rPr>
      </w:pPr>
    </w:p>
    <w:p w14:paraId="491B7C84">
      <w:pPr>
        <w:rPr>
          <w:rFonts w:hint="eastAsia" w:ascii="楷体_GB2312" w:hAnsi="楷体_GB2312" w:eastAsia="楷体_GB2312" w:cs="楷体_GB2312"/>
          <w:bCs/>
          <w:color w:val="auto"/>
          <w:sz w:val="28"/>
          <w:szCs w:val="28"/>
          <w:highlight w:val="none"/>
          <w:lang w:eastAsia="zh-CN"/>
        </w:rPr>
      </w:pPr>
    </w:p>
    <w:p w14:paraId="0E7EE5DD">
      <w:pPr>
        <w:pStyle w:val="2"/>
        <w:rPr>
          <w:rFonts w:hint="eastAsia" w:ascii="楷体_GB2312" w:hAnsi="楷体_GB2312" w:eastAsia="楷体_GB2312" w:cs="楷体_GB2312"/>
          <w:bCs/>
          <w:color w:val="auto"/>
          <w:sz w:val="28"/>
          <w:szCs w:val="28"/>
          <w:highlight w:val="none"/>
          <w:lang w:eastAsia="zh-CN"/>
        </w:rPr>
      </w:pPr>
    </w:p>
    <w:p w14:paraId="46DC396F">
      <w:pPr>
        <w:rPr>
          <w:rFonts w:hint="eastAsia" w:ascii="楷体_GB2312" w:hAnsi="楷体_GB2312" w:eastAsia="楷体_GB2312" w:cs="楷体_GB2312"/>
          <w:bCs/>
          <w:color w:val="auto"/>
          <w:sz w:val="28"/>
          <w:szCs w:val="28"/>
          <w:highlight w:val="none"/>
          <w:lang w:eastAsia="zh-CN"/>
        </w:rPr>
      </w:pPr>
    </w:p>
    <w:p w14:paraId="134A2242">
      <w:pPr>
        <w:pStyle w:val="2"/>
        <w:rPr>
          <w:rFonts w:hint="eastAsia" w:ascii="楷体_GB2312" w:hAnsi="楷体_GB2312" w:eastAsia="楷体_GB2312" w:cs="楷体_GB2312"/>
          <w:bCs/>
          <w:color w:val="auto"/>
          <w:sz w:val="28"/>
          <w:szCs w:val="28"/>
          <w:highlight w:val="none"/>
          <w:lang w:eastAsia="zh-CN"/>
        </w:rPr>
      </w:pPr>
    </w:p>
    <w:p w14:paraId="4CFE9315">
      <w:pPr>
        <w:rPr>
          <w:rFonts w:hint="eastAsia" w:ascii="楷体_GB2312" w:hAnsi="楷体_GB2312" w:eastAsia="楷体_GB2312" w:cs="楷体_GB2312"/>
          <w:bCs/>
          <w:color w:val="auto"/>
          <w:sz w:val="28"/>
          <w:szCs w:val="28"/>
          <w:highlight w:val="none"/>
          <w:lang w:eastAsia="zh-CN"/>
        </w:rPr>
      </w:pPr>
    </w:p>
    <w:p w14:paraId="5D7C818E">
      <w:pPr>
        <w:pStyle w:val="2"/>
        <w:rPr>
          <w:rFonts w:hint="eastAsia" w:ascii="楷体_GB2312" w:hAnsi="楷体_GB2312" w:eastAsia="楷体_GB2312" w:cs="楷体_GB2312"/>
          <w:bCs/>
          <w:color w:val="auto"/>
          <w:sz w:val="28"/>
          <w:szCs w:val="28"/>
          <w:highlight w:val="none"/>
          <w:lang w:eastAsia="zh-CN"/>
        </w:rPr>
      </w:pPr>
    </w:p>
    <w:p w14:paraId="539BCFE3">
      <w:pPr>
        <w:rPr>
          <w:rFonts w:hint="eastAsia" w:ascii="楷体_GB2312" w:hAnsi="楷体_GB2312" w:eastAsia="楷体_GB2312" w:cs="楷体_GB2312"/>
          <w:bCs/>
          <w:color w:val="auto"/>
          <w:sz w:val="28"/>
          <w:szCs w:val="28"/>
          <w:highlight w:val="none"/>
          <w:lang w:eastAsia="zh-CN"/>
        </w:rPr>
      </w:pPr>
    </w:p>
    <w:p w14:paraId="1163E320">
      <w:pPr>
        <w:pStyle w:val="2"/>
        <w:rPr>
          <w:rFonts w:hint="eastAsia" w:ascii="楷体_GB2312" w:hAnsi="楷体_GB2312" w:eastAsia="楷体_GB2312" w:cs="楷体_GB2312"/>
          <w:bCs/>
          <w:color w:val="auto"/>
          <w:sz w:val="28"/>
          <w:szCs w:val="28"/>
          <w:highlight w:val="none"/>
          <w:lang w:eastAsia="zh-CN"/>
        </w:rPr>
      </w:pPr>
    </w:p>
    <w:p w14:paraId="0536986B">
      <w:pPr>
        <w:rPr>
          <w:rFonts w:hint="eastAsia"/>
          <w:color w:val="auto"/>
          <w:highlight w:val="none"/>
          <w:lang w:eastAsia="zh-CN"/>
        </w:rPr>
      </w:pPr>
    </w:p>
    <w:p w14:paraId="3A383F74">
      <w:pPr>
        <w:wordWrap w:val="0"/>
        <w:spacing w:line="480" w:lineRule="exact"/>
        <w:rPr>
          <w:rFonts w:hint="eastAsia" w:ascii="楷体_GB2312" w:hAnsi="楷体_GB2312" w:eastAsia="楷体_GB2312" w:cs="楷体_GB2312"/>
          <w:bCs/>
          <w:color w:val="auto"/>
          <w:sz w:val="28"/>
          <w:szCs w:val="28"/>
          <w:highlight w:val="none"/>
          <w:lang w:eastAsia="zh-CN"/>
        </w:rPr>
      </w:pPr>
    </w:p>
    <w:p w14:paraId="78EDFBC4">
      <w:pPr>
        <w:wordWrap w:val="0"/>
        <w:spacing w:line="480" w:lineRule="exact"/>
        <w:rPr>
          <w:rFonts w:hint="eastAsia" w:ascii="楷体_GB2312" w:hAnsi="楷体_GB2312" w:eastAsia="楷体_GB2312" w:cs="楷体_GB2312"/>
          <w:bCs/>
          <w:color w:val="auto"/>
          <w:sz w:val="28"/>
          <w:szCs w:val="28"/>
          <w:highlight w:val="none"/>
          <w:lang w:eastAsia="zh-CN"/>
        </w:rPr>
      </w:pPr>
    </w:p>
    <w:p w14:paraId="341B715F">
      <w:pPr>
        <w:wordWrap w:val="0"/>
        <w:spacing w:line="480" w:lineRule="exact"/>
        <w:rPr>
          <w:rFonts w:hint="eastAsia" w:ascii="楷体_GB2312" w:hAnsi="楷体_GB2312" w:eastAsia="楷体_GB2312" w:cs="楷体_GB2312"/>
          <w:bCs/>
          <w:color w:val="auto"/>
          <w:sz w:val="28"/>
          <w:szCs w:val="28"/>
          <w:highlight w:val="none"/>
          <w:lang w:eastAsia="zh-CN"/>
        </w:rPr>
      </w:pPr>
    </w:p>
    <w:sectPr>
      <w:footerReference r:id="rId5" w:type="default"/>
      <w:pgSz w:w="11906" w:h="16838"/>
      <w:pgMar w:top="2098" w:right="1474" w:bottom="1984" w:left="1587" w:header="1417" w:footer="1134" w:gutter="0"/>
      <w:pgNumType w:fmt="numberInDash" w:start="1"/>
      <w:cols w:space="0" w:num="1"/>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CDF1996-0983-4014-AE1F-3002111D00B8}"/>
  </w:font>
  <w:font w:name="黑体">
    <w:panose1 w:val="02010600030101010101"/>
    <w:charset w:val="86"/>
    <w:family w:val="auto"/>
    <w:pitch w:val="default"/>
    <w:sig w:usb0="800002BF" w:usb1="38CF7CFA" w:usb2="00000016" w:usb3="00000000" w:csb0="00040001" w:csb1="00000000"/>
    <w:embedRegular r:id="rId2" w:fontKey="{FB5F1B99-2E79-45D8-A913-5081CCF432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6744CCAB-479A-449C-9CF7-88D46C827F2B}"/>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4" w:fontKey="{83A29F67-F171-4CEF-BAC8-C5AD74D91D7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2616C36D-B852-4317-A9D6-B803BB779BE4}"/>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embedRegular r:id="rId6" w:fontKey="{C909F83E-722F-44E2-AEF2-C42CF0B38333}"/>
  </w:font>
  <w:font w:name="楷体_GB2312">
    <w:panose1 w:val="02010609030101010101"/>
    <w:charset w:val="86"/>
    <w:family w:val="modern"/>
    <w:pitch w:val="default"/>
    <w:sig w:usb0="00000001" w:usb1="080E0000" w:usb2="00000000" w:usb3="00000000" w:csb0="00040000" w:csb1="00000000"/>
    <w:embedRegular r:id="rId7" w:fontKey="{91FE389D-24E0-4E1A-B065-ACACB45B4438}"/>
  </w:font>
  <w:font w:name="___WRD_EMBED_SUB_42">
    <w:altName w:val="宋体"/>
    <w:panose1 w:val="02010609030101010101"/>
    <w:charset w:val="86"/>
    <w:family w:val="modern"/>
    <w:pitch w:val="default"/>
    <w:sig w:usb0="00000000" w:usb1="00000000" w:usb2="00000010" w:usb3="00000000" w:csb0="00040000" w:csb1="00000000"/>
    <w:embedRegular r:id="rId8" w:fontKey="{31449B4A-D09A-47B7-B803-0C3BEBAF850F}"/>
  </w:font>
  <w:font w:name="等线">
    <w:panose1 w:val="02010600030101010101"/>
    <w:charset w:val="86"/>
    <w:family w:val="auto"/>
    <w:pitch w:val="default"/>
    <w:sig w:usb0="A00002BF" w:usb1="38CF7CFA" w:usb2="00000016" w:usb3="00000000" w:csb0="0004000F" w:csb1="00000000"/>
    <w:embedRegular r:id="rId9" w:fontKey="{E6339B47-32E4-4476-9D6A-B424B6088944}"/>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A8E91">
    <w:pPr>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75260"/>
              <wp:effectExtent l="0" t="0" r="0" b="0"/>
              <wp:wrapNone/>
              <wp:docPr id="141" name="文本框 1"/>
              <wp:cNvGraphicFramePr/>
              <a:graphic xmlns:a="http://schemas.openxmlformats.org/drawingml/2006/main">
                <a:graphicData uri="http://schemas.microsoft.com/office/word/2010/wordprocessingShape">
                  <wps:wsp>
                    <wps:cNvSpPr txBox="1"/>
                    <wps:spPr>
                      <a:xfrm>
                        <a:off x="0" y="0"/>
                        <a:ext cx="114935" cy="175260"/>
                      </a:xfrm>
                      <a:prstGeom prst="rect">
                        <a:avLst/>
                      </a:prstGeom>
                      <a:noFill/>
                      <a:ln>
                        <a:noFill/>
                      </a:ln>
                      <a:effectLst/>
                    </wps:spPr>
                    <wps:txbx>
                      <w:txbxContent>
                        <w:p w14:paraId="4A9EDA57">
                          <w:pPr>
                            <w:snapToGrid w:val="0"/>
                            <w:rPr>
                              <w:sz w:val="24"/>
                            </w:rPr>
                          </w:pPr>
                        </w:p>
                      </w:txbxContent>
                    </wps:txbx>
                    <wps:bodyPr wrap="none" lIns="0" tIns="0" rIns="0" bIns="0">
                      <a:spAutoFit/>
                    </wps:bodyPr>
                  </wps:wsp>
                </a:graphicData>
              </a:graphic>
            </wp:anchor>
          </w:drawing>
        </mc:Choice>
        <mc:Fallback>
          <w:pict>
            <v:shape id="文本框 1" o:spid="_x0000_s1026" o:spt="202" type="#_x0000_t202" style="position:absolute;left:0pt;margin-top:0pt;height:13.8pt;width:9.05pt;mso-position-horizontal:center;mso-position-horizontal-relative:margin;mso-wrap-style:none;z-index:251659264;mso-width-relative:page;mso-height-relative:page;" filled="f" stroked="f" coordsize="21600,21600" o:gfxdata="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jD2H/QAAAAAwEAAA8AAAAAAAAAAQAgAAAAIgAAAGRycy9kb3du&#10;cmV2LnhtbFBLAQIUABQAAAAIAIdO4kAOD2SzzgEAAJsDAAAOAAAAAAAAAAEAIAAAAB8BAABkcnMv&#10;ZTJvRG9jLnhtbFBLBQYAAAAABgAGAFkBAABfBQAAAAA=&#10;">
              <v:fill on="f" focussize="0,0"/>
              <v:stroke on="f"/>
              <v:imagedata o:title=""/>
              <o:lock v:ext="edit" aspectratio="f"/>
              <v:textbox inset="0mm,0mm,0mm,0mm" style="mso-fit-shape-to-text:t;">
                <w:txbxContent>
                  <w:p w14:paraId="4A9EDA57">
                    <w:pPr>
                      <w:snapToGrid w:val="0"/>
                      <w:rPr>
                        <w:sz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CD247">
    <w:pPr>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E5A62">
                          <w:pPr>
                            <w:pStyle w:val="1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- 297 -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6A1E5A62">
                    <w:pPr>
                      <w:pStyle w:val="1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- 297 -</w:t>
                    </w:r>
                    <w:r>
                      <w:rPr>
                        <w:rFonts w:hint="eastAsia" w:ascii="宋体" w:hAnsi="宋体" w:cs="宋体"/>
                        <w:sz w:val="28"/>
                        <w:szCs w:val="2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75260"/>
              <wp:effectExtent l="0" t="0" r="0" b="0"/>
              <wp:wrapNone/>
              <wp:docPr id="143" name="文本框 1"/>
              <wp:cNvGraphicFramePr/>
              <a:graphic xmlns:a="http://schemas.openxmlformats.org/drawingml/2006/main">
                <a:graphicData uri="http://schemas.microsoft.com/office/word/2010/wordprocessingShape">
                  <wps:wsp>
                    <wps:cNvSpPr txBox="1"/>
                    <wps:spPr>
                      <a:xfrm>
                        <a:off x="0" y="0"/>
                        <a:ext cx="114935" cy="175260"/>
                      </a:xfrm>
                      <a:prstGeom prst="rect">
                        <a:avLst/>
                      </a:prstGeom>
                      <a:noFill/>
                      <a:ln>
                        <a:noFill/>
                      </a:ln>
                      <a:effectLst/>
                    </wps:spPr>
                    <wps:txbx>
                      <w:txbxContent>
                        <w:p w14:paraId="715CD343">
                          <w:pPr>
                            <w:snapToGrid w:val="0"/>
                            <w:rPr>
                              <w:sz w:val="24"/>
                            </w:rPr>
                          </w:pPr>
                        </w:p>
                      </w:txbxContent>
                    </wps:txbx>
                    <wps:bodyPr wrap="none" lIns="0" tIns="0" rIns="0" bIns="0">
                      <a:spAutoFit/>
                    </wps:bodyPr>
                  </wps:wsp>
                </a:graphicData>
              </a:graphic>
            </wp:anchor>
          </w:drawing>
        </mc:Choice>
        <mc:Fallback>
          <w:pict>
            <v:shape id="文本框 1" o:spid="_x0000_s1026" o:spt="202" type="#_x0000_t202" style="position:absolute;left:0pt;margin-top:0pt;height:13.8pt;width:9.05pt;mso-position-horizontal:center;mso-position-horizontal-relative:margin;mso-wrap-style:none;z-index:251660288;mso-width-relative:page;mso-height-relative:page;" filled="f" stroked="f" coordsize="21600,21600" o:gfxdata="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jD2H/QAAAAAwEAAA8AAAAAAAAAAQAgAAAAIgAAAGRycy9kb3du&#10;cmV2LnhtbFBLAQIUABQAAAAIAIdO4kDsSKzqzgEAAJsDAAAOAAAAAAAAAAEAIAAAAB8BAABkcnMv&#10;ZTJvRG9jLnhtbFBLBQYAAAAABgAGAFkBAABfBQAAAAA=&#10;">
              <v:fill on="f" focussize="0,0"/>
              <v:stroke on="f"/>
              <v:imagedata o:title=""/>
              <o:lock v:ext="edit" aspectratio="f"/>
              <v:textbox inset="0mm,0mm,0mm,0mm" style="mso-fit-shape-to-text:t;">
                <w:txbxContent>
                  <w:p w14:paraId="715CD343">
                    <w:pPr>
                      <w:snapToGrid w:val="0"/>
                      <w:rPr>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2A98">
    <w:pPr>
      <w:pStyle w:val="13"/>
      <w:pBdr>
        <w:bottom w:val="double" w:color="auto" w:sz="8" w:space="1"/>
      </w:pBdr>
      <w:rPr>
        <w:rFonts w:ascii="宋体" w:hAnsi="宋体" w:cs="宋体"/>
        <w:sz w:val="21"/>
        <w:szCs w:val="21"/>
      </w:rPr>
    </w:pPr>
    <w:r>
      <w:rPr>
        <w:rFonts w:hint="eastAsia" w:ascii="宋体" w:hAnsi="宋体" w:cs="宋体"/>
        <w:sz w:val="21"/>
        <w:szCs w:val="21"/>
      </w:rPr>
      <w:t>鄂托克前旗长城</w:t>
    </w:r>
    <w:r>
      <w:rPr>
        <w:rFonts w:hint="eastAsia" w:ascii="宋体" w:hAnsi="宋体" w:cs="宋体"/>
        <w:sz w:val="21"/>
        <w:szCs w:val="21"/>
        <w:lang w:val="en-US" w:eastAsia="zh-CN"/>
      </w:rPr>
      <w:t>煤矿有限责任公司</w:t>
    </w:r>
    <w:r>
      <w:rPr>
        <w:rFonts w:hint="eastAsia" w:ascii="宋体" w:hAnsi="宋体" w:cs="宋体"/>
        <w:sz w:val="21"/>
        <w:szCs w:val="21"/>
      </w:rPr>
      <w:t xml:space="preserve">                                  生产安全事故应急预案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7184AC"/>
    <w:multiLevelType w:val="singleLevel"/>
    <w:tmpl w:val="FC7184AC"/>
    <w:lvl w:ilvl="0" w:tentative="0">
      <w:start w:val="1"/>
      <w:numFmt w:val="decimal"/>
      <w:pStyle w:val="19"/>
      <w:lvlText w:val="%1."/>
      <w:lvlJc w:val="left"/>
      <w:pPr>
        <w:tabs>
          <w:tab w:val="left" w:pos="2040"/>
        </w:tabs>
        <w:ind w:left="2040" w:hanging="360"/>
      </w:pPr>
    </w:lvl>
  </w:abstractNum>
  <w:abstractNum w:abstractNumId="1">
    <w:nsid w:val="6EC724EC"/>
    <w:multiLevelType w:val="multilevel"/>
    <w:tmpl w:val="6EC724EC"/>
    <w:lvl w:ilvl="0" w:tentative="0">
      <w:start w:val="1"/>
      <w:numFmt w:val="chineseCounting"/>
      <w:pStyle w:val="4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hideSpellingErrors/>
  <w:documentProtection w:enforcement="0"/>
  <w:defaultTabStop w:val="420"/>
  <w:drawingGridVerticalSpacing w:val="2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mYjc0NTQ5ZmY1ZTE4NDEzMjkwOTNiYWQwYTUxODAifQ=="/>
  </w:docVars>
  <w:rsids>
    <w:rsidRoot w:val="003A00FD"/>
    <w:rsid w:val="00001EBB"/>
    <w:rsid w:val="00007C69"/>
    <w:rsid w:val="00025115"/>
    <w:rsid w:val="000343C8"/>
    <w:rsid w:val="00043A52"/>
    <w:rsid w:val="0004782E"/>
    <w:rsid w:val="00071E4A"/>
    <w:rsid w:val="00072EB8"/>
    <w:rsid w:val="0007727D"/>
    <w:rsid w:val="0008592A"/>
    <w:rsid w:val="000A372D"/>
    <w:rsid w:val="000C614D"/>
    <w:rsid w:val="000F4886"/>
    <w:rsid w:val="000F4DF9"/>
    <w:rsid w:val="000F5A50"/>
    <w:rsid w:val="001749ED"/>
    <w:rsid w:val="001A753B"/>
    <w:rsid w:val="001D1EF5"/>
    <w:rsid w:val="001E4908"/>
    <w:rsid w:val="00222F3F"/>
    <w:rsid w:val="0024140C"/>
    <w:rsid w:val="002428D2"/>
    <w:rsid w:val="00243339"/>
    <w:rsid w:val="00252329"/>
    <w:rsid w:val="0027513B"/>
    <w:rsid w:val="002A2127"/>
    <w:rsid w:val="002B1109"/>
    <w:rsid w:val="002C014B"/>
    <w:rsid w:val="002C1347"/>
    <w:rsid w:val="002D1AA5"/>
    <w:rsid w:val="00302F28"/>
    <w:rsid w:val="003034DC"/>
    <w:rsid w:val="003254ED"/>
    <w:rsid w:val="00327CA8"/>
    <w:rsid w:val="003322E6"/>
    <w:rsid w:val="00346668"/>
    <w:rsid w:val="003655C8"/>
    <w:rsid w:val="00397FAB"/>
    <w:rsid w:val="003A00FD"/>
    <w:rsid w:val="003B0242"/>
    <w:rsid w:val="003B0E42"/>
    <w:rsid w:val="003B6EE0"/>
    <w:rsid w:val="0043754C"/>
    <w:rsid w:val="0046421B"/>
    <w:rsid w:val="00467B2F"/>
    <w:rsid w:val="00467D5E"/>
    <w:rsid w:val="0047213A"/>
    <w:rsid w:val="00497779"/>
    <w:rsid w:val="004A08CF"/>
    <w:rsid w:val="004C2E6F"/>
    <w:rsid w:val="004C3AA6"/>
    <w:rsid w:val="004D0811"/>
    <w:rsid w:val="004D3990"/>
    <w:rsid w:val="004E3828"/>
    <w:rsid w:val="004E7776"/>
    <w:rsid w:val="004F4CB5"/>
    <w:rsid w:val="00511FB6"/>
    <w:rsid w:val="005435C8"/>
    <w:rsid w:val="005448EC"/>
    <w:rsid w:val="00547522"/>
    <w:rsid w:val="00571D33"/>
    <w:rsid w:val="005D0FE5"/>
    <w:rsid w:val="005D4513"/>
    <w:rsid w:val="005D4625"/>
    <w:rsid w:val="00604FA2"/>
    <w:rsid w:val="006403C0"/>
    <w:rsid w:val="00694C3C"/>
    <w:rsid w:val="006C6ED4"/>
    <w:rsid w:val="006D3130"/>
    <w:rsid w:val="00704844"/>
    <w:rsid w:val="0072557C"/>
    <w:rsid w:val="007374E9"/>
    <w:rsid w:val="00746547"/>
    <w:rsid w:val="007510FE"/>
    <w:rsid w:val="007604BA"/>
    <w:rsid w:val="00761819"/>
    <w:rsid w:val="00773315"/>
    <w:rsid w:val="00790408"/>
    <w:rsid w:val="007D61AD"/>
    <w:rsid w:val="007E4510"/>
    <w:rsid w:val="007F1184"/>
    <w:rsid w:val="00813F87"/>
    <w:rsid w:val="0083066D"/>
    <w:rsid w:val="00843522"/>
    <w:rsid w:val="00846B2F"/>
    <w:rsid w:val="008569CC"/>
    <w:rsid w:val="008573D0"/>
    <w:rsid w:val="008F7360"/>
    <w:rsid w:val="009044BB"/>
    <w:rsid w:val="00907945"/>
    <w:rsid w:val="00914E51"/>
    <w:rsid w:val="0094167A"/>
    <w:rsid w:val="00957314"/>
    <w:rsid w:val="00971C03"/>
    <w:rsid w:val="00993485"/>
    <w:rsid w:val="009946FE"/>
    <w:rsid w:val="009A4226"/>
    <w:rsid w:val="009D0A9E"/>
    <w:rsid w:val="009D25B2"/>
    <w:rsid w:val="009D7DDE"/>
    <w:rsid w:val="009E2CF1"/>
    <w:rsid w:val="00A11EC9"/>
    <w:rsid w:val="00A77262"/>
    <w:rsid w:val="00A80719"/>
    <w:rsid w:val="00AA1D1C"/>
    <w:rsid w:val="00AB50FA"/>
    <w:rsid w:val="00AB6E87"/>
    <w:rsid w:val="00AC20E7"/>
    <w:rsid w:val="00AD16A2"/>
    <w:rsid w:val="00AE3C4F"/>
    <w:rsid w:val="00AF2443"/>
    <w:rsid w:val="00B04EA9"/>
    <w:rsid w:val="00B2492D"/>
    <w:rsid w:val="00B32C3E"/>
    <w:rsid w:val="00B35A33"/>
    <w:rsid w:val="00B51500"/>
    <w:rsid w:val="00B5356B"/>
    <w:rsid w:val="00B9209B"/>
    <w:rsid w:val="00BB560B"/>
    <w:rsid w:val="00BE2287"/>
    <w:rsid w:val="00BE3C00"/>
    <w:rsid w:val="00BF0D1A"/>
    <w:rsid w:val="00BF1E98"/>
    <w:rsid w:val="00C2682D"/>
    <w:rsid w:val="00C36832"/>
    <w:rsid w:val="00C60FB1"/>
    <w:rsid w:val="00C618C2"/>
    <w:rsid w:val="00C6461F"/>
    <w:rsid w:val="00C66527"/>
    <w:rsid w:val="00C76C81"/>
    <w:rsid w:val="00C77977"/>
    <w:rsid w:val="00C90127"/>
    <w:rsid w:val="00C90688"/>
    <w:rsid w:val="00C907D4"/>
    <w:rsid w:val="00C95C37"/>
    <w:rsid w:val="00CA7292"/>
    <w:rsid w:val="00CB4C53"/>
    <w:rsid w:val="00CC4A70"/>
    <w:rsid w:val="00CD46D6"/>
    <w:rsid w:val="00CE0F12"/>
    <w:rsid w:val="00CE4E31"/>
    <w:rsid w:val="00CE66E2"/>
    <w:rsid w:val="00D1223E"/>
    <w:rsid w:val="00D13A69"/>
    <w:rsid w:val="00D4006B"/>
    <w:rsid w:val="00D539EB"/>
    <w:rsid w:val="00D574AA"/>
    <w:rsid w:val="00D61CE9"/>
    <w:rsid w:val="00D76937"/>
    <w:rsid w:val="00DB33EA"/>
    <w:rsid w:val="00DB3B12"/>
    <w:rsid w:val="00DE5EF2"/>
    <w:rsid w:val="00DF5551"/>
    <w:rsid w:val="00DF7976"/>
    <w:rsid w:val="00E0120E"/>
    <w:rsid w:val="00E232EE"/>
    <w:rsid w:val="00E36214"/>
    <w:rsid w:val="00E50C67"/>
    <w:rsid w:val="00E53293"/>
    <w:rsid w:val="00E5705A"/>
    <w:rsid w:val="00E57F80"/>
    <w:rsid w:val="00E72229"/>
    <w:rsid w:val="00E82B8D"/>
    <w:rsid w:val="00E9204E"/>
    <w:rsid w:val="00EA03A3"/>
    <w:rsid w:val="00EB3D29"/>
    <w:rsid w:val="00EB6494"/>
    <w:rsid w:val="00EE2A20"/>
    <w:rsid w:val="00EF1576"/>
    <w:rsid w:val="00F1603D"/>
    <w:rsid w:val="00F217B2"/>
    <w:rsid w:val="00F528BC"/>
    <w:rsid w:val="00F57F0E"/>
    <w:rsid w:val="00FC6BB2"/>
    <w:rsid w:val="00FE788A"/>
    <w:rsid w:val="00FF4885"/>
    <w:rsid w:val="01064C9A"/>
    <w:rsid w:val="010B0BA6"/>
    <w:rsid w:val="011446FF"/>
    <w:rsid w:val="012277DF"/>
    <w:rsid w:val="012F6004"/>
    <w:rsid w:val="01335605"/>
    <w:rsid w:val="013B04D4"/>
    <w:rsid w:val="013D200D"/>
    <w:rsid w:val="014122BA"/>
    <w:rsid w:val="015B3C90"/>
    <w:rsid w:val="015D0D5E"/>
    <w:rsid w:val="01645018"/>
    <w:rsid w:val="01672D32"/>
    <w:rsid w:val="016744D2"/>
    <w:rsid w:val="01681C7A"/>
    <w:rsid w:val="01726D70"/>
    <w:rsid w:val="017E643C"/>
    <w:rsid w:val="018E3004"/>
    <w:rsid w:val="018F409B"/>
    <w:rsid w:val="0193018D"/>
    <w:rsid w:val="01983F10"/>
    <w:rsid w:val="01A1123C"/>
    <w:rsid w:val="01AF0FCC"/>
    <w:rsid w:val="01B21E96"/>
    <w:rsid w:val="01B63C2C"/>
    <w:rsid w:val="01BF4450"/>
    <w:rsid w:val="01C03F76"/>
    <w:rsid w:val="01C62816"/>
    <w:rsid w:val="01CD30F5"/>
    <w:rsid w:val="01E300C1"/>
    <w:rsid w:val="01F21AB7"/>
    <w:rsid w:val="01F41BEA"/>
    <w:rsid w:val="01F41F16"/>
    <w:rsid w:val="01F87F5A"/>
    <w:rsid w:val="01FE088E"/>
    <w:rsid w:val="02082C17"/>
    <w:rsid w:val="0210015D"/>
    <w:rsid w:val="02147888"/>
    <w:rsid w:val="021638E5"/>
    <w:rsid w:val="022124A6"/>
    <w:rsid w:val="02230F81"/>
    <w:rsid w:val="022F22FB"/>
    <w:rsid w:val="02381052"/>
    <w:rsid w:val="024414D6"/>
    <w:rsid w:val="02533DB1"/>
    <w:rsid w:val="0254770D"/>
    <w:rsid w:val="025503CB"/>
    <w:rsid w:val="025A699B"/>
    <w:rsid w:val="025C3DB1"/>
    <w:rsid w:val="025C571F"/>
    <w:rsid w:val="02632CAF"/>
    <w:rsid w:val="02642659"/>
    <w:rsid w:val="02646C8E"/>
    <w:rsid w:val="02665E04"/>
    <w:rsid w:val="026D22ED"/>
    <w:rsid w:val="027678A6"/>
    <w:rsid w:val="02775028"/>
    <w:rsid w:val="02832BE0"/>
    <w:rsid w:val="02845A40"/>
    <w:rsid w:val="0286584F"/>
    <w:rsid w:val="028E7ED2"/>
    <w:rsid w:val="029D35CF"/>
    <w:rsid w:val="02A24A38"/>
    <w:rsid w:val="02AE3A52"/>
    <w:rsid w:val="02AE4A29"/>
    <w:rsid w:val="02B13F32"/>
    <w:rsid w:val="02B712C6"/>
    <w:rsid w:val="02C65858"/>
    <w:rsid w:val="02CA20D4"/>
    <w:rsid w:val="02CB6C34"/>
    <w:rsid w:val="02D02315"/>
    <w:rsid w:val="02D61D0D"/>
    <w:rsid w:val="02DC79E5"/>
    <w:rsid w:val="02E077FD"/>
    <w:rsid w:val="02EE7E68"/>
    <w:rsid w:val="02F939DD"/>
    <w:rsid w:val="030209D3"/>
    <w:rsid w:val="03050D13"/>
    <w:rsid w:val="030F406D"/>
    <w:rsid w:val="031362E6"/>
    <w:rsid w:val="03174AB5"/>
    <w:rsid w:val="031A588D"/>
    <w:rsid w:val="0327709F"/>
    <w:rsid w:val="032E421C"/>
    <w:rsid w:val="03360947"/>
    <w:rsid w:val="0342687C"/>
    <w:rsid w:val="03530C05"/>
    <w:rsid w:val="03547EFB"/>
    <w:rsid w:val="036018C9"/>
    <w:rsid w:val="03646FCC"/>
    <w:rsid w:val="036C26CC"/>
    <w:rsid w:val="037B701A"/>
    <w:rsid w:val="0380458B"/>
    <w:rsid w:val="03837255"/>
    <w:rsid w:val="038924BA"/>
    <w:rsid w:val="039D1D99"/>
    <w:rsid w:val="03A20F09"/>
    <w:rsid w:val="03B655B9"/>
    <w:rsid w:val="03BE39E2"/>
    <w:rsid w:val="03CA0201"/>
    <w:rsid w:val="03D421CD"/>
    <w:rsid w:val="03D61236"/>
    <w:rsid w:val="03DC005E"/>
    <w:rsid w:val="03DC224F"/>
    <w:rsid w:val="03E93B9D"/>
    <w:rsid w:val="03EC6ADB"/>
    <w:rsid w:val="03FB1A37"/>
    <w:rsid w:val="03FB3139"/>
    <w:rsid w:val="04036A6D"/>
    <w:rsid w:val="04077EA3"/>
    <w:rsid w:val="040D475C"/>
    <w:rsid w:val="041A12FA"/>
    <w:rsid w:val="04237641"/>
    <w:rsid w:val="042B443B"/>
    <w:rsid w:val="04383D25"/>
    <w:rsid w:val="044652B2"/>
    <w:rsid w:val="04474006"/>
    <w:rsid w:val="04510316"/>
    <w:rsid w:val="04512C27"/>
    <w:rsid w:val="0458693E"/>
    <w:rsid w:val="045A3A63"/>
    <w:rsid w:val="04665E97"/>
    <w:rsid w:val="04835693"/>
    <w:rsid w:val="0485604B"/>
    <w:rsid w:val="048C4991"/>
    <w:rsid w:val="04973D30"/>
    <w:rsid w:val="049B468A"/>
    <w:rsid w:val="04A5778C"/>
    <w:rsid w:val="04B43B0A"/>
    <w:rsid w:val="04B6590B"/>
    <w:rsid w:val="04C938A1"/>
    <w:rsid w:val="04E42E86"/>
    <w:rsid w:val="04E85718"/>
    <w:rsid w:val="04F45976"/>
    <w:rsid w:val="05085FDF"/>
    <w:rsid w:val="051A533B"/>
    <w:rsid w:val="05215420"/>
    <w:rsid w:val="05271274"/>
    <w:rsid w:val="05372F63"/>
    <w:rsid w:val="05456E71"/>
    <w:rsid w:val="054C6212"/>
    <w:rsid w:val="054D5E37"/>
    <w:rsid w:val="055146C4"/>
    <w:rsid w:val="0561575F"/>
    <w:rsid w:val="05677394"/>
    <w:rsid w:val="056B3827"/>
    <w:rsid w:val="057514D8"/>
    <w:rsid w:val="05787266"/>
    <w:rsid w:val="05807A49"/>
    <w:rsid w:val="058265D6"/>
    <w:rsid w:val="05832284"/>
    <w:rsid w:val="058D0D95"/>
    <w:rsid w:val="059876CF"/>
    <w:rsid w:val="05A250F1"/>
    <w:rsid w:val="05A43E2E"/>
    <w:rsid w:val="05A6164E"/>
    <w:rsid w:val="05AC055A"/>
    <w:rsid w:val="05AC3618"/>
    <w:rsid w:val="05C501DF"/>
    <w:rsid w:val="05C70E9C"/>
    <w:rsid w:val="05D83FF7"/>
    <w:rsid w:val="05DA03D7"/>
    <w:rsid w:val="05E05ABA"/>
    <w:rsid w:val="05F5157B"/>
    <w:rsid w:val="05FD2B67"/>
    <w:rsid w:val="060257E2"/>
    <w:rsid w:val="060C1296"/>
    <w:rsid w:val="060D2345"/>
    <w:rsid w:val="06154D12"/>
    <w:rsid w:val="062353E1"/>
    <w:rsid w:val="062408B1"/>
    <w:rsid w:val="062A5003"/>
    <w:rsid w:val="06343543"/>
    <w:rsid w:val="064901AB"/>
    <w:rsid w:val="064F58CA"/>
    <w:rsid w:val="06547FAE"/>
    <w:rsid w:val="06551379"/>
    <w:rsid w:val="065C2668"/>
    <w:rsid w:val="066173BB"/>
    <w:rsid w:val="06626C89"/>
    <w:rsid w:val="066947D2"/>
    <w:rsid w:val="0677688D"/>
    <w:rsid w:val="06807813"/>
    <w:rsid w:val="06837F82"/>
    <w:rsid w:val="06873E1E"/>
    <w:rsid w:val="06885AF6"/>
    <w:rsid w:val="069955FA"/>
    <w:rsid w:val="06A03098"/>
    <w:rsid w:val="06A24E95"/>
    <w:rsid w:val="06A27213"/>
    <w:rsid w:val="06A45E5E"/>
    <w:rsid w:val="06A94A99"/>
    <w:rsid w:val="06B22BA5"/>
    <w:rsid w:val="06B31F2B"/>
    <w:rsid w:val="06B330AE"/>
    <w:rsid w:val="06B85EC0"/>
    <w:rsid w:val="06BD404D"/>
    <w:rsid w:val="06BD4A0B"/>
    <w:rsid w:val="06C26596"/>
    <w:rsid w:val="06C73CB9"/>
    <w:rsid w:val="06CA55EC"/>
    <w:rsid w:val="06D45118"/>
    <w:rsid w:val="06E154A5"/>
    <w:rsid w:val="06E51C97"/>
    <w:rsid w:val="06E76F0F"/>
    <w:rsid w:val="07033F2C"/>
    <w:rsid w:val="070D36B5"/>
    <w:rsid w:val="0711374B"/>
    <w:rsid w:val="07165F9C"/>
    <w:rsid w:val="071B425A"/>
    <w:rsid w:val="071D3BFA"/>
    <w:rsid w:val="072A3B97"/>
    <w:rsid w:val="07301C06"/>
    <w:rsid w:val="07327F73"/>
    <w:rsid w:val="073E4F1C"/>
    <w:rsid w:val="07462294"/>
    <w:rsid w:val="07550CA5"/>
    <w:rsid w:val="075535BC"/>
    <w:rsid w:val="075C3D8D"/>
    <w:rsid w:val="076B6688"/>
    <w:rsid w:val="07741C95"/>
    <w:rsid w:val="07762B7A"/>
    <w:rsid w:val="07814C93"/>
    <w:rsid w:val="07A45628"/>
    <w:rsid w:val="07A656A9"/>
    <w:rsid w:val="07A70548"/>
    <w:rsid w:val="07AA76E3"/>
    <w:rsid w:val="07B77FDB"/>
    <w:rsid w:val="07BF6EA6"/>
    <w:rsid w:val="07C1401E"/>
    <w:rsid w:val="07C34CFB"/>
    <w:rsid w:val="07C95F9A"/>
    <w:rsid w:val="07CB2836"/>
    <w:rsid w:val="07CE4D33"/>
    <w:rsid w:val="07D03D5C"/>
    <w:rsid w:val="07E34FD8"/>
    <w:rsid w:val="07E6295A"/>
    <w:rsid w:val="07EA07B9"/>
    <w:rsid w:val="07ED0B0D"/>
    <w:rsid w:val="08031C14"/>
    <w:rsid w:val="08187598"/>
    <w:rsid w:val="082132BC"/>
    <w:rsid w:val="082A2804"/>
    <w:rsid w:val="083249F3"/>
    <w:rsid w:val="08393BA7"/>
    <w:rsid w:val="083E1D47"/>
    <w:rsid w:val="083E68B1"/>
    <w:rsid w:val="08417FB6"/>
    <w:rsid w:val="08444D72"/>
    <w:rsid w:val="084964C9"/>
    <w:rsid w:val="08562C8C"/>
    <w:rsid w:val="085774B3"/>
    <w:rsid w:val="085A5FED"/>
    <w:rsid w:val="085F3E8E"/>
    <w:rsid w:val="08631D07"/>
    <w:rsid w:val="086462D3"/>
    <w:rsid w:val="086D4F01"/>
    <w:rsid w:val="087D08FF"/>
    <w:rsid w:val="088B2FBC"/>
    <w:rsid w:val="088D1659"/>
    <w:rsid w:val="08900E4C"/>
    <w:rsid w:val="08901E7F"/>
    <w:rsid w:val="0896368C"/>
    <w:rsid w:val="08A32D36"/>
    <w:rsid w:val="08B12992"/>
    <w:rsid w:val="08C56B0E"/>
    <w:rsid w:val="08CC2520"/>
    <w:rsid w:val="08CD1ED8"/>
    <w:rsid w:val="08D038AA"/>
    <w:rsid w:val="08D15718"/>
    <w:rsid w:val="08DA5130"/>
    <w:rsid w:val="08DB4FB2"/>
    <w:rsid w:val="08DD574D"/>
    <w:rsid w:val="08E04023"/>
    <w:rsid w:val="08E60083"/>
    <w:rsid w:val="08ED371B"/>
    <w:rsid w:val="08F532CB"/>
    <w:rsid w:val="08FD322B"/>
    <w:rsid w:val="08FF1981"/>
    <w:rsid w:val="090C24EE"/>
    <w:rsid w:val="090C4203"/>
    <w:rsid w:val="09167E3D"/>
    <w:rsid w:val="0917352A"/>
    <w:rsid w:val="09177890"/>
    <w:rsid w:val="091914D5"/>
    <w:rsid w:val="091D7546"/>
    <w:rsid w:val="093573F2"/>
    <w:rsid w:val="09415FCB"/>
    <w:rsid w:val="0954043F"/>
    <w:rsid w:val="095533FF"/>
    <w:rsid w:val="095C22BE"/>
    <w:rsid w:val="095D2BB4"/>
    <w:rsid w:val="096A653A"/>
    <w:rsid w:val="096E1B00"/>
    <w:rsid w:val="09743C74"/>
    <w:rsid w:val="09747DBC"/>
    <w:rsid w:val="097638BC"/>
    <w:rsid w:val="0977272E"/>
    <w:rsid w:val="09862538"/>
    <w:rsid w:val="098B425C"/>
    <w:rsid w:val="09921153"/>
    <w:rsid w:val="09B3463B"/>
    <w:rsid w:val="09B70C0B"/>
    <w:rsid w:val="09C06D1D"/>
    <w:rsid w:val="09C15F04"/>
    <w:rsid w:val="09C1688B"/>
    <w:rsid w:val="09C645E5"/>
    <w:rsid w:val="09D42F19"/>
    <w:rsid w:val="09D56758"/>
    <w:rsid w:val="09D6176A"/>
    <w:rsid w:val="0A100A9F"/>
    <w:rsid w:val="0A125145"/>
    <w:rsid w:val="0A1F1760"/>
    <w:rsid w:val="0A255166"/>
    <w:rsid w:val="0A276807"/>
    <w:rsid w:val="0A2872C5"/>
    <w:rsid w:val="0A2B3F2F"/>
    <w:rsid w:val="0A2C4732"/>
    <w:rsid w:val="0A2F5EED"/>
    <w:rsid w:val="0A323A16"/>
    <w:rsid w:val="0A457363"/>
    <w:rsid w:val="0A521157"/>
    <w:rsid w:val="0A526CC0"/>
    <w:rsid w:val="0A600EC6"/>
    <w:rsid w:val="0A6F00A6"/>
    <w:rsid w:val="0A702E85"/>
    <w:rsid w:val="0A7347C5"/>
    <w:rsid w:val="0A78528E"/>
    <w:rsid w:val="0A790C5B"/>
    <w:rsid w:val="0A7E7048"/>
    <w:rsid w:val="0A7F0ED1"/>
    <w:rsid w:val="0A864B03"/>
    <w:rsid w:val="0A9423D8"/>
    <w:rsid w:val="0AB11C89"/>
    <w:rsid w:val="0AB5159A"/>
    <w:rsid w:val="0AB5331D"/>
    <w:rsid w:val="0ABB5838"/>
    <w:rsid w:val="0ABC727A"/>
    <w:rsid w:val="0AC64EB9"/>
    <w:rsid w:val="0AC736EC"/>
    <w:rsid w:val="0ACC672B"/>
    <w:rsid w:val="0AD70FA5"/>
    <w:rsid w:val="0ADA2FE8"/>
    <w:rsid w:val="0AE41C5E"/>
    <w:rsid w:val="0AE71E2E"/>
    <w:rsid w:val="0AF704CB"/>
    <w:rsid w:val="0B0F0929"/>
    <w:rsid w:val="0B100E9A"/>
    <w:rsid w:val="0B1E615D"/>
    <w:rsid w:val="0B1E65BB"/>
    <w:rsid w:val="0B2154C3"/>
    <w:rsid w:val="0B227065"/>
    <w:rsid w:val="0B250D51"/>
    <w:rsid w:val="0B2600AF"/>
    <w:rsid w:val="0B2F4991"/>
    <w:rsid w:val="0B3E17BD"/>
    <w:rsid w:val="0B456EEE"/>
    <w:rsid w:val="0B672558"/>
    <w:rsid w:val="0B686308"/>
    <w:rsid w:val="0B721CCD"/>
    <w:rsid w:val="0B731F01"/>
    <w:rsid w:val="0B81014B"/>
    <w:rsid w:val="0B933FB6"/>
    <w:rsid w:val="0B9542A3"/>
    <w:rsid w:val="0B9836C0"/>
    <w:rsid w:val="0BA746CA"/>
    <w:rsid w:val="0BAD4A96"/>
    <w:rsid w:val="0BB337BB"/>
    <w:rsid w:val="0BCE1BA7"/>
    <w:rsid w:val="0BCF41BB"/>
    <w:rsid w:val="0BF512A8"/>
    <w:rsid w:val="0C000D95"/>
    <w:rsid w:val="0C0132B1"/>
    <w:rsid w:val="0C073009"/>
    <w:rsid w:val="0C081F26"/>
    <w:rsid w:val="0C111205"/>
    <w:rsid w:val="0C25487E"/>
    <w:rsid w:val="0C271CCC"/>
    <w:rsid w:val="0C29132B"/>
    <w:rsid w:val="0C2A2BE7"/>
    <w:rsid w:val="0C5833F2"/>
    <w:rsid w:val="0C597063"/>
    <w:rsid w:val="0C5C5478"/>
    <w:rsid w:val="0C622CB6"/>
    <w:rsid w:val="0C636EEF"/>
    <w:rsid w:val="0C70396D"/>
    <w:rsid w:val="0C745B70"/>
    <w:rsid w:val="0C844609"/>
    <w:rsid w:val="0C8F362B"/>
    <w:rsid w:val="0C946333"/>
    <w:rsid w:val="0C9532BC"/>
    <w:rsid w:val="0C9D49CE"/>
    <w:rsid w:val="0CA06953"/>
    <w:rsid w:val="0CA2292C"/>
    <w:rsid w:val="0CAA7DF0"/>
    <w:rsid w:val="0CB5185D"/>
    <w:rsid w:val="0CB868FD"/>
    <w:rsid w:val="0CBA3795"/>
    <w:rsid w:val="0CC52371"/>
    <w:rsid w:val="0CCA615D"/>
    <w:rsid w:val="0CD923E8"/>
    <w:rsid w:val="0CDD684E"/>
    <w:rsid w:val="0CDF314A"/>
    <w:rsid w:val="0CF12CA2"/>
    <w:rsid w:val="0CF24F25"/>
    <w:rsid w:val="0CF5163D"/>
    <w:rsid w:val="0CF611B0"/>
    <w:rsid w:val="0CFA7FAC"/>
    <w:rsid w:val="0D0133CC"/>
    <w:rsid w:val="0D0444C0"/>
    <w:rsid w:val="0D067787"/>
    <w:rsid w:val="0D106859"/>
    <w:rsid w:val="0D185632"/>
    <w:rsid w:val="0D2B163A"/>
    <w:rsid w:val="0D3C6129"/>
    <w:rsid w:val="0D3F2C2C"/>
    <w:rsid w:val="0D3F3567"/>
    <w:rsid w:val="0D446811"/>
    <w:rsid w:val="0D4B5C5C"/>
    <w:rsid w:val="0D513B9B"/>
    <w:rsid w:val="0D536B50"/>
    <w:rsid w:val="0D5A30B2"/>
    <w:rsid w:val="0D5D7F30"/>
    <w:rsid w:val="0D6B3999"/>
    <w:rsid w:val="0D6C2AAB"/>
    <w:rsid w:val="0D725EFD"/>
    <w:rsid w:val="0D7728FC"/>
    <w:rsid w:val="0D786F05"/>
    <w:rsid w:val="0D7A14E3"/>
    <w:rsid w:val="0D8D5AB1"/>
    <w:rsid w:val="0D9505F0"/>
    <w:rsid w:val="0DAD3966"/>
    <w:rsid w:val="0DAD6E69"/>
    <w:rsid w:val="0DB55530"/>
    <w:rsid w:val="0DDF3A91"/>
    <w:rsid w:val="0DDF72A4"/>
    <w:rsid w:val="0DE161B5"/>
    <w:rsid w:val="0DE504AE"/>
    <w:rsid w:val="0DE51745"/>
    <w:rsid w:val="0DE619DD"/>
    <w:rsid w:val="0DE6239F"/>
    <w:rsid w:val="0DEA0928"/>
    <w:rsid w:val="0DF21329"/>
    <w:rsid w:val="0DFE2C1C"/>
    <w:rsid w:val="0E014F1A"/>
    <w:rsid w:val="0E0B6915"/>
    <w:rsid w:val="0E0D22BC"/>
    <w:rsid w:val="0E124172"/>
    <w:rsid w:val="0E1B3718"/>
    <w:rsid w:val="0E1B591F"/>
    <w:rsid w:val="0E1B654B"/>
    <w:rsid w:val="0E213E8B"/>
    <w:rsid w:val="0E263249"/>
    <w:rsid w:val="0E3433CC"/>
    <w:rsid w:val="0E384A1A"/>
    <w:rsid w:val="0E4E5216"/>
    <w:rsid w:val="0E5275BE"/>
    <w:rsid w:val="0E576BB4"/>
    <w:rsid w:val="0E663919"/>
    <w:rsid w:val="0E772897"/>
    <w:rsid w:val="0E784A69"/>
    <w:rsid w:val="0E7D2CEE"/>
    <w:rsid w:val="0E8337D8"/>
    <w:rsid w:val="0E870215"/>
    <w:rsid w:val="0E873B59"/>
    <w:rsid w:val="0E9B78F6"/>
    <w:rsid w:val="0E9C38BF"/>
    <w:rsid w:val="0EA3272C"/>
    <w:rsid w:val="0EA50E9C"/>
    <w:rsid w:val="0EB203C6"/>
    <w:rsid w:val="0EB30AA2"/>
    <w:rsid w:val="0EB85533"/>
    <w:rsid w:val="0EBE7370"/>
    <w:rsid w:val="0ECA2F7D"/>
    <w:rsid w:val="0ED138B5"/>
    <w:rsid w:val="0ED82040"/>
    <w:rsid w:val="0EE15E5F"/>
    <w:rsid w:val="0EE62A02"/>
    <w:rsid w:val="0EEA79A9"/>
    <w:rsid w:val="0EF26BE7"/>
    <w:rsid w:val="0F0071CD"/>
    <w:rsid w:val="0F077065"/>
    <w:rsid w:val="0F0F6D37"/>
    <w:rsid w:val="0F162B7C"/>
    <w:rsid w:val="0F177784"/>
    <w:rsid w:val="0F302C7F"/>
    <w:rsid w:val="0F3D2102"/>
    <w:rsid w:val="0F5427C1"/>
    <w:rsid w:val="0F5B7C51"/>
    <w:rsid w:val="0F6A48CF"/>
    <w:rsid w:val="0F760D90"/>
    <w:rsid w:val="0F7A2D18"/>
    <w:rsid w:val="0F7B7AED"/>
    <w:rsid w:val="0F81239C"/>
    <w:rsid w:val="0F854D35"/>
    <w:rsid w:val="0F905BA1"/>
    <w:rsid w:val="0F922BC4"/>
    <w:rsid w:val="0FA43474"/>
    <w:rsid w:val="0FA45DAA"/>
    <w:rsid w:val="0FAE3E61"/>
    <w:rsid w:val="0FB51239"/>
    <w:rsid w:val="0FB6788B"/>
    <w:rsid w:val="0FBE14C4"/>
    <w:rsid w:val="0FC6623B"/>
    <w:rsid w:val="0FD12ED3"/>
    <w:rsid w:val="0FDE7791"/>
    <w:rsid w:val="0FEF4981"/>
    <w:rsid w:val="10037DCE"/>
    <w:rsid w:val="100F40E1"/>
    <w:rsid w:val="10152C55"/>
    <w:rsid w:val="10157750"/>
    <w:rsid w:val="101D0866"/>
    <w:rsid w:val="102E6A5C"/>
    <w:rsid w:val="103A1352"/>
    <w:rsid w:val="103B0BCC"/>
    <w:rsid w:val="103C76A1"/>
    <w:rsid w:val="103F2F04"/>
    <w:rsid w:val="104B0DBA"/>
    <w:rsid w:val="105928B2"/>
    <w:rsid w:val="1061546B"/>
    <w:rsid w:val="106A28B6"/>
    <w:rsid w:val="107D2BF7"/>
    <w:rsid w:val="108B757B"/>
    <w:rsid w:val="10963421"/>
    <w:rsid w:val="109D089B"/>
    <w:rsid w:val="10AC6915"/>
    <w:rsid w:val="10B56152"/>
    <w:rsid w:val="10BD2B8E"/>
    <w:rsid w:val="10C26AD3"/>
    <w:rsid w:val="10D22570"/>
    <w:rsid w:val="10D4118E"/>
    <w:rsid w:val="10DC0950"/>
    <w:rsid w:val="10EC7FCD"/>
    <w:rsid w:val="10F96A0A"/>
    <w:rsid w:val="10FC3B91"/>
    <w:rsid w:val="11010553"/>
    <w:rsid w:val="1104486A"/>
    <w:rsid w:val="11144401"/>
    <w:rsid w:val="111455D4"/>
    <w:rsid w:val="111E3888"/>
    <w:rsid w:val="11200E10"/>
    <w:rsid w:val="11252CD2"/>
    <w:rsid w:val="11260994"/>
    <w:rsid w:val="112E329E"/>
    <w:rsid w:val="113E72C7"/>
    <w:rsid w:val="114871E8"/>
    <w:rsid w:val="11571FF3"/>
    <w:rsid w:val="11625F50"/>
    <w:rsid w:val="11636677"/>
    <w:rsid w:val="116E41D0"/>
    <w:rsid w:val="1171147F"/>
    <w:rsid w:val="11755B31"/>
    <w:rsid w:val="117B24FA"/>
    <w:rsid w:val="117B5B01"/>
    <w:rsid w:val="118178F0"/>
    <w:rsid w:val="118701ED"/>
    <w:rsid w:val="118A6158"/>
    <w:rsid w:val="119A66FB"/>
    <w:rsid w:val="119B104B"/>
    <w:rsid w:val="119E2094"/>
    <w:rsid w:val="11A97C2C"/>
    <w:rsid w:val="11AB16B3"/>
    <w:rsid w:val="11B1700F"/>
    <w:rsid w:val="11BF4EB3"/>
    <w:rsid w:val="11C41EFA"/>
    <w:rsid w:val="11DA3B47"/>
    <w:rsid w:val="11E324DC"/>
    <w:rsid w:val="11FB43BA"/>
    <w:rsid w:val="11FC4136"/>
    <w:rsid w:val="12021CC3"/>
    <w:rsid w:val="1202633F"/>
    <w:rsid w:val="12116A01"/>
    <w:rsid w:val="12142210"/>
    <w:rsid w:val="121A3AD5"/>
    <w:rsid w:val="123C13E3"/>
    <w:rsid w:val="123E62A8"/>
    <w:rsid w:val="124E79D1"/>
    <w:rsid w:val="124F61D3"/>
    <w:rsid w:val="125115DD"/>
    <w:rsid w:val="125573E7"/>
    <w:rsid w:val="12574EDA"/>
    <w:rsid w:val="125F004A"/>
    <w:rsid w:val="1263366B"/>
    <w:rsid w:val="12655341"/>
    <w:rsid w:val="126B0458"/>
    <w:rsid w:val="12713A13"/>
    <w:rsid w:val="127E06AD"/>
    <w:rsid w:val="12854F23"/>
    <w:rsid w:val="12887D97"/>
    <w:rsid w:val="12913D0A"/>
    <w:rsid w:val="12982C5A"/>
    <w:rsid w:val="129D591A"/>
    <w:rsid w:val="12B47BF3"/>
    <w:rsid w:val="12BC420F"/>
    <w:rsid w:val="12CE4BCA"/>
    <w:rsid w:val="12D540EC"/>
    <w:rsid w:val="12D6226E"/>
    <w:rsid w:val="12D872C1"/>
    <w:rsid w:val="130601A4"/>
    <w:rsid w:val="130755A7"/>
    <w:rsid w:val="130A686C"/>
    <w:rsid w:val="13183A06"/>
    <w:rsid w:val="131E4221"/>
    <w:rsid w:val="13251659"/>
    <w:rsid w:val="13332766"/>
    <w:rsid w:val="13395261"/>
    <w:rsid w:val="13434F8F"/>
    <w:rsid w:val="13444269"/>
    <w:rsid w:val="13580B3D"/>
    <w:rsid w:val="1358264C"/>
    <w:rsid w:val="1377212D"/>
    <w:rsid w:val="137B32C6"/>
    <w:rsid w:val="137C45A5"/>
    <w:rsid w:val="13853140"/>
    <w:rsid w:val="13973574"/>
    <w:rsid w:val="13A72A08"/>
    <w:rsid w:val="13AC2363"/>
    <w:rsid w:val="13AD1C12"/>
    <w:rsid w:val="13AF3A87"/>
    <w:rsid w:val="13B7169D"/>
    <w:rsid w:val="13D67564"/>
    <w:rsid w:val="13EC592A"/>
    <w:rsid w:val="13FA65DD"/>
    <w:rsid w:val="1419390C"/>
    <w:rsid w:val="141E03DE"/>
    <w:rsid w:val="14246D62"/>
    <w:rsid w:val="143406A0"/>
    <w:rsid w:val="143C15F5"/>
    <w:rsid w:val="143E3DAF"/>
    <w:rsid w:val="144565EA"/>
    <w:rsid w:val="145108DE"/>
    <w:rsid w:val="146257C7"/>
    <w:rsid w:val="146C4C37"/>
    <w:rsid w:val="146F2C9A"/>
    <w:rsid w:val="147B5997"/>
    <w:rsid w:val="147D60C3"/>
    <w:rsid w:val="148020FD"/>
    <w:rsid w:val="149404FA"/>
    <w:rsid w:val="149D6AD1"/>
    <w:rsid w:val="14AF378C"/>
    <w:rsid w:val="14B01198"/>
    <w:rsid w:val="14B02AF7"/>
    <w:rsid w:val="14BD5230"/>
    <w:rsid w:val="14BE16BC"/>
    <w:rsid w:val="14C10915"/>
    <w:rsid w:val="14D818B2"/>
    <w:rsid w:val="14D97CDB"/>
    <w:rsid w:val="14DA057B"/>
    <w:rsid w:val="14DF1632"/>
    <w:rsid w:val="14E03159"/>
    <w:rsid w:val="14E41EE3"/>
    <w:rsid w:val="14E7401E"/>
    <w:rsid w:val="14E9705E"/>
    <w:rsid w:val="14F02230"/>
    <w:rsid w:val="14F147CF"/>
    <w:rsid w:val="15095175"/>
    <w:rsid w:val="150F1F18"/>
    <w:rsid w:val="1512467C"/>
    <w:rsid w:val="15153578"/>
    <w:rsid w:val="151653C5"/>
    <w:rsid w:val="1527074A"/>
    <w:rsid w:val="152D17D2"/>
    <w:rsid w:val="152F25BA"/>
    <w:rsid w:val="15305B6C"/>
    <w:rsid w:val="15305D8D"/>
    <w:rsid w:val="154871D8"/>
    <w:rsid w:val="154B7B85"/>
    <w:rsid w:val="1552430C"/>
    <w:rsid w:val="15564F9C"/>
    <w:rsid w:val="15763CA1"/>
    <w:rsid w:val="1596515B"/>
    <w:rsid w:val="15990F7F"/>
    <w:rsid w:val="15A1413D"/>
    <w:rsid w:val="15A911E5"/>
    <w:rsid w:val="15B372E4"/>
    <w:rsid w:val="15BA3EF2"/>
    <w:rsid w:val="15BB3E93"/>
    <w:rsid w:val="15C11438"/>
    <w:rsid w:val="15C54DD5"/>
    <w:rsid w:val="15CC206C"/>
    <w:rsid w:val="15CE7D1B"/>
    <w:rsid w:val="15DF5002"/>
    <w:rsid w:val="15E447CD"/>
    <w:rsid w:val="15EA4363"/>
    <w:rsid w:val="15ED4D04"/>
    <w:rsid w:val="15F134B4"/>
    <w:rsid w:val="15F43817"/>
    <w:rsid w:val="15F644B8"/>
    <w:rsid w:val="15FC0A7B"/>
    <w:rsid w:val="16083F04"/>
    <w:rsid w:val="1612149B"/>
    <w:rsid w:val="16136564"/>
    <w:rsid w:val="1625788B"/>
    <w:rsid w:val="16375B40"/>
    <w:rsid w:val="16434774"/>
    <w:rsid w:val="164A2F65"/>
    <w:rsid w:val="16557138"/>
    <w:rsid w:val="166839C9"/>
    <w:rsid w:val="16686371"/>
    <w:rsid w:val="1669392B"/>
    <w:rsid w:val="167451C0"/>
    <w:rsid w:val="16765C12"/>
    <w:rsid w:val="167F29AA"/>
    <w:rsid w:val="16825969"/>
    <w:rsid w:val="16855F2E"/>
    <w:rsid w:val="1689680F"/>
    <w:rsid w:val="168B2E8C"/>
    <w:rsid w:val="169D07DD"/>
    <w:rsid w:val="16A93336"/>
    <w:rsid w:val="16A93AAF"/>
    <w:rsid w:val="16AE3C26"/>
    <w:rsid w:val="16AF054C"/>
    <w:rsid w:val="16B76ADD"/>
    <w:rsid w:val="16C04A5B"/>
    <w:rsid w:val="16C91644"/>
    <w:rsid w:val="16DD0AAB"/>
    <w:rsid w:val="16E15B36"/>
    <w:rsid w:val="16E47C54"/>
    <w:rsid w:val="16FA52B4"/>
    <w:rsid w:val="17030AEA"/>
    <w:rsid w:val="170B5067"/>
    <w:rsid w:val="1714297A"/>
    <w:rsid w:val="1721779A"/>
    <w:rsid w:val="172739C0"/>
    <w:rsid w:val="173235F5"/>
    <w:rsid w:val="173A705B"/>
    <w:rsid w:val="173A7A95"/>
    <w:rsid w:val="173D5E2F"/>
    <w:rsid w:val="174A40E2"/>
    <w:rsid w:val="174D6DEA"/>
    <w:rsid w:val="174E4AD1"/>
    <w:rsid w:val="174F366C"/>
    <w:rsid w:val="175361C5"/>
    <w:rsid w:val="17580225"/>
    <w:rsid w:val="17595797"/>
    <w:rsid w:val="175D1111"/>
    <w:rsid w:val="17626F3C"/>
    <w:rsid w:val="176331FD"/>
    <w:rsid w:val="1766603C"/>
    <w:rsid w:val="1768104F"/>
    <w:rsid w:val="176A297C"/>
    <w:rsid w:val="176C13DA"/>
    <w:rsid w:val="1772678E"/>
    <w:rsid w:val="1776002C"/>
    <w:rsid w:val="17814BA7"/>
    <w:rsid w:val="178776F2"/>
    <w:rsid w:val="178C461E"/>
    <w:rsid w:val="17A4560C"/>
    <w:rsid w:val="17A7305D"/>
    <w:rsid w:val="17C0254D"/>
    <w:rsid w:val="17C1283D"/>
    <w:rsid w:val="17E13533"/>
    <w:rsid w:val="17EC02EE"/>
    <w:rsid w:val="17ED5BF8"/>
    <w:rsid w:val="17EF65AA"/>
    <w:rsid w:val="17F03D6C"/>
    <w:rsid w:val="17FB4148"/>
    <w:rsid w:val="17FC2451"/>
    <w:rsid w:val="1800023D"/>
    <w:rsid w:val="180A4A00"/>
    <w:rsid w:val="18196448"/>
    <w:rsid w:val="18204721"/>
    <w:rsid w:val="18255485"/>
    <w:rsid w:val="182D0598"/>
    <w:rsid w:val="182E0EBC"/>
    <w:rsid w:val="182E429D"/>
    <w:rsid w:val="182F2D3A"/>
    <w:rsid w:val="18484CBD"/>
    <w:rsid w:val="184926D3"/>
    <w:rsid w:val="184C6285"/>
    <w:rsid w:val="184E1029"/>
    <w:rsid w:val="185D49CF"/>
    <w:rsid w:val="185F51E2"/>
    <w:rsid w:val="1864714F"/>
    <w:rsid w:val="187840E5"/>
    <w:rsid w:val="18791583"/>
    <w:rsid w:val="18837D26"/>
    <w:rsid w:val="18844BD7"/>
    <w:rsid w:val="188F041F"/>
    <w:rsid w:val="188F24B6"/>
    <w:rsid w:val="189914C5"/>
    <w:rsid w:val="189945D5"/>
    <w:rsid w:val="189A59BB"/>
    <w:rsid w:val="189D227F"/>
    <w:rsid w:val="189D50A4"/>
    <w:rsid w:val="18A25E5E"/>
    <w:rsid w:val="18A42F80"/>
    <w:rsid w:val="18BB02AD"/>
    <w:rsid w:val="18CB677E"/>
    <w:rsid w:val="18E12679"/>
    <w:rsid w:val="18E342D9"/>
    <w:rsid w:val="18F8336C"/>
    <w:rsid w:val="18FB0437"/>
    <w:rsid w:val="18FB780B"/>
    <w:rsid w:val="18FE4A1C"/>
    <w:rsid w:val="18FE61A5"/>
    <w:rsid w:val="1907076A"/>
    <w:rsid w:val="19157FEF"/>
    <w:rsid w:val="191823E9"/>
    <w:rsid w:val="19185387"/>
    <w:rsid w:val="191E0B19"/>
    <w:rsid w:val="19211A8F"/>
    <w:rsid w:val="192421C7"/>
    <w:rsid w:val="19277FFD"/>
    <w:rsid w:val="192E4FD4"/>
    <w:rsid w:val="1931199C"/>
    <w:rsid w:val="193A301E"/>
    <w:rsid w:val="193C492C"/>
    <w:rsid w:val="193C74B4"/>
    <w:rsid w:val="19406292"/>
    <w:rsid w:val="19487CE0"/>
    <w:rsid w:val="194B294E"/>
    <w:rsid w:val="195162B8"/>
    <w:rsid w:val="19555AB1"/>
    <w:rsid w:val="19721D3B"/>
    <w:rsid w:val="19864F60"/>
    <w:rsid w:val="19966777"/>
    <w:rsid w:val="199A4A4C"/>
    <w:rsid w:val="19A2708C"/>
    <w:rsid w:val="19AC0D19"/>
    <w:rsid w:val="19C5088B"/>
    <w:rsid w:val="19D01714"/>
    <w:rsid w:val="19F110B0"/>
    <w:rsid w:val="19F251D7"/>
    <w:rsid w:val="19F3005A"/>
    <w:rsid w:val="19F40F9B"/>
    <w:rsid w:val="19FA3DCD"/>
    <w:rsid w:val="1A0D62A1"/>
    <w:rsid w:val="1A150E00"/>
    <w:rsid w:val="1A196722"/>
    <w:rsid w:val="1A463450"/>
    <w:rsid w:val="1A560940"/>
    <w:rsid w:val="1A5F7468"/>
    <w:rsid w:val="1A716077"/>
    <w:rsid w:val="1A7265B4"/>
    <w:rsid w:val="1A765C58"/>
    <w:rsid w:val="1A8E1F41"/>
    <w:rsid w:val="1A946D58"/>
    <w:rsid w:val="1AAC7566"/>
    <w:rsid w:val="1ACC41AC"/>
    <w:rsid w:val="1AD2467B"/>
    <w:rsid w:val="1AD554D8"/>
    <w:rsid w:val="1AE020F5"/>
    <w:rsid w:val="1AE37EA6"/>
    <w:rsid w:val="1AE72CD6"/>
    <w:rsid w:val="1AF26C32"/>
    <w:rsid w:val="1B061736"/>
    <w:rsid w:val="1B0D0367"/>
    <w:rsid w:val="1B0E75E9"/>
    <w:rsid w:val="1B0E7ACC"/>
    <w:rsid w:val="1B1374D9"/>
    <w:rsid w:val="1B1A0C26"/>
    <w:rsid w:val="1B3832FB"/>
    <w:rsid w:val="1B430971"/>
    <w:rsid w:val="1B480003"/>
    <w:rsid w:val="1B5369B3"/>
    <w:rsid w:val="1B626C67"/>
    <w:rsid w:val="1B6D668B"/>
    <w:rsid w:val="1B7133F4"/>
    <w:rsid w:val="1B722F5C"/>
    <w:rsid w:val="1B72426A"/>
    <w:rsid w:val="1B797B5C"/>
    <w:rsid w:val="1B810226"/>
    <w:rsid w:val="1B9D32FF"/>
    <w:rsid w:val="1B9D60B3"/>
    <w:rsid w:val="1BAD248A"/>
    <w:rsid w:val="1BB43FF6"/>
    <w:rsid w:val="1BC009EB"/>
    <w:rsid w:val="1BC123A5"/>
    <w:rsid w:val="1BD72911"/>
    <w:rsid w:val="1BDE52F7"/>
    <w:rsid w:val="1BE14034"/>
    <w:rsid w:val="1BE20203"/>
    <w:rsid w:val="1BEF04F6"/>
    <w:rsid w:val="1BF12377"/>
    <w:rsid w:val="1BF60A90"/>
    <w:rsid w:val="1BFE1348"/>
    <w:rsid w:val="1C0056CF"/>
    <w:rsid w:val="1C0273DA"/>
    <w:rsid w:val="1C204894"/>
    <w:rsid w:val="1C2A7637"/>
    <w:rsid w:val="1C31004E"/>
    <w:rsid w:val="1C5510F2"/>
    <w:rsid w:val="1C5F1606"/>
    <w:rsid w:val="1C6866B7"/>
    <w:rsid w:val="1C6C05C6"/>
    <w:rsid w:val="1C8162CF"/>
    <w:rsid w:val="1C8300B4"/>
    <w:rsid w:val="1C88200F"/>
    <w:rsid w:val="1C8C7E40"/>
    <w:rsid w:val="1C977BF5"/>
    <w:rsid w:val="1C9C116D"/>
    <w:rsid w:val="1CA912E3"/>
    <w:rsid w:val="1CB560ED"/>
    <w:rsid w:val="1CB94A92"/>
    <w:rsid w:val="1CBF06C7"/>
    <w:rsid w:val="1CC22B27"/>
    <w:rsid w:val="1CC467E5"/>
    <w:rsid w:val="1CD34F77"/>
    <w:rsid w:val="1CD83537"/>
    <w:rsid w:val="1CDE4FFB"/>
    <w:rsid w:val="1CEE2A45"/>
    <w:rsid w:val="1CF23883"/>
    <w:rsid w:val="1CFF1969"/>
    <w:rsid w:val="1D06750F"/>
    <w:rsid w:val="1D070DF0"/>
    <w:rsid w:val="1D0C727D"/>
    <w:rsid w:val="1D0F5046"/>
    <w:rsid w:val="1D153C47"/>
    <w:rsid w:val="1D1F4FED"/>
    <w:rsid w:val="1D287857"/>
    <w:rsid w:val="1D2F2DC0"/>
    <w:rsid w:val="1D3405E7"/>
    <w:rsid w:val="1D4E48D1"/>
    <w:rsid w:val="1D5168D8"/>
    <w:rsid w:val="1D562A3C"/>
    <w:rsid w:val="1D64428A"/>
    <w:rsid w:val="1D646B79"/>
    <w:rsid w:val="1D665A48"/>
    <w:rsid w:val="1D672534"/>
    <w:rsid w:val="1D777055"/>
    <w:rsid w:val="1D921382"/>
    <w:rsid w:val="1D9273FF"/>
    <w:rsid w:val="1D994D1E"/>
    <w:rsid w:val="1D9F741A"/>
    <w:rsid w:val="1DAF4F2F"/>
    <w:rsid w:val="1DB3599B"/>
    <w:rsid w:val="1DB83AB8"/>
    <w:rsid w:val="1DC34FEA"/>
    <w:rsid w:val="1DDB3987"/>
    <w:rsid w:val="1DDB67D2"/>
    <w:rsid w:val="1DDD4A17"/>
    <w:rsid w:val="1DE33EE4"/>
    <w:rsid w:val="1DE72F6F"/>
    <w:rsid w:val="1DF100C0"/>
    <w:rsid w:val="1DF854D8"/>
    <w:rsid w:val="1DFA2F5C"/>
    <w:rsid w:val="1DFB128B"/>
    <w:rsid w:val="1E0A3830"/>
    <w:rsid w:val="1E0E5904"/>
    <w:rsid w:val="1E166D80"/>
    <w:rsid w:val="1E176B10"/>
    <w:rsid w:val="1E1A3A84"/>
    <w:rsid w:val="1E2562BB"/>
    <w:rsid w:val="1E2E78B2"/>
    <w:rsid w:val="1E31211A"/>
    <w:rsid w:val="1E3349DC"/>
    <w:rsid w:val="1E3C6923"/>
    <w:rsid w:val="1E3F3C8A"/>
    <w:rsid w:val="1E3F7F96"/>
    <w:rsid w:val="1E40389C"/>
    <w:rsid w:val="1E4677E1"/>
    <w:rsid w:val="1E4F3947"/>
    <w:rsid w:val="1E5D1F0D"/>
    <w:rsid w:val="1E6E2E8A"/>
    <w:rsid w:val="1E7777F4"/>
    <w:rsid w:val="1E7E3C6A"/>
    <w:rsid w:val="1E833F9E"/>
    <w:rsid w:val="1E8A6609"/>
    <w:rsid w:val="1E8C29AE"/>
    <w:rsid w:val="1E9162CC"/>
    <w:rsid w:val="1E9448AE"/>
    <w:rsid w:val="1EB2183E"/>
    <w:rsid w:val="1EB303E7"/>
    <w:rsid w:val="1EB77412"/>
    <w:rsid w:val="1EBB6C6C"/>
    <w:rsid w:val="1ED21027"/>
    <w:rsid w:val="1ED2126D"/>
    <w:rsid w:val="1ED241FC"/>
    <w:rsid w:val="1ED80970"/>
    <w:rsid w:val="1ED85A70"/>
    <w:rsid w:val="1EDC41FF"/>
    <w:rsid w:val="1EE77A61"/>
    <w:rsid w:val="1EEB5122"/>
    <w:rsid w:val="1EEC1764"/>
    <w:rsid w:val="1EEC55C3"/>
    <w:rsid w:val="1EF266E5"/>
    <w:rsid w:val="1EF44879"/>
    <w:rsid w:val="1EFA4E26"/>
    <w:rsid w:val="1F022AED"/>
    <w:rsid w:val="1F064A12"/>
    <w:rsid w:val="1F0C4C04"/>
    <w:rsid w:val="1F107FAD"/>
    <w:rsid w:val="1F181964"/>
    <w:rsid w:val="1F1F07A6"/>
    <w:rsid w:val="1F1F6F2C"/>
    <w:rsid w:val="1F2972D1"/>
    <w:rsid w:val="1F2B35EB"/>
    <w:rsid w:val="1F3E4DE4"/>
    <w:rsid w:val="1F4038A3"/>
    <w:rsid w:val="1F41699E"/>
    <w:rsid w:val="1F491B25"/>
    <w:rsid w:val="1F4E2266"/>
    <w:rsid w:val="1F517429"/>
    <w:rsid w:val="1F517D25"/>
    <w:rsid w:val="1F540F28"/>
    <w:rsid w:val="1F621EE1"/>
    <w:rsid w:val="1F651C97"/>
    <w:rsid w:val="1F676922"/>
    <w:rsid w:val="1F6B2D2F"/>
    <w:rsid w:val="1F6F7FAD"/>
    <w:rsid w:val="1F741142"/>
    <w:rsid w:val="1F775A56"/>
    <w:rsid w:val="1F7D6912"/>
    <w:rsid w:val="1F9039B5"/>
    <w:rsid w:val="1F9160EE"/>
    <w:rsid w:val="1F946599"/>
    <w:rsid w:val="1FA14CB1"/>
    <w:rsid w:val="1FA75440"/>
    <w:rsid w:val="1FAD49E8"/>
    <w:rsid w:val="1FBA0E4C"/>
    <w:rsid w:val="1FBC1646"/>
    <w:rsid w:val="1FBF3708"/>
    <w:rsid w:val="1FC1414D"/>
    <w:rsid w:val="1FC55A3E"/>
    <w:rsid w:val="1FD702B6"/>
    <w:rsid w:val="1FE7335A"/>
    <w:rsid w:val="1FEC076E"/>
    <w:rsid w:val="1FFC34BD"/>
    <w:rsid w:val="20064111"/>
    <w:rsid w:val="20254052"/>
    <w:rsid w:val="202D4A80"/>
    <w:rsid w:val="203001C8"/>
    <w:rsid w:val="203108F5"/>
    <w:rsid w:val="2034166B"/>
    <w:rsid w:val="20392BC4"/>
    <w:rsid w:val="2042754F"/>
    <w:rsid w:val="20486498"/>
    <w:rsid w:val="204B2244"/>
    <w:rsid w:val="204B550F"/>
    <w:rsid w:val="204D53FE"/>
    <w:rsid w:val="20601879"/>
    <w:rsid w:val="206E281D"/>
    <w:rsid w:val="206F6B87"/>
    <w:rsid w:val="20735AD1"/>
    <w:rsid w:val="208C65CC"/>
    <w:rsid w:val="209C56B6"/>
    <w:rsid w:val="209E1E23"/>
    <w:rsid w:val="20A67433"/>
    <w:rsid w:val="20BB4D61"/>
    <w:rsid w:val="20BF55AB"/>
    <w:rsid w:val="20C000F0"/>
    <w:rsid w:val="20C6349B"/>
    <w:rsid w:val="20DA76B5"/>
    <w:rsid w:val="20DD03FA"/>
    <w:rsid w:val="20DE081E"/>
    <w:rsid w:val="20E0150E"/>
    <w:rsid w:val="20E322B7"/>
    <w:rsid w:val="20EA73CF"/>
    <w:rsid w:val="20FB7FEB"/>
    <w:rsid w:val="210D4C99"/>
    <w:rsid w:val="211759A6"/>
    <w:rsid w:val="21180166"/>
    <w:rsid w:val="211F4AE0"/>
    <w:rsid w:val="212847A7"/>
    <w:rsid w:val="212925B3"/>
    <w:rsid w:val="212A1A50"/>
    <w:rsid w:val="21391892"/>
    <w:rsid w:val="213D67B9"/>
    <w:rsid w:val="214670C9"/>
    <w:rsid w:val="2150198C"/>
    <w:rsid w:val="21555E9B"/>
    <w:rsid w:val="21666D2B"/>
    <w:rsid w:val="216C1101"/>
    <w:rsid w:val="216E6A54"/>
    <w:rsid w:val="217E42EB"/>
    <w:rsid w:val="217F3BF8"/>
    <w:rsid w:val="21813B75"/>
    <w:rsid w:val="21825A76"/>
    <w:rsid w:val="21977012"/>
    <w:rsid w:val="21A16E0D"/>
    <w:rsid w:val="21AC4930"/>
    <w:rsid w:val="21B26104"/>
    <w:rsid w:val="21B460F2"/>
    <w:rsid w:val="21B46E23"/>
    <w:rsid w:val="21B860BA"/>
    <w:rsid w:val="21BC13EF"/>
    <w:rsid w:val="21BC1F44"/>
    <w:rsid w:val="21BE2E00"/>
    <w:rsid w:val="21D56297"/>
    <w:rsid w:val="21D93A85"/>
    <w:rsid w:val="21DC5335"/>
    <w:rsid w:val="21E2641A"/>
    <w:rsid w:val="21E31415"/>
    <w:rsid w:val="21E41225"/>
    <w:rsid w:val="21EE3A71"/>
    <w:rsid w:val="21F12660"/>
    <w:rsid w:val="21F4618B"/>
    <w:rsid w:val="22044745"/>
    <w:rsid w:val="220A4192"/>
    <w:rsid w:val="220A5D4F"/>
    <w:rsid w:val="220C1CEE"/>
    <w:rsid w:val="221F53D1"/>
    <w:rsid w:val="223434FF"/>
    <w:rsid w:val="223C2435"/>
    <w:rsid w:val="22431D2E"/>
    <w:rsid w:val="225F07A7"/>
    <w:rsid w:val="22610340"/>
    <w:rsid w:val="2269502A"/>
    <w:rsid w:val="227C4964"/>
    <w:rsid w:val="22822121"/>
    <w:rsid w:val="22847E17"/>
    <w:rsid w:val="228910F3"/>
    <w:rsid w:val="228B0EF0"/>
    <w:rsid w:val="22960319"/>
    <w:rsid w:val="22A47ECE"/>
    <w:rsid w:val="22A96E5D"/>
    <w:rsid w:val="22AD4D6D"/>
    <w:rsid w:val="22DB0623"/>
    <w:rsid w:val="22E679AF"/>
    <w:rsid w:val="22EB2FE7"/>
    <w:rsid w:val="22F745F2"/>
    <w:rsid w:val="22F83FEB"/>
    <w:rsid w:val="23041174"/>
    <w:rsid w:val="23074CF8"/>
    <w:rsid w:val="231860EC"/>
    <w:rsid w:val="231D41B7"/>
    <w:rsid w:val="23271EC4"/>
    <w:rsid w:val="232A0557"/>
    <w:rsid w:val="23337719"/>
    <w:rsid w:val="23353BBB"/>
    <w:rsid w:val="23392A44"/>
    <w:rsid w:val="233B6511"/>
    <w:rsid w:val="234A4FC1"/>
    <w:rsid w:val="234C165B"/>
    <w:rsid w:val="23580709"/>
    <w:rsid w:val="235B6D71"/>
    <w:rsid w:val="235C6DAE"/>
    <w:rsid w:val="2365214B"/>
    <w:rsid w:val="23660A40"/>
    <w:rsid w:val="236B6859"/>
    <w:rsid w:val="236C00F1"/>
    <w:rsid w:val="238C34AF"/>
    <w:rsid w:val="239035A7"/>
    <w:rsid w:val="2399014C"/>
    <w:rsid w:val="23994D38"/>
    <w:rsid w:val="23B463AA"/>
    <w:rsid w:val="23B81D0D"/>
    <w:rsid w:val="23BB5EB0"/>
    <w:rsid w:val="23BE2D95"/>
    <w:rsid w:val="23C45B7C"/>
    <w:rsid w:val="23C5519D"/>
    <w:rsid w:val="23DE6BB5"/>
    <w:rsid w:val="23F2007C"/>
    <w:rsid w:val="23FF4F5F"/>
    <w:rsid w:val="241F3CF0"/>
    <w:rsid w:val="242472CE"/>
    <w:rsid w:val="24317D43"/>
    <w:rsid w:val="243447AC"/>
    <w:rsid w:val="243D0787"/>
    <w:rsid w:val="24493403"/>
    <w:rsid w:val="24643976"/>
    <w:rsid w:val="24647FCD"/>
    <w:rsid w:val="246A4EEE"/>
    <w:rsid w:val="247A4900"/>
    <w:rsid w:val="247F36EC"/>
    <w:rsid w:val="2480698E"/>
    <w:rsid w:val="24903E81"/>
    <w:rsid w:val="249166DD"/>
    <w:rsid w:val="24986A2C"/>
    <w:rsid w:val="24B22DCB"/>
    <w:rsid w:val="24B93C4E"/>
    <w:rsid w:val="24CA1CBC"/>
    <w:rsid w:val="24D15207"/>
    <w:rsid w:val="24FA063A"/>
    <w:rsid w:val="24FB152F"/>
    <w:rsid w:val="24FC0961"/>
    <w:rsid w:val="25042766"/>
    <w:rsid w:val="2509615C"/>
    <w:rsid w:val="250E3308"/>
    <w:rsid w:val="250F0D8F"/>
    <w:rsid w:val="2514547C"/>
    <w:rsid w:val="2523072F"/>
    <w:rsid w:val="25254993"/>
    <w:rsid w:val="2526656B"/>
    <w:rsid w:val="25280B24"/>
    <w:rsid w:val="253018BC"/>
    <w:rsid w:val="2535402A"/>
    <w:rsid w:val="25371391"/>
    <w:rsid w:val="253A528A"/>
    <w:rsid w:val="253E3A09"/>
    <w:rsid w:val="25450ABE"/>
    <w:rsid w:val="254627F3"/>
    <w:rsid w:val="2547125A"/>
    <w:rsid w:val="25531FA9"/>
    <w:rsid w:val="25583416"/>
    <w:rsid w:val="25607946"/>
    <w:rsid w:val="256A4C50"/>
    <w:rsid w:val="25762D82"/>
    <w:rsid w:val="257D1B2E"/>
    <w:rsid w:val="257E6C2E"/>
    <w:rsid w:val="25896937"/>
    <w:rsid w:val="25933A14"/>
    <w:rsid w:val="25A071F6"/>
    <w:rsid w:val="25A72196"/>
    <w:rsid w:val="25B624BC"/>
    <w:rsid w:val="25BB0BD5"/>
    <w:rsid w:val="25CB4B36"/>
    <w:rsid w:val="25CC5840"/>
    <w:rsid w:val="25D964D7"/>
    <w:rsid w:val="25E20FA5"/>
    <w:rsid w:val="25E45C77"/>
    <w:rsid w:val="25EA3498"/>
    <w:rsid w:val="260969B6"/>
    <w:rsid w:val="260A35CC"/>
    <w:rsid w:val="260B3DFD"/>
    <w:rsid w:val="260C7973"/>
    <w:rsid w:val="2619010B"/>
    <w:rsid w:val="261B137A"/>
    <w:rsid w:val="26263264"/>
    <w:rsid w:val="262D2562"/>
    <w:rsid w:val="262D78C9"/>
    <w:rsid w:val="263467ED"/>
    <w:rsid w:val="26386373"/>
    <w:rsid w:val="266009C7"/>
    <w:rsid w:val="266A2E4A"/>
    <w:rsid w:val="267B221D"/>
    <w:rsid w:val="267B63F7"/>
    <w:rsid w:val="267D62BA"/>
    <w:rsid w:val="267E4CFD"/>
    <w:rsid w:val="269263CD"/>
    <w:rsid w:val="26992BB8"/>
    <w:rsid w:val="269C13D5"/>
    <w:rsid w:val="26A57DA2"/>
    <w:rsid w:val="26A75B8D"/>
    <w:rsid w:val="26C872C8"/>
    <w:rsid w:val="26D85003"/>
    <w:rsid w:val="26E26A72"/>
    <w:rsid w:val="26E8399A"/>
    <w:rsid w:val="26EE2C29"/>
    <w:rsid w:val="26F27A2F"/>
    <w:rsid w:val="26F823A2"/>
    <w:rsid w:val="26FB4569"/>
    <w:rsid w:val="271419BF"/>
    <w:rsid w:val="27151D8F"/>
    <w:rsid w:val="272A2BE1"/>
    <w:rsid w:val="27315D1D"/>
    <w:rsid w:val="27433C68"/>
    <w:rsid w:val="2749750B"/>
    <w:rsid w:val="27585C72"/>
    <w:rsid w:val="27585CBC"/>
    <w:rsid w:val="27595B5B"/>
    <w:rsid w:val="27611C39"/>
    <w:rsid w:val="276601C0"/>
    <w:rsid w:val="276974B6"/>
    <w:rsid w:val="277374B4"/>
    <w:rsid w:val="27777AC7"/>
    <w:rsid w:val="27783245"/>
    <w:rsid w:val="27817033"/>
    <w:rsid w:val="278213F3"/>
    <w:rsid w:val="27867899"/>
    <w:rsid w:val="279B421E"/>
    <w:rsid w:val="27A633FB"/>
    <w:rsid w:val="27B8643F"/>
    <w:rsid w:val="27BB05C5"/>
    <w:rsid w:val="27C0618C"/>
    <w:rsid w:val="27D70F10"/>
    <w:rsid w:val="27D83C4E"/>
    <w:rsid w:val="27D912E9"/>
    <w:rsid w:val="27DB4AA7"/>
    <w:rsid w:val="27EA18EB"/>
    <w:rsid w:val="27EF728E"/>
    <w:rsid w:val="27F80B87"/>
    <w:rsid w:val="280628EB"/>
    <w:rsid w:val="28114FAB"/>
    <w:rsid w:val="281404A8"/>
    <w:rsid w:val="28153C7F"/>
    <w:rsid w:val="281A21A3"/>
    <w:rsid w:val="281A740B"/>
    <w:rsid w:val="28261C34"/>
    <w:rsid w:val="282915D8"/>
    <w:rsid w:val="28295FA5"/>
    <w:rsid w:val="282C3700"/>
    <w:rsid w:val="28403F24"/>
    <w:rsid w:val="28460DE5"/>
    <w:rsid w:val="286306B1"/>
    <w:rsid w:val="287645D6"/>
    <w:rsid w:val="2877742B"/>
    <w:rsid w:val="287B09D5"/>
    <w:rsid w:val="287B4C4A"/>
    <w:rsid w:val="28836A4D"/>
    <w:rsid w:val="289F3317"/>
    <w:rsid w:val="28A16086"/>
    <w:rsid w:val="28A45650"/>
    <w:rsid w:val="28A82D2C"/>
    <w:rsid w:val="28A955AD"/>
    <w:rsid w:val="28BC23C5"/>
    <w:rsid w:val="28BC27AB"/>
    <w:rsid w:val="28BE088F"/>
    <w:rsid w:val="28CA0B87"/>
    <w:rsid w:val="28D77456"/>
    <w:rsid w:val="28DB4527"/>
    <w:rsid w:val="28E079D6"/>
    <w:rsid w:val="28E844FB"/>
    <w:rsid w:val="28EC054E"/>
    <w:rsid w:val="28F40B63"/>
    <w:rsid w:val="28FD64E9"/>
    <w:rsid w:val="29034C73"/>
    <w:rsid w:val="29062E21"/>
    <w:rsid w:val="290D415C"/>
    <w:rsid w:val="291F6252"/>
    <w:rsid w:val="292266B7"/>
    <w:rsid w:val="29254E3E"/>
    <w:rsid w:val="293D7322"/>
    <w:rsid w:val="293E469A"/>
    <w:rsid w:val="29406616"/>
    <w:rsid w:val="29437337"/>
    <w:rsid w:val="294963E7"/>
    <w:rsid w:val="294C5671"/>
    <w:rsid w:val="294E0DA9"/>
    <w:rsid w:val="296960FC"/>
    <w:rsid w:val="296B1551"/>
    <w:rsid w:val="29736F95"/>
    <w:rsid w:val="29775BAA"/>
    <w:rsid w:val="2978317E"/>
    <w:rsid w:val="29792227"/>
    <w:rsid w:val="297B150F"/>
    <w:rsid w:val="297D010F"/>
    <w:rsid w:val="2982387B"/>
    <w:rsid w:val="29833A8D"/>
    <w:rsid w:val="29897DF3"/>
    <w:rsid w:val="299009C8"/>
    <w:rsid w:val="299779F0"/>
    <w:rsid w:val="29A037D6"/>
    <w:rsid w:val="29A054B7"/>
    <w:rsid w:val="29B475D9"/>
    <w:rsid w:val="29B83280"/>
    <w:rsid w:val="29C42E79"/>
    <w:rsid w:val="29C93601"/>
    <w:rsid w:val="29CA23CC"/>
    <w:rsid w:val="29CC0BBC"/>
    <w:rsid w:val="29D3169A"/>
    <w:rsid w:val="29D54752"/>
    <w:rsid w:val="29D643DF"/>
    <w:rsid w:val="29DB2F5B"/>
    <w:rsid w:val="29E55D67"/>
    <w:rsid w:val="29F065AD"/>
    <w:rsid w:val="29F06FE6"/>
    <w:rsid w:val="29FA7007"/>
    <w:rsid w:val="29FE65A8"/>
    <w:rsid w:val="2A0A7694"/>
    <w:rsid w:val="2A137BED"/>
    <w:rsid w:val="2A1536D4"/>
    <w:rsid w:val="2A1647B8"/>
    <w:rsid w:val="2A187C37"/>
    <w:rsid w:val="2A1B3DC1"/>
    <w:rsid w:val="2A204AFB"/>
    <w:rsid w:val="2A2172A5"/>
    <w:rsid w:val="2A2731EE"/>
    <w:rsid w:val="2A2F1832"/>
    <w:rsid w:val="2A392FA8"/>
    <w:rsid w:val="2A401328"/>
    <w:rsid w:val="2A4446C4"/>
    <w:rsid w:val="2A472406"/>
    <w:rsid w:val="2A530C71"/>
    <w:rsid w:val="2A567046"/>
    <w:rsid w:val="2A573AD4"/>
    <w:rsid w:val="2A6616E0"/>
    <w:rsid w:val="2A6D791C"/>
    <w:rsid w:val="2A79738A"/>
    <w:rsid w:val="2A817CDB"/>
    <w:rsid w:val="2A8A7AC4"/>
    <w:rsid w:val="2A9254A2"/>
    <w:rsid w:val="2A986A4C"/>
    <w:rsid w:val="2A994966"/>
    <w:rsid w:val="2AA307E1"/>
    <w:rsid w:val="2ABC1F38"/>
    <w:rsid w:val="2ABF2D0C"/>
    <w:rsid w:val="2AD42F1D"/>
    <w:rsid w:val="2AD721ED"/>
    <w:rsid w:val="2AE5512F"/>
    <w:rsid w:val="2AE9403D"/>
    <w:rsid w:val="2AEA1D9E"/>
    <w:rsid w:val="2AF155A3"/>
    <w:rsid w:val="2AFD59CC"/>
    <w:rsid w:val="2B08056A"/>
    <w:rsid w:val="2B110399"/>
    <w:rsid w:val="2B1E4E42"/>
    <w:rsid w:val="2B234C27"/>
    <w:rsid w:val="2B2F06FD"/>
    <w:rsid w:val="2B36286D"/>
    <w:rsid w:val="2B4D7A6E"/>
    <w:rsid w:val="2B51097D"/>
    <w:rsid w:val="2B570FA2"/>
    <w:rsid w:val="2B605172"/>
    <w:rsid w:val="2B621F77"/>
    <w:rsid w:val="2B6F3269"/>
    <w:rsid w:val="2B7258AE"/>
    <w:rsid w:val="2B747D1D"/>
    <w:rsid w:val="2B776021"/>
    <w:rsid w:val="2B7F6B00"/>
    <w:rsid w:val="2B840F4F"/>
    <w:rsid w:val="2B98790E"/>
    <w:rsid w:val="2BBD2C66"/>
    <w:rsid w:val="2BC321F3"/>
    <w:rsid w:val="2BC63AF5"/>
    <w:rsid w:val="2BD177EF"/>
    <w:rsid w:val="2BDD725F"/>
    <w:rsid w:val="2BE06FC4"/>
    <w:rsid w:val="2BE14F63"/>
    <w:rsid w:val="2BEA47F4"/>
    <w:rsid w:val="2BFC1480"/>
    <w:rsid w:val="2BFE0E83"/>
    <w:rsid w:val="2C007D34"/>
    <w:rsid w:val="2C100B26"/>
    <w:rsid w:val="2C17393B"/>
    <w:rsid w:val="2C1F15C5"/>
    <w:rsid w:val="2C2220D9"/>
    <w:rsid w:val="2C253B86"/>
    <w:rsid w:val="2C2E61C7"/>
    <w:rsid w:val="2C333039"/>
    <w:rsid w:val="2C3B4ACC"/>
    <w:rsid w:val="2C445191"/>
    <w:rsid w:val="2C5030EA"/>
    <w:rsid w:val="2C560BF5"/>
    <w:rsid w:val="2C570883"/>
    <w:rsid w:val="2C5D57B6"/>
    <w:rsid w:val="2C5F0E22"/>
    <w:rsid w:val="2C5F6160"/>
    <w:rsid w:val="2C6624DD"/>
    <w:rsid w:val="2C71170E"/>
    <w:rsid w:val="2C712B81"/>
    <w:rsid w:val="2C787F13"/>
    <w:rsid w:val="2C7A5D6E"/>
    <w:rsid w:val="2C846BD1"/>
    <w:rsid w:val="2C9E20BD"/>
    <w:rsid w:val="2CA5380E"/>
    <w:rsid w:val="2CAD4974"/>
    <w:rsid w:val="2CAD5E46"/>
    <w:rsid w:val="2CB90C8F"/>
    <w:rsid w:val="2CB91E46"/>
    <w:rsid w:val="2CC00428"/>
    <w:rsid w:val="2CCB07F1"/>
    <w:rsid w:val="2CD40A10"/>
    <w:rsid w:val="2CEA135C"/>
    <w:rsid w:val="2CF80C68"/>
    <w:rsid w:val="2CFD45C7"/>
    <w:rsid w:val="2D07024A"/>
    <w:rsid w:val="2D0A6D56"/>
    <w:rsid w:val="2D1072FF"/>
    <w:rsid w:val="2D131F75"/>
    <w:rsid w:val="2D167691"/>
    <w:rsid w:val="2D19030F"/>
    <w:rsid w:val="2D3605E1"/>
    <w:rsid w:val="2D4F0670"/>
    <w:rsid w:val="2D501B33"/>
    <w:rsid w:val="2D510EC7"/>
    <w:rsid w:val="2D6270EB"/>
    <w:rsid w:val="2D6A33ED"/>
    <w:rsid w:val="2D6D5063"/>
    <w:rsid w:val="2D7666BA"/>
    <w:rsid w:val="2D8356CF"/>
    <w:rsid w:val="2D842C6D"/>
    <w:rsid w:val="2D843383"/>
    <w:rsid w:val="2DA04137"/>
    <w:rsid w:val="2DA457DA"/>
    <w:rsid w:val="2DAD339D"/>
    <w:rsid w:val="2DB51E23"/>
    <w:rsid w:val="2DB555D9"/>
    <w:rsid w:val="2DC86E0C"/>
    <w:rsid w:val="2DD37DA0"/>
    <w:rsid w:val="2DE4610A"/>
    <w:rsid w:val="2DED5CF5"/>
    <w:rsid w:val="2DF16AB6"/>
    <w:rsid w:val="2E180A1B"/>
    <w:rsid w:val="2E183E5B"/>
    <w:rsid w:val="2E31538A"/>
    <w:rsid w:val="2E421CF2"/>
    <w:rsid w:val="2E442CBE"/>
    <w:rsid w:val="2E4755BA"/>
    <w:rsid w:val="2E47733E"/>
    <w:rsid w:val="2E490FBA"/>
    <w:rsid w:val="2E500DCF"/>
    <w:rsid w:val="2E582547"/>
    <w:rsid w:val="2E582C22"/>
    <w:rsid w:val="2E636614"/>
    <w:rsid w:val="2E76495E"/>
    <w:rsid w:val="2E7A4D73"/>
    <w:rsid w:val="2EA96AE1"/>
    <w:rsid w:val="2EC63C2C"/>
    <w:rsid w:val="2ECA795C"/>
    <w:rsid w:val="2ED54BC9"/>
    <w:rsid w:val="2EE144CD"/>
    <w:rsid w:val="2EE179F4"/>
    <w:rsid w:val="2EE6507C"/>
    <w:rsid w:val="2EF777CB"/>
    <w:rsid w:val="2EFE4F36"/>
    <w:rsid w:val="2F203BC9"/>
    <w:rsid w:val="2F270C03"/>
    <w:rsid w:val="2F380867"/>
    <w:rsid w:val="2F3A566F"/>
    <w:rsid w:val="2F416444"/>
    <w:rsid w:val="2F4959BC"/>
    <w:rsid w:val="2F55368D"/>
    <w:rsid w:val="2F5E79D5"/>
    <w:rsid w:val="2F6214B7"/>
    <w:rsid w:val="2F6C4B72"/>
    <w:rsid w:val="2F6C73CB"/>
    <w:rsid w:val="2F7759BF"/>
    <w:rsid w:val="2F7E34CC"/>
    <w:rsid w:val="2F815EA3"/>
    <w:rsid w:val="2F980856"/>
    <w:rsid w:val="2FA92407"/>
    <w:rsid w:val="2FB77358"/>
    <w:rsid w:val="2FBA470F"/>
    <w:rsid w:val="2FC0099F"/>
    <w:rsid w:val="2FC20AEB"/>
    <w:rsid w:val="2FC47F6F"/>
    <w:rsid w:val="2FCA357A"/>
    <w:rsid w:val="2FCD1FEF"/>
    <w:rsid w:val="2FDA3049"/>
    <w:rsid w:val="2FEB6482"/>
    <w:rsid w:val="2FEE65C5"/>
    <w:rsid w:val="2FF800B1"/>
    <w:rsid w:val="2FF85B9A"/>
    <w:rsid w:val="30011A5A"/>
    <w:rsid w:val="300455D4"/>
    <w:rsid w:val="300D69FF"/>
    <w:rsid w:val="300F2404"/>
    <w:rsid w:val="30191213"/>
    <w:rsid w:val="30301923"/>
    <w:rsid w:val="303A6E81"/>
    <w:rsid w:val="304344EF"/>
    <w:rsid w:val="305078CD"/>
    <w:rsid w:val="305449EB"/>
    <w:rsid w:val="30556036"/>
    <w:rsid w:val="30576554"/>
    <w:rsid w:val="30660E6C"/>
    <w:rsid w:val="306D3F2A"/>
    <w:rsid w:val="306E00AB"/>
    <w:rsid w:val="30843D4F"/>
    <w:rsid w:val="309B13DE"/>
    <w:rsid w:val="309E2F67"/>
    <w:rsid w:val="30BD7512"/>
    <w:rsid w:val="30C71296"/>
    <w:rsid w:val="30CA45A9"/>
    <w:rsid w:val="30CB6C1A"/>
    <w:rsid w:val="30D14A02"/>
    <w:rsid w:val="30DB72C0"/>
    <w:rsid w:val="30E72DC5"/>
    <w:rsid w:val="30E85C64"/>
    <w:rsid w:val="30FA2CC7"/>
    <w:rsid w:val="3101334A"/>
    <w:rsid w:val="31021AEF"/>
    <w:rsid w:val="31094C30"/>
    <w:rsid w:val="310B3319"/>
    <w:rsid w:val="31303AD4"/>
    <w:rsid w:val="31383DEF"/>
    <w:rsid w:val="31440148"/>
    <w:rsid w:val="314B5093"/>
    <w:rsid w:val="315B3C76"/>
    <w:rsid w:val="315E1AFD"/>
    <w:rsid w:val="31603B51"/>
    <w:rsid w:val="316341AE"/>
    <w:rsid w:val="316D4514"/>
    <w:rsid w:val="317D4A6E"/>
    <w:rsid w:val="318208A5"/>
    <w:rsid w:val="31890B59"/>
    <w:rsid w:val="31897FF0"/>
    <w:rsid w:val="318B1514"/>
    <w:rsid w:val="319D1757"/>
    <w:rsid w:val="319E5BFE"/>
    <w:rsid w:val="31A41D70"/>
    <w:rsid w:val="31AB7C64"/>
    <w:rsid w:val="31AE2805"/>
    <w:rsid w:val="31B639EF"/>
    <w:rsid w:val="31D00F9C"/>
    <w:rsid w:val="31D942D3"/>
    <w:rsid w:val="31DE4165"/>
    <w:rsid w:val="31EB725F"/>
    <w:rsid w:val="31ED0F60"/>
    <w:rsid w:val="3201704A"/>
    <w:rsid w:val="320A357D"/>
    <w:rsid w:val="320D50CA"/>
    <w:rsid w:val="320F382B"/>
    <w:rsid w:val="321E3C9C"/>
    <w:rsid w:val="323F0B0A"/>
    <w:rsid w:val="324067EE"/>
    <w:rsid w:val="32422A50"/>
    <w:rsid w:val="32457A65"/>
    <w:rsid w:val="3246423E"/>
    <w:rsid w:val="3251196A"/>
    <w:rsid w:val="32520FA8"/>
    <w:rsid w:val="325749E0"/>
    <w:rsid w:val="32575BC0"/>
    <w:rsid w:val="325F08F4"/>
    <w:rsid w:val="32617356"/>
    <w:rsid w:val="326205EA"/>
    <w:rsid w:val="3262403D"/>
    <w:rsid w:val="32673686"/>
    <w:rsid w:val="327148CB"/>
    <w:rsid w:val="32827AD2"/>
    <w:rsid w:val="328E2207"/>
    <w:rsid w:val="3290344C"/>
    <w:rsid w:val="329A442B"/>
    <w:rsid w:val="329E562C"/>
    <w:rsid w:val="32A103C0"/>
    <w:rsid w:val="32A823DD"/>
    <w:rsid w:val="32AF6B83"/>
    <w:rsid w:val="32B0136B"/>
    <w:rsid w:val="32B0230E"/>
    <w:rsid w:val="32B52EB1"/>
    <w:rsid w:val="32B93A77"/>
    <w:rsid w:val="32BF3ED5"/>
    <w:rsid w:val="32C132FE"/>
    <w:rsid w:val="32D00AE0"/>
    <w:rsid w:val="32DB21B8"/>
    <w:rsid w:val="32EB288E"/>
    <w:rsid w:val="32EE3C25"/>
    <w:rsid w:val="32F12226"/>
    <w:rsid w:val="32F3657D"/>
    <w:rsid w:val="32FC103B"/>
    <w:rsid w:val="32FF72BF"/>
    <w:rsid w:val="330131F0"/>
    <w:rsid w:val="330677DD"/>
    <w:rsid w:val="33094749"/>
    <w:rsid w:val="330B66E0"/>
    <w:rsid w:val="330D3E73"/>
    <w:rsid w:val="33173A8C"/>
    <w:rsid w:val="331B783A"/>
    <w:rsid w:val="331C013C"/>
    <w:rsid w:val="332E01AC"/>
    <w:rsid w:val="3334636F"/>
    <w:rsid w:val="333678E8"/>
    <w:rsid w:val="333B1A54"/>
    <w:rsid w:val="335331C4"/>
    <w:rsid w:val="335E6A7D"/>
    <w:rsid w:val="33605DB7"/>
    <w:rsid w:val="336F1B48"/>
    <w:rsid w:val="33765911"/>
    <w:rsid w:val="3377056A"/>
    <w:rsid w:val="337A3D61"/>
    <w:rsid w:val="337C26CB"/>
    <w:rsid w:val="338121B2"/>
    <w:rsid w:val="3387476C"/>
    <w:rsid w:val="338C1443"/>
    <w:rsid w:val="33A11B5A"/>
    <w:rsid w:val="33A374F1"/>
    <w:rsid w:val="33A65B98"/>
    <w:rsid w:val="33BD2095"/>
    <w:rsid w:val="33C61C4C"/>
    <w:rsid w:val="33C828A3"/>
    <w:rsid w:val="33C9399A"/>
    <w:rsid w:val="33D26B7C"/>
    <w:rsid w:val="33DD2324"/>
    <w:rsid w:val="33F702EF"/>
    <w:rsid w:val="34001230"/>
    <w:rsid w:val="34003AFD"/>
    <w:rsid w:val="3401717B"/>
    <w:rsid w:val="34017E6E"/>
    <w:rsid w:val="34040C10"/>
    <w:rsid w:val="340B1A48"/>
    <w:rsid w:val="340F4B7C"/>
    <w:rsid w:val="34157222"/>
    <w:rsid w:val="34194F88"/>
    <w:rsid w:val="341964FD"/>
    <w:rsid w:val="342320C0"/>
    <w:rsid w:val="34236C1F"/>
    <w:rsid w:val="34282C5B"/>
    <w:rsid w:val="343776B5"/>
    <w:rsid w:val="34441992"/>
    <w:rsid w:val="344819E9"/>
    <w:rsid w:val="344A6189"/>
    <w:rsid w:val="344D50FA"/>
    <w:rsid w:val="34523EED"/>
    <w:rsid w:val="34526A82"/>
    <w:rsid w:val="3453797C"/>
    <w:rsid w:val="34562454"/>
    <w:rsid w:val="34695BFE"/>
    <w:rsid w:val="347E43BE"/>
    <w:rsid w:val="34895349"/>
    <w:rsid w:val="3495003B"/>
    <w:rsid w:val="349515A1"/>
    <w:rsid w:val="34951764"/>
    <w:rsid w:val="34981FFB"/>
    <w:rsid w:val="349A6255"/>
    <w:rsid w:val="349D57E8"/>
    <w:rsid w:val="34A039D8"/>
    <w:rsid w:val="34A65966"/>
    <w:rsid w:val="34AA6D73"/>
    <w:rsid w:val="34B35295"/>
    <w:rsid w:val="34D0751C"/>
    <w:rsid w:val="34D5596E"/>
    <w:rsid w:val="34D73340"/>
    <w:rsid w:val="34D86AFA"/>
    <w:rsid w:val="34E51E57"/>
    <w:rsid w:val="34E856FC"/>
    <w:rsid w:val="34EB1C02"/>
    <w:rsid w:val="350B380F"/>
    <w:rsid w:val="350F63D8"/>
    <w:rsid w:val="35163E63"/>
    <w:rsid w:val="3520186D"/>
    <w:rsid w:val="35207E80"/>
    <w:rsid w:val="35232FB1"/>
    <w:rsid w:val="35273F63"/>
    <w:rsid w:val="35281B19"/>
    <w:rsid w:val="35291B35"/>
    <w:rsid w:val="35331BCF"/>
    <w:rsid w:val="35377260"/>
    <w:rsid w:val="3539100C"/>
    <w:rsid w:val="35396E3D"/>
    <w:rsid w:val="353B4581"/>
    <w:rsid w:val="353B489C"/>
    <w:rsid w:val="355B347F"/>
    <w:rsid w:val="355C3FF0"/>
    <w:rsid w:val="355E7A70"/>
    <w:rsid w:val="355F32C0"/>
    <w:rsid w:val="35605ABB"/>
    <w:rsid w:val="356926FF"/>
    <w:rsid w:val="356D4B8D"/>
    <w:rsid w:val="357156A6"/>
    <w:rsid w:val="35723077"/>
    <w:rsid w:val="35726C4E"/>
    <w:rsid w:val="3577414A"/>
    <w:rsid w:val="357875C7"/>
    <w:rsid w:val="357F2100"/>
    <w:rsid w:val="358D772C"/>
    <w:rsid w:val="35903457"/>
    <w:rsid w:val="35944270"/>
    <w:rsid w:val="35970508"/>
    <w:rsid w:val="35A47265"/>
    <w:rsid w:val="35A765DA"/>
    <w:rsid w:val="35AA40DB"/>
    <w:rsid w:val="35AB4C01"/>
    <w:rsid w:val="35AF4DA3"/>
    <w:rsid w:val="35BC430D"/>
    <w:rsid w:val="35C31667"/>
    <w:rsid w:val="35C95E0F"/>
    <w:rsid w:val="35CF3275"/>
    <w:rsid w:val="35D76C96"/>
    <w:rsid w:val="35EB7503"/>
    <w:rsid w:val="35FA6D18"/>
    <w:rsid w:val="35FB2187"/>
    <w:rsid w:val="36070E4B"/>
    <w:rsid w:val="36091A77"/>
    <w:rsid w:val="360F55DC"/>
    <w:rsid w:val="361B1F33"/>
    <w:rsid w:val="36203A03"/>
    <w:rsid w:val="36213D86"/>
    <w:rsid w:val="362B4280"/>
    <w:rsid w:val="36322247"/>
    <w:rsid w:val="36463A76"/>
    <w:rsid w:val="36511668"/>
    <w:rsid w:val="365858E2"/>
    <w:rsid w:val="3663415D"/>
    <w:rsid w:val="36692135"/>
    <w:rsid w:val="36743E79"/>
    <w:rsid w:val="36901EE3"/>
    <w:rsid w:val="369B0E26"/>
    <w:rsid w:val="369F61FC"/>
    <w:rsid w:val="369F74B8"/>
    <w:rsid w:val="36A24038"/>
    <w:rsid w:val="36A25204"/>
    <w:rsid w:val="36A70F6F"/>
    <w:rsid w:val="36A8648B"/>
    <w:rsid w:val="36B02E85"/>
    <w:rsid w:val="36B95E2D"/>
    <w:rsid w:val="36C16493"/>
    <w:rsid w:val="36C33277"/>
    <w:rsid w:val="36D04744"/>
    <w:rsid w:val="36D316D5"/>
    <w:rsid w:val="36DA63F0"/>
    <w:rsid w:val="36DF6451"/>
    <w:rsid w:val="36E46AB0"/>
    <w:rsid w:val="36EF0FC8"/>
    <w:rsid w:val="36F013FC"/>
    <w:rsid w:val="36F14726"/>
    <w:rsid w:val="36F16F7D"/>
    <w:rsid w:val="36F26D4E"/>
    <w:rsid w:val="36FF1E91"/>
    <w:rsid w:val="37046237"/>
    <w:rsid w:val="370D2666"/>
    <w:rsid w:val="37164146"/>
    <w:rsid w:val="37321ACE"/>
    <w:rsid w:val="373940F0"/>
    <w:rsid w:val="373B4BCE"/>
    <w:rsid w:val="3742270D"/>
    <w:rsid w:val="37460881"/>
    <w:rsid w:val="374E3ACA"/>
    <w:rsid w:val="3753525B"/>
    <w:rsid w:val="375357D2"/>
    <w:rsid w:val="37566DF9"/>
    <w:rsid w:val="376204D3"/>
    <w:rsid w:val="37623D89"/>
    <w:rsid w:val="376B4F89"/>
    <w:rsid w:val="376E2C5F"/>
    <w:rsid w:val="376F6684"/>
    <w:rsid w:val="37710D1F"/>
    <w:rsid w:val="377B4420"/>
    <w:rsid w:val="377C3E21"/>
    <w:rsid w:val="37900582"/>
    <w:rsid w:val="3794526C"/>
    <w:rsid w:val="37A010B9"/>
    <w:rsid w:val="37A65FFD"/>
    <w:rsid w:val="37BB6E55"/>
    <w:rsid w:val="37BE08FA"/>
    <w:rsid w:val="37BE5A62"/>
    <w:rsid w:val="37C54C21"/>
    <w:rsid w:val="37CF4F1F"/>
    <w:rsid w:val="37D60F7D"/>
    <w:rsid w:val="37E119BF"/>
    <w:rsid w:val="37E753FD"/>
    <w:rsid w:val="37F30D98"/>
    <w:rsid w:val="37F83D1F"/>
    <w:rsid w:val="37F952A6"/>
    <w:rsid w:val="37FA4AB9"/>
    <w:rsid w:val="38002AE3"/>
    <w:rsid w:val="380706E9"/>
    <w:rsid w:val="380B4803"/>
    <w:rsid w:val="380D1F07"/>
    <w:rsid w:val="3811683F"/>
    <w:rsid w:val="38146CE8"/>
    <w:rsid w:val="381B54AB"/>
    <w:rsid w:val="381B738E"/>
    <w:rsid w:val="381C6576"/>
    <w:rsid w:val="381C6EC0"/>
    <w:rsid w:val="3823284F"/>
    <w:rsid w:val="383D1B17"/>
    <w:rsid w:val="38420EA3"/>
    <w:rsid w:val="38432AB2"/>
    <w:rsid w:val="38496FB7"/>
    <w:rsid w:val="38514E49"/>
    <w:rsid w:val="38541FB5"/>
    <w:rsid w:val="38611135"/>
    <w:rsid w:val="386A72E1"/>
    <w:rsid w:val="386D4310"/>
    <w:rsid w:val="38762016"/>
    <w:rsid w:val="388018E9"/>
    <w:rsid w:val="388747C2"/>
    <w:rsid w:val="389255F5"/>
    <w:rsid w:val="3897596D"/>
    <w:rsid w:val="38A1236C"/>
    <w:rsid w:val="38A41B76"/>
    <w:rsid w:val="38AB6D51"/>
    <w:rsid w:val="38AB746A"/>
    <w:rsid w:val="38C04F30"/>
    <w:rsid w:val="38C13CFD"/>
    <w:rsid w:val="38C202AF"/>
    <w:rsid w:val="38C91EFC"/>
    <w:rsid w:val="38D17092"/>
    <w:rsid w:val="38E11BE1"/>
    <w:rsid w:val="38E153F9"/>
    <w:rsid w:val="38E2257D"/>
    <w:rsid w:val="38EB011E"/>
    <w:rsid w:val="38F11832"/>
    <w:rsid w:val="39006E87"/>
    <w:rsid w:val="3906205A"/>
    <w:rsid w:val="390A574E"/>
    <w:rsid w:val="390E6662"/>
    <w:rsid w:val="39270AB8"/>
    <w:rsid w:val="392E030F"/>
    <w:rsid w:val="393C2463"/>
    <w:rsid w:val="39532E69"/>
    <w:rsid w:val="39542E1A"/>
    <w:rsid w:val="39576320"/>
    <w:rsid w:val="395D333A"/>
    <w:rsid w:val="395E7302"/>
    <w:rsid w:val="397B44B0"/>
    <w:rsid w:val="397E6075"/>
    <w:rsid w:val="398328FB"/>
    <w:rsid w:val="398C5893"/>
    <w:rsid w:val="39904289"/>
    <w:rsid w:val="39A12116"/>
    <w:rsid w:val="39A744E4"/>
    <w:rsid w:val="39A9062F"/>
    <w:rsid w:val="39AB0B73"/>
    <w:rsid w:val="39C03981"/>
    <w:rsid w:val="39C22E4D"/>
    <w:rsid w:val="39C63BAD"/>
    <w:rsid w:val="39D1415F"/>
    <w:rsid w:val="39DF5ABD"/>
    <w:rsid w:val="39EB3940"/>
    <w:rsid w:val="39EE1935"/>
    <w:rsid w:val="39EF4599"/>
    <w:rsid w:val="39F8354A"/>
    <w:rsid w:val="3A0B6B4D"/>
    <w:rsid w:val="3A0C71E7"/>
    <w:rsid w:val="3A0F6952"/>
    <w:rsid w:val="3A1D77A1"/>
    <w:rsid w:val="3A26659D"/>
    <w:rsid w:val="3A284DC7"/>
    <w:rsid w:val="3A2D77BF"/>
    <w:rsid w:val="3A3E5516"/>
    <w:rsid w:val="3A430F89"/>
    <w:rsid w:val="3A4B6389"/>
    <w:rsid w:val="3A5926C8"/>
    <w:rsid w:val="3A5A3611"/>
    <w:rsid w:val="3A5B036E"/>
    <w:rsid w:val="3A670214"/>
    <w:rsid w:val="3A686362"/>
    <w:rsid w:val="3A716922"/>
    <w:rsid w:val="3A742746"/>
    <w:rsid w:val="3A750821"/>
    <w:rsid w:val="3A791C6A"/>
    <w:rsid w:val="3A8636F0"/>
    <w:rsid w:val="3A8A17EB"/>
    <w:rsid w:val="3A957369"/>
    <w:rsid w:val="3A9904D9"/>
    <w:rsid w:val="3A9D0D8B"/>
    <w:rsid w:val="3AA53F07"/>
    <w:rsid w:val="3AAA1C17"/>
    <w:rsid w:val="3AB45B1F"/>
    <w:rsid w:val="3AB65EEE"/>
    <w:rsid w:val="3AD9409F"/>
    <w:rsid w:val="3AE00504"/>
    <w:rsid w:val="3AE836FF"/>
    <w:rsid w:val="3AF21C05"/>
    <w:rsid w:val="3AF30888"/>
    <w:rsid w:val="3AFF11C7"/>
    <w:rsid w:val="3B0121AF"/>
    <w:rsid w:val="3B0358A8"/>
    <w:rsid w:val="3B093ECF"/>
    <w:rsid w:val="3B0A0ED9"/>
    <w:rsid w:val="3B106173"/>
    <w:rsid w:val="3B1273A5"/>
    <w:rsid w:val="3B1449E7"/>
    <w:rsid w:val="3B222486"/>
    <w:rsid w:val="3B255180"/>
    <w:rsid w:val="3B3608D7"/>
    <w:rsid w:val="3B395644"/>
    <w:rsid w:val="3B3F2CA7"/>
    <w:rsid w:val="3B4871C2"/>
    <w:rsid w:val="3B5034D9"/>
    <w:rsid w:val="3B705FF8"/>
    <w:rsid w:val="3B7641EF"/>
    <w:rsid w:val="3B8A7721"/>
    <w:rsid w:val="3B8E2756"/>
    <w:rsid w:val="3BB07B19"/>
    <w:rsid w:val="3BB80DD2"/>
    <w:rsid w:val="3BBF16F2"/>
    <w:rsid w:val="3BC605B5"/>
    <w:rsid w:val="3BC67E07"/>
    <w:rsid w:val="3BC73A44"/>
    <w:rsid w:val="3BD12D0E"/>
    <w:rsid w:val="3BD17677"/>
    <w:rsid w:val="3BDB7165"/>
    <w:rsid w:val="3BEA0414"/>
    <w:rsid w:val="3BEB59C5"/>
    <w:rsid w:val="3BF77BAA"/>
    <w:rsid w:val="3BFC2980"/>
    <w:rsid w:val="3BFD31EC"/>
    <w:rsid w:val="3C076570"/>
    <w:rsid w:val="3C09556F"/>
    <w:rsid w:val="3C104FDF"/>
    <w:rsid w:val="3C185BB4"/>
    <w:rsid w:val="3C1C0CEC"/>
    <w:rsid w:val="3C1D4116"/>
    <w:rsid w:val="3C203005"/>
    <w:rsid w:val="3C242C18"/>
    <w:rsid w:val="3C27361C"/>
    <w:rsid w:val="3C2737A6"/>
    <w:rsid w:val="3C274627"/>
    <w:rsid w:val="3C2B3956"/>
    <w:rsid w:val="3C3179EF"/>
    <w:rsid w:val="3C373A30"/>
    <w:rsid w:val="3C3F2129"/>
    <w:rsid w:val="3C3F3F4F"/>
    <w:rsid w:val="3C4D0C5C"/>
    <w:rsid w:val="3C4F2877"/>
    <w:rsid w:val="3C5C0884"/>
    <w:rsid w:val="3C625D5D"/>
    <w:rsid w:val="3C6B3CE7"/>
    <w:rsid w:val="3C6C387C"/>
    <w:rsid w:val="3C6C3D6C"/>
    <w:rsid w:val="3C6E6C38"/>
    <w:rsid w:val="3C7653BD"/>
    <w:rsid w:val="3C7B443A"/>
    <w:rsid w:val="3C7C6CDB"/>
    <w:rsid w:val="3C8F40FE"/>
    <w:rsid w:val="3C944590"/>
    <w:rsid w:val="3C950F36"/>
    <w:rsid w:val="3C970C18"/>
    <w:rsid w:val="3CBE51F9"/>
    <w:rsid w:val="3CC31FA8"/>
    <w:rsid w:val="3CC322D8"/>
    <w:rsid w:val="3CD64EFA"/>
    <w:rsid w:val="3CDB43BE"/>
    <w:rsid w:val="3CDB7D1A"/>
    <w:rsid w:val="3CF30315"/>
    <w:rsid w:val="3D042397"/>
    <w:rsid w:val="3D0B3728"/>
    <w:rsid w:val="3D123CB5"/>
    <w:rsid w:val="3D1F6178"/>
    <w:rsid w:val="3D217228"/>
    <w:rsid w:val="3D2E06ED"/>
    <w:rsid w:val="3D370D37"/>
    <w:rsid w:val="3D4467FE"/>
    <w:rsid w:val="3D452731"/>
    <w:rsid w:val="3D4C7EE5"/>
    <w:rsid w:val="3D5852C0"/>
    <w:rsid w:val="3D60747F"/>
    <w:rsid w:val="3D6A05C5"/>
    <w:rsid w:val="3D6A6041"/>
    <w:rsid w:val="3D6D4A6B"/>
    <w:rsid w:val="3D787250"/>
    <w:rsid w:val="3D7B714F"/>
    <w:rsid w:val="3D7E0F4C"/>
    <w:rsid w:val="3D8130B5"/>
    <w:rsid w:val="3D817A60"/>
    <w:rsid w:val="3D9532ED"/>
    <w:rsid w:val="3D9F4DDD"/>
    <w:rsid w:val="3DA17DDB"/>
    <w:rsid w:val="3DA25DEC"/>
    <w:rsid w:val="3DA96130"/>
    <w:rsid w:val="3DBF5572"/>
    <w:rsid w:val="3DC1378B"/>
    <w:rsid w:val="3DC2683A"/>
    <w:rsid w:val="3DC62020"/>
    <w:rsid w:val="3DD6495A"/>
    <w:rsid w:val="3DD9050E"/>
    <w:rsid w:val="3DDC5171"/>
    <w:rsid w:val="3DE12F0F"/>
    <w:rsid w:val="3DE969BF"/>
    <w:rsid w:val="3DEB6C8A"/>
    <w:rsid w:val="3DFC3AAB"/>
    <w:rsid w:val="3E017FC6"/>
    <w:rsid w:val="3E111C04"/>
    <w:rsid w:val="3E1B7C11"/>
    <w:rsid w:val="3E1C2EC8"/>
    <w:rsid w:val="3E1E5D74"/>
    <w:rsid w:val="3E2F1BC9"/>
    <w:rsid w:val="3E2F6EED"/>
    <w:rsid w:val="3E3D1957"/>
    <w:rsid w:val="3E3F3854"/>
    <w:rsid w:val="3E4620F0"/>
    <w:rsid w:val="3E46635A"/>
    <w:rsid w:val="3E477521"/>
    <w:rsid w:val="3E6B5962"/>
    <w:rsid w:val="3E6F5572"/>
    <w:rsid w:val="3E7A2187"/>
    <w:rsid w:val="3E7D78D1"/>
    <w:rsid w:val="3E7E0C12"/>
    <w:rsid w:val="3E821BF1"/>
    <w:rsid w:val="3E885DD4"/>
    <w:rsid w:val="3E91627D"/>
    <w:rsid w:val="3E9A69E7"/>
    <w:rsid w:val="3E9B1A7C"/>
    <w:rsid w:val="3E9F294A"/>
    <w:rsid w:val="3EB01EC5"/>
    <w:rsid w:val="3EB711AE"/>
    <w:rsid w:val="3EB724AA"/>
    <w:rsid w:val="3EBA0CCB"/>
    <w:rsid w:val="3EBF4D88"/>
    <w:rsid w:val="3ECB21DA"/>
    <w:rsid w:val="3EDA6529"/>
    <w:rsid w:val="3EDA775A"/>
    <w:rsid w:val="3EDD777E"/>
    <w:rsid w:val="3EE2042A"/>
    <w:rsid w:val="3EE6187A"/>
    <w:rsid w:val="3EF52DAC"/>
    <w:rsid w:val="3EF54036"/>
    <w:rsid w:val="3EF54971"/>
    <w:rsid w:val="3EF70C84"/>
    <w:rsid w:val="3EF71721"/>
    <w:rsid w:val="3F051C53"/>
    <w:rsid w:val="3F0879D8"/>
    <w:rsid w:val="3F0939C6"/>
    <w:rsid w:val="3F0973AA"/>
    <w:rsid w:val="3F1535D2"/>
    <w:rsid w:val="3F171EF4"/>
    <w:rsid w:val="3F1A1C06"/>
    <w:rsid w:val="3F1C15B3"/>
    <w:rsid w:val="3F25419F"/>
    <w:rsid w:val="3F2C4777"/>
    <w:rsid w:val="3F2E7286"/>
    <w:rsid w:val="3F3142B0"/>
    <w:rsid w:val="3F325863"/>
    <w:rsid w:val="3F3348D1"/>
    <w:rsid w:val="3F34200E"/>
    <w:rsid w:val="3F3A0550"/>
    <w:rsid w:val="3F467EB3"/>
    <w:rsid w:val="3F4D7CD4"/>
    <w:rsid w:val="3F562535"/>
    <w:rsid w:val="3F58569B"/>
    <w:rsid w:val="3F6079AE"/>
    <w:rsid w:val="3F6218BE"/>
    <w:rsid w:val="3F6258A1"/>
    <w:rsid w:val="3F6518C5"/>
    <w:rsid w:val="3F69045B"/>
    <w:rsid w:val="3F6F1297"/>
    <w:rsid w:val="3F716A24"/>
    <w:rsid w:val="3F8C650D"/>
    <w:rsid w:val="3F921CE6"/>
    <w:rsid w:val="3FAA4467"/>
    <w:rsid w:val="3FAA45A8"/>
    <w:rsid w:val="3FB33FDF"/>
    <w:rsid w:val="3FB47F5A"/>
    <w:rsid w:val="3FB865CA"/>
    <w:rsid w:val="3FBD3918"/>
    <w:rsid w:val="3FC0526F"/>
    <w:rsid w:val="3FC51203"/>
    <w:rsid w:val="3FCA3C04"/>
    <w:rsid w:val="3FDD5267"/>
    <w:rsid w:val="3FE6377F"/>
    <w:rsid w:val="3FEF16E9"/>
    <w:rsid w:val="3FF4548B"/>
    <w:rsid w:val="4001106E"/>
    <w:rsid w:val="4008120F"/>
    <w:rsid w:val="40086CCE"/>
    <w:rsid w:val="401052A7"/>
    <w:rsid w:val="40182A75"/>
    <w:rsid w:val="402501F3"/>
    <w:rsid w:val="402D709D"/>
    <w:rsid w:val="402F27F1"/>
    <w:rsid w:val="404B3BFA"/>
    <w:rsid w:val="404D3E2B"/>
    <w:rsid w:val="404D43AE"/>
    <w:rsid w:val="40531C87"/>
    <w:rsid w:val="4059457B"/>
    <w:rsid w:val="405E588E"/>
    <w:rsid w:val="40676FF4"/>
    <w:rsid w:val="406A5494"/>
    <w:rsid w:val="406F016D"/>
    <w:rsid w:val="407653C2"/>
    <w:rsid w:val="40790F43"/>
    <w:rsid w:val="407C10F1"/>
    <w:rsid w:val="40823050"/>
    <w:rsid w:val="409B4C56"/>
    <w:rsid w:val="409C6CB4"/>
    <w:rsid w:val="40A44243"/>
    <w:rsid w:val="40AB1D53"/>
    <w:rsid w:val="40B0780C"/>
    <w:rsid w:val="40B136CD"/>
    <w:rsid w:val="40B80C75"/>
    <w:rsid w:val="40BB0C64"/>
    <w:rsid w:val="40BC08CE"/>
    <w:rsid w:val="40BF7E16"/>
    <w:rsid w:val="40C337B0"/>
    <w:rsid w:val="40CD231F"/>
    <w:rsid w:val="40CD434A"/>
    <w:rsid w:val="40D056EC"/>
    <w:rsid w:val="40EC70D5"/>
    <w:rsid w:val="40F31854"/>
    <w:rsid w:val="40FB0356"/>
    <w:rsid w:val="41003DB0"/>
    <w:rsid w:val="41037ABA"/>
    <w:rsid w:val="4105258A"/>
    <w:rsid w:val="410A4E0D"/>
    <w:rsid w:val="410E776E"/>
    <w:rsid w:val="41137BA0"/>
    <w:rsid w:val="41183F8B"/>
    <w:rsid w:val="411D3E50"/>
    <w:rsid w:val="412A57AA"/>
    <w:rsid w:val="412E588A"/>
    <w:rsid w:val="41330A62"/>
    <w:rsid w:val="41386BB0"/>
    <w:rsid w:val="413C23F9"/>
    <w:rsid w:val="414653DA"/>
    <w:rsid w:val="41466412"/>
    <w:rsid w:val="414A3AD9"/>
    <w:rsid w:val="414F2044"/>
    <w:rsid w:val="415B7AEF"/>
    <w:rsid w:val="416E6420"/>
    <w:rsid w:val="417070B8"/>
    <w:rsid w:val="417F3B7A"/>
    <w:rsid w:val="418A2B82"/>
    <w:rsid w:val="418A3F20"/>
    <w:rsid w:val="418C6771"/>
    <w:rsid w:val="418E2292"/>
    <w:rsid w:val="41940B46"/>
    <w:rsid w:val="41964F24"/>
    <w:rsid w:val="41A92E97"/>
    <w:rsid w:val="41AB31C4"/>
    <w:rsid w:val="41AE63CA"/>
    <w:rsid w:val="41AF0EEC"/>
    <w:rsid w:val="41C15BDB"/>
    <w:rsid w:val="41C22CDC"/>
    <w:rsid w:val="41C3093A"/>
    <w:rsid w:val="41C64604"/>
    <w:rsid w:val="41C94FD5"/>
    <w:rsid w:val="41CA1FF7"/>
    <w:rsid w:val="41DD3652"/>
    <w:rsid w:val="41DE4C09"/>
    <w:rsid w:val="41DE7C48"/>
    <w:rsid w:val="41EC1C3E"/>
    <w:rsid w:val="41F924ED"/>
    <w:rsid w:val="41FA02B3"/>
    <w:rsid w:val="41FA3343"/>
    <w:rsid w:val="42004812"/>
    <w:rsid w:val="420E4D80"/>
    <w:rsid w:val="42175346"/>
    <w:rsid w:val="421A1073"/>
    <w:rsid w:val="42216545"/>
    <w:rsid w:val="4227034D"/>
    <w:rsid w:val="4235608B"/>
    <w:rsid w:val="423C3346"/>
    <w:rsid w:val="423C72E0"/>
    <w:rsid w:val="42447728"/>
    <w:rsid w:val="42553A7F"/>
    <w:rsid w:val="427B7063"/>
    <w:rsid w:val="42872EEA"/>
    <w:rsid w:val="429A1BA5"/>
    <w:rsid w:val="429A2184"/>
    <w:rsid w:val="429B3847"/>
    <w:rsid w:val="429D2235"/>
    <w:rsid w:val="42A06813"/>
    <w:rsid w:val="42A46098"/>
    <w:rsid w:val="42A65D63"/>
    <w:rsid w:val="42A72EE0"/>
    <w:rsid w:val="42C0053F"/>
    <w:rsid w:val="42C76F86"/>
    <w:rsid w:val="42CA754A"/>
    <w:rsid w:val="42E9706E"/>
    <w:rsid w:val="42ED22BB"/>
    <w:rsid w:val="42F749DA"/>
    <w:rsid w:val="430452F4"/>
    <w:rsid w:val="432258E8"/>
    <w:rsid w:val="434D2461"/>
    <w:rsid w:val="43554155"/>
    <w:rsid w:val="43683210"/>
    <w:rsid w:val="43707611"/>
    <w:rsid w:val="437806F9"/>
    <w:rsid w:val="437F73C6"/>
    <w:rsid w:val="4389078A"/>
    <w:rsid w:val="43A25C84"/>
    <w:rsid w:val="43A70F0B"/>
    <w:rsid w:val="43BA3B70"/>
    <w:rsid w:val="43BC6A5F"/>
    <w:rsid w:val="43C04396"/>
    <w:rsid w:val="43C24475"/>
    <w:rsid w:val="43D82C1B"/>
    <w:rsid w:val="43E50A90"/>
    <w:rsid w:val="43F44C3D"/>
    <w:rsid w:val="43F62C4A"/>
    <w:rsid w:val="43F8030B"/>
    <w:rsid w:val="4432771D"/>
    <w:rsid w:val="4436776F"/>
    <w:rsid w:val="44414713"/>
    <w:rsid w:val="444A6D4A"/>
    <w:rsid w:val="444E66C3"/>
    <w:rsid w:val="44503EE8"/>
    <w:rsid w:val="44650E4F"/>
    <w:rsid w:val="446E5D0E"/>
    <w:rsid w:val="4473751E"/>
    <w:rsid w:val="448F024E"/>
    <w:rsid w:val="4495638E"/>
    <w:rsid w:val="44AA209F"/>
    <w:rsid w:val="44AA49BE"/>
    <w:rsid w:val="44B113A6"/>
    <w:rsid w:val="44B60671"/>
    <w:rsid w:val="44B831F9"/>
    <w:rsid w:val="44B93550"/>
    <w:rsid w:val="44C36271"/>
    <w:rsid w:val="44E32BB8"/>
    <w:rsid w:val="44F9514B"/>
    <w:rsid w:val="44FF022B"/>
    <w:rsid w:val="450B5EFE"/>
    <w:rsid w:val="45105AE0"/>
    <w:rsid w:val="45152D5B"/>
    <w:rsid w:val="451C6C5C"/>
    <w:rsid w:val="45236BA9"/>
    <w:rsid w:val="452C6434"/>
    <w:rsid w:val="452C725D"/>
    <w:rsid w:val="452D37B4"/>
    <w:rsid w:val="4533665B"/>
    <w:rsid w:val="454028D0"/>
    <w:rsid w:val="45446488"/>
    <w:rsid w:val="454B03C0"/>
    <w:rsid w:val="455F6DCB"/>
    <w:rsid w:val="456D5F6E"/>
    <w:rsid w:val="457073CC"/>
    <w:rsid w:val="45724FF1"/>
    <w:rsid w:val="457A1A1E"/>
    <w:rsid w:val="457B1223"/>
    <w:rsid w:val="457D3AD8"/>
    <w:rsid w:val="457D73D4"/>
    <w:rsid w:val="45853B86"/>
    <w:rsid w:val="458574E5"/>
    <w:rsid w:val="458A7078"/>
    <w:rsid w:val="458E19EF"/>
    <w:rsid w:val="4597272C"/>
    <w:rsid w:val="459A20C7"/>
    <w:rsid w:val="45A00B1B"/>
    <w:rsid w:val="45A0216A"/>
    <w:rsid w:val="45A30A51"/>
    <w:rsid w:val="45A41ECD"/>
    <w:rsid w:val="45B77331"/>
    <w:rsid w:val="45BB258E"/>
    <w:rsid w:val="45C27655"/>
    <w:rsid w:val="45C5191E"/>
    <w:rsid w:val="45CC3CFF"/>
    <w:rsid w:val="45D23D7B"/>
    <w:rsid w:val="45DA5F66"/>
    <w:rsid w:val="45E453A4"/>
    <w:rsid w:val="45F0341F"/>
    <w:rsid w:val="45F75219"/>
    <w:rsid w:val="46026DAD"/>
    <w:rsid w:val="46027639"/>
    <w:rsid w:val="460D3817"/>
    <w:rsid w:val="461C2E10"/>
    <w:rsid w:val="46220ADF"/>
    <w:rsid w:val="462823E9"/>
    <w:rsid w:val="462A1311"/>
    <w:rsid w:val="46365436"/>
    <w:rsid w:val="46493A8F"/>
    <w:rsid w:val="464F0F0A"/>
    <w:rsid w:val="46532F37"/>
    <w:rsid w:val="4653517E"/>
    <w:rsid w:val="46581355"/>
    <w:rsid w:val="465F43CA"/>
    <w:rsid w:val="466179C3"/>
    <w:rsid w:val="46681EB9"/>
    <w:rsid w:val="4669695D"/>
    <w:rsid w:val="468714FA"/>
    <w:rsid w:val="468774E3"/>
    <w:rsid w:val="4689127A"/>
    <w:rsid w:val="468C178C"/>
    <w:rsid w:val="46990D01"/>
    <w:rsid w:val="469D47AD"/>
    <w:rsid w:val="46A148F8"/>
    <w:rsid w:val="46D246A1"/>
    <w:rsid w:val="46D95AAE"/>
    <w:rsid w:val="46DD60FA"/>
    <w:rsid w:val="46ED5AAE"/>
    <w:rsid w:val="46F053D7"/>
    <w:rsid w:val="46FA3FC1"/>
    <w:rsid w:val="46FD70AE"/>
    <w:rsid w:val="47000C7D"/>
    <w:rsid w:val="47066BAB"/>
    <w:rsid w:val="470C3FA8"/>
    <w:rsid w:val="47152B0E"/>
    <w:rsid w:val="471C5019"/>
    <w:rsid w:val="47302FAB"/>
    <w:rsid w:val="474422FB"/>
    <w:rsid w:val="474914E9"/>
    <w:rsid w:val="47492E3A"/>
    <w:rsid w:val="47574ED5"/>
    <w:rsid w:val="475F61F2"/>
    <w:rsid w:val="47641969"/>
    <w:rsid w:val="4765631A"/>
    <w:rsid w:val="4766255D"/>
    <w:rsid w:val="476C3F11"/>
    <w:rsid w:val="47750FA3"/>
    <w:rsid w:val="47800E9C"/>
    <w:rsid w:val="4780576D"/>
    <w:rsid w:val="478075C9"/>
    <w:rsid w:val="478101A3"/>
    <w:rsid w:val="47836823"/>
    <w:rsid w:val="47841E6C"/>
    <w:rsid w:val="47975EAE"/>
    <w:rsid w:val="47A065AD"/>
    <w:rsid w:val="47A42306"/>
    <w:rsid w:val="47AB440E"/>
    <w:rsid w:val="47AF7A61"/>
    <w:rsid w:val="47B56FD8"/>
    <w:rsid w:val="47BC70E9"/>
    <w:rsid w:val="47C55C7B"/>
    <w:rsid w:val="47C84D3F"/>
    <w:rsid w:val="47C91F5C"/>
    <w:rsid w:val="47D30B90"/>
    <w:rsid w:val="47D6033D"/>
    <w:rsid w:val="47DE7F4E"/>
    <w:rsid w:val="47E1297B"/>
    <w:rsid w:val="47E90526"/>
    <w:rsid w:val="47FF4783"/>
    <w:rsid w:val="48173DDF"/>
    <w:rsid w:val="481974A6"/>
    <w:rsid w:val="481C5623"/>
    <w:rsid w:val="481D611E"/>
    <w:rsid w:val="48304531"/>
    <w:rsid w:val="48352E5D"/>
    <w:rsid w:val="483944D2"/>
    <w:rsid w:val="484C2816"/>
    <w:rsid w:val="48500361"/>
    <w:rsid w:val="4852434E"/>
    <w:rsid w:val="48546F0F"/>
    <w:rsid w:val="485741B0"/>
    <w:rsid w:val="485A3669"/>
    <w:rsid w:val="485F205E"/>
    <w:rsid w:val="48634BE6"/>
    <w:rsid w:val="48651D82"/>
    <w:rsid w:val="487C2E85"/>
    <w:rsid w:val="48811C39"/>
    <w:rsid w:val="488156BD"/>
    <w:rsid w:val="489765D8"/>
    <w:rsid w:val="489A776F"/>
    <w:rsid w:val="489D67AF"/>
    <w:rsid w:val="48A34080"/>
    <w:rsid w:val="48A770F8"/>
    <w:rsid w:val="48B9614A"/>
    <w:rsid w:val="48BE3D16"/>
    <w:rsid w:val="48BE6B27"/>
    <w:rsid w:val="48BF0CB9"/>
    <w:rsid w:val="48C523FD"/>
    <w:rsid w:val="48CE39A4"/>
    <w:rsid w:val="48D04918"/>
    <w:rsid w:val="48D059F6"/>
    <w:rsid w:val="48D50F26"/>
    <w:rsid w:val="48DA03AD"/>
    <w:rsid w:val="48E2505B"/>
    <w:rsid w:val="48E64762"/>
    <w:rsid w:val="48EE56E7"/>
    <w:rsid w:val="48F1237A"/>
    <w:rsid w:val="490270EF"/>
    <w:rsid w:val="49056A82"/>
    <w:rsid w:val="490D67B2"/>
    <w:rsid w:val="491A4AD6"/>
    <w:rsid w:val="49373393"/>
    <w:rsid w:val="49377FBF"/>
    <w:rsid w:val="493F5A57"/>
    <w:rsid w:val="494248D6"/>
    <w:rsid w:val="49446775"/>
    <w:rsid w:val="494469BB"/>
    <w:rsid w:val="49467061"/>
    <w:rsid w:val="49483250"/>
    <w:rsid w:val="494C4147"/>
    <w:rsid w:val="49537773"/>
    <w:rsid w:val="495C4DE1"/>
    <w:rsid w:val="495F60DE"/>
    <w:rsid w:val="497B6139"/>
    <w:rsid w:val="49821EE4"/>
    <w:rsid w:val="4988304C"/>
    <w:rsid w:val="498A5139"/>
    <w:rsid w:val="49940254"/>
    <w:rsid w:val="49A0615E"/>
    <w:rsid w:val="49A134FD"/>
    <w:rsid w:val="49A136A1"/>
    <w:rsid w:val="49AC25B5"/>
    <w:rsid w:val="49BB4A5B"/>
    <w:rsid w:val="49BE7DFC"/>
    <w:rsid w:val="49C431FD"/>
    <w:rsid w:val="49C820BA"/>
    <w:rsid w:val="49C8457A"/>
    <w:rsid w:val="49C946E4"/>
    <w:rsid w:val="49CC4310"/>
    <w:rsid w:val="49CE1BB8"/>
    <w:rsid w:val="49D2469E"/>
    <w:rsid w:val="49DD69EC"/>
    <w:rsid w:val="49E0085E"/>
    <w:rsid w:val="49EB44A8"/>
    <w:rsid w:val="49ED7D72"/>
    <w:rsid w:val="49EE4AC6"/>
    <w:rsid w:val="49F76650"/>
    <w:rsid w:val="49FB6796"/>
    <w:rsid w:val="4A01155F"/>
    <w:rsid w:val="4A060F7E"/>
    <w:rsid w:val="4A0635B0"/>
    <w:rsid w:val="4A0809E4"/>
    <w:rsid w:val="4A0E3D62"/>
    <w:rsid w:val="4A1923B0"/>
    <w:rsid w:val="4A241704"/>
    <w:rsid w:val="4A301E21"/>
    <w:rsid w:val="4A415AD1"/>
    <w:rsid w:val="4A4827C7"/>
    <w:rsid w:val="4A4928FD"/>
    <w:rsid w:val="4A553BAA"/>
    <w:rsid w:val="4A5D2627"/>
    <w:rsid w:val="4A654985"/>
    <w:rsid w:val="4A654DFA"/>
    <w:rsid w:val="4A657908"/>
    <w:rsid w:val="4A67450D"/>
    <w:rsid w:val="4A8B2EF5"/>
    <w:rsid w:val="4A96486B"/>
    <w:rsid w:val="4AAA430B"/>
    <w:rsid w:val="4AB014FC"/>
    <w:rsid w:val="4AB75261"/>
    <w:rsid w:val="4ABD0BE3"/>
    <w:rsid w:val="4AC964F3"/>
    <w:rsid w:val="4ACD50B7"/>
    <w:rsid w:val="4ACD78B5"/>
    <w:rsid w:val="4AD0036F"/>
    <w:rsid w:val="4AD26BC4"/>
    <w:rsid w:val="4AD36A74"/>
    <w:rsid w:val="4AFC4B96"/>
    <w:rsid w:val="4AFE11FF"/>
    <w:rsid w:val="4B0310C3"/>
    <w:rsid w:val="4B215F25"/>
    <w:rsid w:val="4B304325"/>
    <w:rsid w:val="4B3825A9"/>
    <w:rsid w:val="4B390FBF"/>
    <w:rsid w:val="4B3941EC"/>
    <w:rsid w:val="4B3D5503"/>
    <w:rsid w:val="4B4A23DE"/>
    <w:rsid w:val="4B4C16BF"/>
    <w:rsid w:val="4B4E054F"/>
    <w:rsid w:val="4B5D26C2"/>
    <w:rsid w:val="4B622B68"/>
    <w:rsid w:val="4B65613A"/>
    <w:rsid w:val="4B675339"/>
    <w:rsid w:val="4B7324F9"/>
    <w:rsid w:val="4B817C7F"/>
    <w:rsid w:val="4B836E00"/>
    <w:rsid w:val="4B85245B"/>
    <w:rsid w:val="4BA76980"/>
    <w:rsid w:val="4BAA716D"/>
    <w:rsid w:val="4BCC3678"/>
    <w:rsid w:val="4BD326DA"/>
    <w:rsid w:val="4BD33FCA"/>
    <w:rsid w:val="4BDE1AEC"/>
    <w:rsid w:val="4BDF1A58"/>
    <w:rsid w:val="4BF40233"/>
    <w:rsid w:val="4BFC0396"/>
    <w:rsid w:val="4C033DCB"/>
    <w:rsid w:val="4C0A7238"/>
    <w:rsid w:val="4C0F0F32"/>
    <w:rsid w:val="4C150027"/>
    <w:rsid w:val="4C2D2107"/>
    <w:rsid w:val="4C3961B0"/>
    <w:rsid w:val="4C3D2FC5"/>
    <w:rsid w:val="4C3F7A81"/>
    <w:rsid w:val="4C4C05CC"/>
    <w:rsid w:val="4C502043"/>
    <w:rsid w:val="4C5B2E91"/>
    <w:rsid w:val="4C605ED5"/>
    <w:rsid w:val="4C6271AF"/>
    <w:rsid w:val="4C666957"/>
    <w:rsid w:val="4C6E5DE7"/>
    <w:rsid w:val="4C6F51CD"/>
    <w:rsid w:val="4C71324B"/>
    <w:rsid w:val="4C713B7D"/>
    <w:rsid w:val="4C7309CD"/>
    <w:rsid w:val="4C756E64"/>
    <w:rsid w:val="4C847F29"/>
    <w:rsid w:val="4C871A20"/>
    <w:rsid w:val="4C8F5FE4"/>
    <w:rsid w:val="4C900F7A"/>
    <w:rsid w:val="4C9170DB"/>
    <w:rsid w:val="4CB2550A"/>
    <w:rsid w:val="4CC25835"/>
    <w:rsid w:val="4CC535CC"/>
    <w:rsid w:val="4CC70020"/>
    <w:rsid w:val="4CC773A7"/>
    <w:rsid w:val="4CDF0B1B"/>
    <w:rsid w:val="4CE77D1D"/>
    <w:rsid w:val="4CE91369"/>
    <w:rsid w:val="4CEC1828"/>
    <w:rsid w:val="4CEF5EB6"/>
    <w:rsid w:val="4D021C16"/>
    <w:rsid w:val="4D0325C2"/>
    <w:rsid w:val="4D121E63"/>
    <w:rsid w:val="4D1748EE"/>
    <w:rsid w:val="4D191EF7"/>
    <w:rsid w:val="4D22691D"/>
    <w:rsid w:val="4D2E14C5"/>
    <w:rsid w:val="4D3B5F39"/>
    <w:rsid w:val="4D4831E3"/>
    <w:rsid w:val="4D517118"/>
    <w:rsid w:val="4D56006F"/>
    <w:rsid w:val="4D59033C"/>
    <w:rsid w:val="4D602A3E"/>
    <w:rsid w:val="4D61563B"/>
    <w:rsid w:val="4D6A3182"/>
    <w:rsid w:val="4D757942"/>
    <w:rsid w:val="4D7B0CF4"/>
    <w:rsid w:val="4D7B4BA5"/>
    <w:rsid w:val="4D8252C8"/>
    <w:rsid w:val="4D8E1B9F"/>
    <w:rsid w:val="4DAB41CC"/>
    <w:rsid w:val="4DAC1EE1"/>
    <w:rsid w:val="4DAD78A8"/>
    <w:rsid w:val="4DC468D4"/>
    <w:rsid w:val="4DC936F9"/>
    <w:rsid w:val="4DD66505"/>
    <w:rsid w:val="4DE923BF"/>
    <w:rsid w:val="4DF132F9"/>
    <w:rsid w:val="4DF41F18"/>
    <w:rsid w:val="4DFB5250"/>
    <w:rsid w:val="4DFD13BE"/>
    <w:rsid w:val="4DFF3653"/>
    <w:rsid w:val="4E0501C8"/>
    <w:rsid w:val="4E0C4CEB"/>
    <w:rsid w:val="4E151E5F"/>
    <w:rsid w:val="4E167521"/>
    <w:rsid w:val="4E206CEF"/>
    <w:rsid w:val="4E241A38"/>
    <w:rsid w:val="4E366FDF"/>
    <w:rsid w:val="4E414698"/>
    <w:rsid w:val="4E4201F7"/>
    <w:rsid w:val="4E43352C"/>
    <w:rsid w:val="4E4F12F0"/>
    <w:rsid w:val="4E513014"/>
    <w:rsid w:val="4E545B2C"/>
    <w:rsid w:val="4E634DD1"/>
    <w:rsid w:val="4E64749E"/>
    <w:rsid w:val="4E652B0A"/>
    <w:rsid w:val="4E672B79"/>
    <w:rsid w:val="4E6D76D3"/>
    <w:rsid w:val="4E741514"/>
    <w:rsid w:val="4E842A75"/>
    <w:rsid w:val="4E86402B"/>
    <w:rsid w:val="4E937096"/>
    <w:rsid w:val="4E9D3BDD"/>
    <w:rsid w:val="4EA62D0C"/>
    <w:rsid w:val="4EA716D3"/>
    <w:rsid w:val="4EA9134C"/>
    <w:rsid w:val="4EAD22CF"/>
    <w:rsid w:val="4EB175C0"/>
    <w:rsid w:val="4EB5004A"/>
    <w:rsid w:val="4EB523FB"/>
    <w:rsid w:val="4EE94967"/>
    <w:rsid w:val="4EF13A09"/>
    <w:rsid w:val="4EF519BF"/>
    <w:rsid w:val="4EFA6A10"/>
    <w:rsid w:val="4EFE2264"/>
    <w:rsid w:val="4EFF7F00"/>
    <w:rsid w:val="4F2A71D0"/>
    <w:rsid w:val="4F311CE2"/>
    <w:rsid w:val="4F3439AA"/>
    <w:rsid w:val="4F486ECD"/>
    <w:rsid w:val="4F4B3E6F"/>
    <w:rsid w:val="4F5E32F7"/>
    <w:rsid w:val="4F634E11"/>
    <w:rsid w:val="4F644BD6"/>
    <w:rsid w:val="4F6555CB"/>
    <w:rsid w:val="4F69370A"/>
    <w:rsid w:val="4F766114"/>
    <w:rsid w:val="4F7921A9"/>
    <w:rsid w:val="4F7B5854"/>
    <w:rsid w:val="4F8E2E7D"/>
    <w:rsid w:val="4F9071D6"/>
    <w:rsid w:val="4FAA33EB"/>
    <w:rsid w:val="4FDA2C51"/>
    <w:rsid w:val="4FE32BC1"/>
    <w:rsid w:val="4FF757B8"/>
    <w:rsid w:val="4FF90D2D"/>
    <w:rsid w:val="500C7DEA"/>
    <w:rsid w:val="501737CF"/>
    <w:rsid w:val="501B6CC8"/>
    <w:rsid w:val="501C1D6F"/>
    <w:rsid w:val="50242014"/>
    <w:rsid w:val="503264DF"/>
    <w:rsid w:val="50397D93"/>
    <w:rsid w:val="50526156"/>
    <w:rsid w:val="50550D5D"/>
    <w:rsid w:val="50555F76"/>
    <w:rsid w:val="50575DCD"/>
    <w:rsid w:val="505A2F3D"/>
    <w:rsid w:val="50624891"/>
    <w:rsid w:val="506A75F3"/>
    <w:rsid w:val="506B6259"/>
    <w:rsid w:val="506C3627"/>
    <w:rsid w:val="50732A57"/>
    <w:rsid w:val="507E4439"/>
    <w:rsid w:val="508334B3"/>
    <w:rsid w:val="508C71ED"/>
    <w:rsid w:val="50900F32"/>
    <w:rsid w:val="50913470"/>
    <w:rsid w:val="50944486"/>
    <w:rsid w:val="50A74162"/>
    <w:rsid w:val="50A91E65"/>
    <w:rsid w:val="50C962DA"/>
    <w:rsid w:val="50CB2F60"/>
    <w:rsid w:val="50E70BBB"/>
    <w:rsid w:val="50F00576"/>
    <w:rsid w:val="50F0452F"/>
    <w:rsid w:val="50F066F2"/>
    <w:rsid w:val="50F4533B"/>
    <w:rsid w:val="50FB720B"/>
    <w:rsid w:val="50FC7816"/>
    <w:rsid w:val="50FF0F65"/>
    <w:rsid w:val="51031180"/>
    <w:rsid w:val="51097146"/>
    <w:rsid w:val="510F3BC2"/>
    <w:rsid w:val="511D389C"/>
    <w:rsid w:val="51227BDE"/>
    <w:rsid w:val="51340035"/>
    <w:rsid w:val="513530B3"/>
    <w:rsid w:val="513A6644"/>
    <w:rsid w:val="513F7648"/>
    <w:rsid w:val="51411725"/>
    <w:rsid w:val="51486C24"/>
    <w:rsid w:val="514904C3"/>
    <w:rsid w:val="514A1758"/>
    <w:rsid w:val="5150406C"/>
    <w:rsid w:val="515046DD"/>
    <w:rsid w:val="515367B3"/>
    <w:rsid w:val="516C7F2C"/>
    <w:rsid w:val="517B441C"/>
    <w:rsid w:val="51895B16"/>
    <w:rsid w:val="518A718B"/>
    <w:rsid w:val="518F5DC1"/>
    <w:rsid w:val="519143FF"/>
    <w:rsid w:val="51971898"/>
    <w:rsid w:val="51AD0B14"/>
    <w:rsid w:val="51B9559D"/>
    <w:rsid w:val="51BF39BE"/>
    <w:rsid w:val="51C042E5"/>
    <w:rsid w:val="51C730BD"/>
    <w:rsid w:val="51C75812"/>
    <w:rsid w:val="51DA3011"/>
    <w:rsid w:val="51DD15AA"/>
    <w:rsid w:val="51DE263D"/>
    <w:rsid w:val="51E1256E"/>
    <w:rsid w:val="51F16CDF"/>
    <w:rsid w:val="51F6576B"/>
    <w:rsid w:val="51FF5D3C"/>
    <w:rsid w:val="5203761E"/>
    <w:rsid w:val="5209080C"/>
    <w:rsid w:val="521626D1"/>
    <w:rsid w:val="521907A4"/>
    <w:rsid w:val="522132E0"/>
    <w:rsid w:val="52261358"/>
    <w:rsid w:val="522A4C5B"/>
    <w:rsid w:val="5234171A"/>
    <w:rsid w:val="523576A6"/>
    <w:rsid w:val="523F1743"/>
    <w:rsid w:val="524070F6"/>
    <w:rsid w:val="52466271"/>
    <w:rsid w:val="524E0556"/>
    <w:rsid w:val="52501E2A"/>
    <w:rsid w:val="52573B36"/>
    <w:rsid w:val="52614446"/>
    <w:rsid w:val="52640CB0"/>
    <w:rsid w:val="5264734D"/>
    <w:rsid w:val="526C3ED5"/>
    <w:rsid w:val="527C4B56"/>
    <w:rsid w:val="527E2A42"/>
    <w:rsid w:val="52886D49"/>
    <w:rsid w:val="52895552"/>
    <w:rsid w:val="52984503"/>
    <w:rsid w:val="529A1CE9"/>
    <w:rsid w:val="52B66756"/>
    <w:rsid w:val="52BC3D54"/>
    <w:rsid w:val="52C36B61"/>
    <w:rsid w:val="52C45EE7"/>
    <w:rsid w:val="52CA5F15"/>
    <w:rsid w:val="52D629E7"/>
    <w:rsid w:val="52E050DF"/>
    <w:rsid w:val="52E6635A"/>
    <w:rsid w:val="52E80913"/>
    <w:rsid w:val="52EB789F"/>
    <w:rsid w:val="52EE0761"/>
    <w:rsid w:val="52F06140"/>
    <w:rsid w:val="52F33EA5"/>
    <w:rsid w:val="530928DE"/>
    <w:rsid w:val="530A699F"/>
    <w:rsid w:val="53100170"/>
    <w:rsid w:val="531A3BCD"/>
    <w:rsid w:val="53221B09"/>
    <w:rsid w:val="5324296F"/>
    <w:rsid w:val="532D2A70"/>
    <w:rsid w:val="532E21C8"/>
    <w:rsid w:val="533A2430"/>
    <w:rsid w:val="53403413"/>
    <w:rsid w:val="534253AE"/>
    <w:rsid w:val="534327B1"/>
    <w:rsid w:val="53443B0A"/>
    <w:rsid w:val="534712C2"/>
    <w:rsid w:val="53523869"/>
    <w:rsid w:val="536863F7"/>
    <w:rsid w:val="536B6C0D"/>
    <w:rsid w:val="536F74F5"/>
    <w:rsid w:val="53714933"/>
    <w:rsid w:val="537A2677"/>
    <w:rsid w:val="537C6B78"/>
    <w:rsid w:val="53831A51"/>
    <w:rsid w:val="53892617"/>
    <w:rsid w:val="538A5F44"/>
    <w:rsid w:val="53901B3A"/>
    <w:rsid w:val="53917BE1"/>
    <w:rsid w:val="53A55205"/>
    <w:rsid w:val="53A802E1"/>
    <w:rsid w:val="53AA1970"/>
    <w:rsid w:val="53B72410"/>
    <w:rsid w:val="53B90224"/>
    <w:rsid w:val="53D62B70"/>
    <w:rsid w:val="53F15A96"/>
    <w:rsid w:val="53F453A9"/>
    <w:rsid w:val="53F817ED"/>
    <w:rsid w:val="54065CB8"/>
    <w:rsid w:val="5422047F"/>
    <w:rsid w:val="54237ADC"/>
    <w:rsid w:val="54317222"/>
    <w:rsid w:val="54340261"/>
    <w:rsid w:val="54397941"/>
    <w:rsid w:val="543F2BCC"/>
    <w:rsid w:val="544B7B6F"/>
    <w:rsid w:val="545835D1"/>
    <w:rsid w:val="54880A71"/>
    <w:rsid w:val="548B5906"/>
    <w:rsid w:val="549C226C"/>
    <w:rsid w:val="54AB500E"/>
    <w:rsid w:val="54B9348E"/>
    <w:rsid w:val="54C31CBA"/>
    <w:rsid w:val="54C36D86"/>
    <w:rsid w:val="54C65448"/>
    <w:rsid w:val="54C91B6C"/>
    <w:rsid w:val="54CA2079"/>
    <w:rsid w:val="54DC4A94"/>
    <w:rsid w:val="54DC7CB0"/>
    <w:rsid w:val="54DD37E8"/>
    <w:rsid w:val="54ED6E78"/>
    <w:rsid w:val="550B438E"/>
    <w:rsid w:val="551369AE"/>
    <w:rsid w:val="551F1102"/>
    <w:rsid w:val="55321076"/>
    <w:rsid w:val="55355C50"/>
    <w:rsid w:val="553E5926"/>
    <w:rsid w:val="554831CC"/>
    <w:rsid w:val="554866B6"/>
    <w:rsid w:val="555524A6"/>
    <w:rsid w:val="555A0D45"/>
    <w:rsid w:val="555D2233"/>
    <w:rsid w:val="55670AA9"/>
    <w:rsid w:val="556F5E7E"/>
    <w:rsid w:val="55725D74"/>
    <w:rsid w:val="55726607"/>
    <w:rsid w:val="557E5D22"/>
    <w:rsid w:val="55802009"/>
    <w:rsid w:val="558D6AE1"/>
    <w:rsid w:val="558F74DA"/>
    <w:rsid w:val="559136EA"/>
    <w:rsid w:val="559B6196"/>
    <w:rsid w:val="559C5C75"/>
    <w:rsid w:val="55A13221"/>
    <w:rsid w:val="55A51A4B"/>
    <w:rsid w:val="55B711DC"/>
    <w:rsid w:val="55BF7CAE"/>
    <w:rsid w:val="55C629CD"/>
    <w:rsid w:val="55D10473"/>
    <w:rsid w:val="55D4567F"/>
    <w:rsid w:val="55E41B58"/>
    <w:rsid w:val="55EE4BA5"/>
    <w:rsid w:val="55F244A9"/>
    <w:rsid w:val="55FF317D"/>
    <w:rsid w:val="5615287B"/>
    <w:rsid w:val="56194D9A"/>
    <w:rsid w:val="561D378D"/>
    <w:rsid w:val="561F7505"/>
    <w:rsid w:val="5621004F"/>
    <w:rsid w:val="56250B73"/>
    <w:rsid w:val="562703FE"/>
    <w:rsid w:val="562A4E6F"/>
    <w:rsid w:val="56370E70"/>
    <w:rsid w:val="563D7704"/>
    <w:rsid w:val="56473BBE"/>
    <w:rsid w:val="564B1C17"/>
    <w:rsid w:val="564D7D98"/>
    <w:rsid w:val="56517A24"/>
    <w:rsid w:val="565F5A07"/>
    <w:rsid w:val="56613837"/>
    <w:rsid w:val="56671F76"/>
    <w:rsid w:val="56761BD8"/>
    <w:rsid w:val="56770216"/>
    <w:rsid w:val="5677684E"/>
    <w:rsid w:val="56797B5D"/>
    <w:rsid w:val="567A05AD"/>
    <w:rsid w:val="567D465E"/>
    <w:rsid w:val="567F50C2"/>
    <w:rsid w:val="56815055"/>
    <w:rsid w:val="568630E0"/>
    <w:rsid w:val="56866800"/>
    <w:rsid w:val="56866E05"/>
    <w:rsid w:val="568D53BF"/>
    <w:rsid w:val="56940CED"/>
    <w:rsid w:val="56A1748E"/>
    <w:rsid w:val="56AF7744"/>
    <w:rsid w:val="56B112DE"/>
    <w:rsid w:val="56C2340D"/>
    <w:rsid w:val="56CC400C"/>
    <w:rsid w:val="56D81FAD"/>
    <w:rsid w:val="56E45D0C"/>
    <w:rsid w:val="56E64D30"/>
    <w:rsid w:val="56EC11B0"/>
    <w:rsid w:val="57025367"/>
    <w:rsid w:val="5704237C"/>
    <w:rsid w:val="570A194E"/>
    <w:rsid w:val="571161A4"/>
    <w:rsid w:val="571470B8"/>
    <w:rsid w:val="572D2420"/>
    <w:rsid w:val="5741306A"/>
    <w:rsid w:val="574F7976"/>
    <w:rsid w:val="575060D0"/>
    <w:rsid w:val="5756793C"/>
    <w:rsid w:val="575F6665"/>
    <w:rsid w:val="57770667"/>
    <w:rsid w:val="578F154D"/>
    <w:rsid w:val="57923486"/>
    <w:rsid w:val="579917D5"/>
    <w:rsid w:val="579B1D64"/>
    <w:rsid w:val="57B94AC2"/>
    <w:rsid w:val="57BA7B4A"/>
    <w:rsid w:val="57BD6FD6"/>
    <w:rsid w:val="57C4688B"/>
    <w:rsid w:val="57D607E7"/>
    <w:rsid w:val="57DA1E46"/>
    <w:rsid w:val="57DB745C"/>
    <w:rsid w:val="57E3493C"/>
    <w:rsid w:val="57E35337"/>
    <w:rsid w:val="57F674D6"/>
    <w:rsid w:val="5803217D"/>
    <w:rsid w:val="580F0C18"/>
    <w:rsid w:val="581061C9"/>
    <w:rsid w:val="581F2078"/>
    <w:rsid w:val="5846195A"/>
    <w:rsid w:val="584C4742"/>
    <w:rsid w:val="584E6EF9"/>
    <w:rsid w:val="584F3530"/>
    <w:rsid w:val="585B76BE"/>
    <w:rsid w:val="5862567F"/>
    <w:rsid w:val="58695429"/>
    <w:rsid w:val="58814786"/>
    <w:rsid w:val="58845F06"/>
    <w:rsid w:val="589840C1"/>
    <w:rsid w:val="589B09B8"/>
    <w:rsid w:val="589B1A42"/>
    <w:rsid w:val="58AB015C"/>
    <w:rsid w:val="58AB0167"/>
    <w:rsid w:val="58B04AA8"/>
    <w:rsid w:val="58C80216"/>
    <w:rsid w:val="58CD6E51"/>
    <w:rsid w:val="58D3063D"/>
    <w:rsid w:val="58EB2416"/>
    <w:rsid w:val="58F07FCC"/>
    <w:rsid w:val="58F33094"/>
    <w:rsid w:val="58F714CA"/>
    <w:rsid w:val="590220D9"/>
    <w:rsid w:val="59070793"/>
    <w:rsid w:val="590B71AC"/>
    <w:rsid w:val="59103B05"/>
    <w:rsid w:val="591A0F43"/>
    <w:rsid w:val="591A6D23"/>
    <w:rsid w:val="591F7EB5"/>
    <w:rsid w:val="59290509"/>
    <w:rsid w:val="592A7F4E"/>
    <w:rsid w:val="592C303E"/>
    <w:rsid w:val="593000F4"/>
    <w:rsid w:val="59303773"/>
    <w:rsid w:val="5933280C"/>
    <w:rsid w:val="5949587D"/>
    <w:rsid w:val="594F3D16"/>
    <w:rsid w:val="595335FB"/>
    <w:rsid w:val="5959451E"/>
    <w:rsid w:val="595C5BC4"/>
    <w:rsid w:val="59691A59"/>
    <w:rsid w:val="596D2F44"/>
    <w:rsid w:val="59706B22"/>
    <w:rsid w:val="59727720"/>
    <w:rsid w:val="59781CFF"/>
    <w:rsid w:val="5979722D"/>
    <w:rsid w:val="5979778D"/>
    <w:rsid w:val="598B1749"/>
    <w:rsid w:val="598B6395"/>
    <w:rsid w:val="599E24CA"/>
    <w:rsid w:val="599E7D77"/>
    <w:rsid w:val="59A0254C"/>
    <w:rsid w:val="59A719CD"/>
    <w:rsid w:val="59C164E2"/>
    <w:rsid w:val="59C724DD"/>
    <w:rsid w:val="59CE6583"/>
    <w:rsid w:val="59D8757E"/>
    <w:rsid w:val="59DD617A"/>
    <w:rsid w:val="59E25289"/>
    <w:rsid w:val="59F33ACB"/>
    <w:rsid w:val="59F36CDF"/>
    <w:rsid w:val="59F9230A"/>
    <w:rsid w:val="5A0A6379"/>
    <w:rsid w:val="5A16790A"/>
    <w:rsid w:val="5A1A50C3"/>
    <w:rsid w:val="5A225864"/>
    <w:rsid w:val="5A2331D8"/>
    <w:rsid w:val="5A273A62"/>
    <w:rsid w:val="5A2A2D75"/>
    <w:rsid w:val="5A2A5BA1"/>
    <w:rsid w:val="5A316190"/>
    <w:rsid w:val="5A33357F"/>
    <w:rsid w:val="5A3C0D89"/>
    <w:rsid w:val="5A3C2735"/>
    <w:rsid w:val="5A3F38D9"/>
    <w:rsid w:val="5A4322AB"/>
    <w:rsid w:val="5A5904C9"/>
    <w:rsid w:val="5A5E5E81"/>
    <w:rsid w:val="5A634B87"/>
    <w:rsid w:val="5A73633D"/>
    <w:rsid w:val="5A784713"/>
    <w:rsid w:val="5A915536"/>
    <w:rsid w:val="5A9327DE"/>
    <w:rsid w:val="5A966397"/>
    <w:rsid w:val="5AA228D2"/>
    <w:rsid w:val="5ABD4665"/>
    <w:rsid w:val="5ABF7729"/>
    <w:rsid w:val="5AD068D1"/>
    <w:rsid w:val="5AD07E72"/>
    <w:rsid w:val="5AD30718"/>
    <w:rsid w:val="5ADF2282"/>
    <w:rsid w:val="5AF22592"/>
    <w:rsid w:val="5B01683A"/>
    <w:rsid w:val="5B046CCA"/>
    <w:rsid w:val="5B0943D4"/>
    <w:rsid w:val="5B100817"/>
    <w:rsid w:val="5B180691"/>
    <w:rsid w:val="5B1C0280"/>
    <w:rsid w:val="5B1D552A"/>
    <w:rsid w:val="5B20766E"/>
    <w:rsid w:val="5B270E22"/>
    <w:rsid w:val="5B401849"/>
    <w:rsid w:val="5B50067B"/>
    <w:rsid w:val="5B566040"/>
    <w:rsid w:val="5B5F492B"/>
    <w:rsid w:val="5B6E7885"/>
    <w:rsid w:val="5B7B0A96"/>
    <w:rsid w:val="5B876DDC"/>
    <w:rsid w:val="5B8D72B4"/>
    <w:rsid w:val="5B8F34EE"/>
    <w:rsid w:val="5B9718FC"/>
    <w:rsid w:val="5BAB2124"/>
    <w:rsid w:val="5BAE0998"/>
    <w:rsid w:val="5BB54FFD"/>
    <w:rsid w:val="5BBB4F94"/>
    <w:rsid w:val="5BC331C1"/>
    <w:rsid w:val="5BCE26D1"/>
    <w:rsid w:val="5BDB263F"/>
    <w:rsid w:val="5BDD38AC"/>
    <w:rsid w:val="5BDF1808"/>
    <w:rsid w:val="5BE13AAA"/>
    <w:rsid w:val="5BEC59FB"/>
    <w:rsid w:val="5BF075B1"/>
    <w:rsid w:val="5BFD1B67"/>
    <w:rsid w:val="5BFF0FF8"/>
    <w:rsid w:val="5C0917C2"/>
    <w:rsid w:val="5C1509CC"/>
    <w:rsid w:val="5C1C22C6"/>
    <w:rsid w:val="5C1C3037"/>
    <w:rsid w:val="5C205150"/>
    <w:rsid w:val="5C2406FB"/>
    <w:rsid w:val="5C2A0298"/>
    <w:rsid w:val="5C2B37E5"/>
    <w:rsid w:val="5C314210"/>
    <w:rsid w:val="5C455EBE"/>
    <w:rsid w:val="5C550B8F"/>
    <w:rsid w:val="5C6B6D38"/>
    <w:rsid w:val="5C6D1AB5"/>
    <w:rsid w:val="5C6F7A4D"/>
    <w:rsid w:val="5C86625D"/>
    <w:rsid w:val="5C8A39E1"/>
    <w:rsid w:val="5C95491B"/>
    <w:rsid w:val="5CAA5153"/>
    <w:rsid w:val="5CAD7BC1"/>
    <w:rsid w:val="5CAF621A"/>
    <w:rsid w:val="5CBB1A01"/>
    <w:rsid w:val="5CCB6654"/>
    <w:rsid w:val="5CCD1080"/>
    <w:rsid w:val="5CD50DAB"/>
    <w:rsid w:val="5CD95833"/>
    <w:rsid w:val="5CE60D7D"/>
    <w:rsid w:val="5CEF79D9"/>
    <w:rsid w:val="5D0258A5"/>
    <w:rsid w:val="5D035908"/>
    <w:rsid w:val="5D05366A"/>
    <w:rsid w:val="5D0D56FD"/>
    <w:rsid w:val="5D19698E"/>
    <w:rsid w:val="5D1C6415"/>
    <w:rsid w:val="5D28742D"/>
    <w:rsid w:val="5D2C1D78"/>
    <w:rsid w:val="5D2C3A76"/>
    <w:rsid w:val="5D2F781D"/>
    <w:rsid w:val="5D49473E"/>
    <w:rsid w:val="5D516652"/>
    <w:rsid w:val="5D557EC3"/>
    <w:rsid w:val="5D586A59"/>
    <w:rsid w:val="5D59154F"/>
    <w:rsid w:val="5D5D4291"/>
    <w:rsid w:val="5D6A64E9"/>
    <w:rsid w:val="5D706276"/>
    <w:rsid w:val="5D766F8F"/>
    <w:rsid w:val="5D7D7A28"/>
    <w:rsid w:val="5D902FD5"/>
    <w:rsid w:val="5D9D70FC"/>
    <w:rsid w:val="5DC044BC"/>
    <w:rsid w:val="5DC201B2"/>
    <w:rsid w:val="5DC70BDC"/>
    <w:rsid w:val="5DCE04FD"/>
    <w:rsid w:val="5DD032C2"/>
    <w:rsid w:val="5DD03DE6"/>
    <w:rsid w:val="5DD16E12"/>
    <w:rsid w:val="5DD44A3D"/>
    <w:rsid w:val="5DD63428"/>
    <w:rsid w:val="5DDB68E2"/>
    <w:rsid w:val="5DE3427A"/>
    <w:rsid w:val="5DE57D99"/>
    <w:rsid w:val="5DEA351D"/>
    <w:rsid w:val="5DEF424C"/>
    <w:rsid w:val="5DF06F40"/>
    <w:rsid w:val="5E004A7B"/>
    <w:rsid w:val="5E0B4B1C"/>
    <w:rsid w:val="5E1C2311"/>
    <w:rsid w:val="5E2C4A24"/>
    <w:rsid w:val="5E2E47FC"/>
    <w:rsid w:val="5E3F1E7A"/>
    <w:rsid w:val="5E435AD4"/>
    <w:rsid w:val="5E493DF7"/>
    <w:rsid w:val="5E547E0A"/>
    <w:rsid w:val="5E56783C"/>
    <w:rsid w:val="5E5C5C56"/>
    <w:rsid w:val="5E5D0D46"/>
    <w:rsid w:val="5E697104"/>
    <w:rsid w:val="5E726F84"/>
    <w:rsid w:val="5E74223D"/>
    <w:rsid w:val="5E7D7993"/>
    <w:rsid w:val="5E8C1372"/>
    <w:rsid w:val="5E8E2076"/>
    <w:rsid w:val="5E937598"/>
    <w:rsid w:val="5E9B4E7F"/>
    <w:rsid w:val="5EAC6065"/>
    <w:rsid w:val="5EBE41A4"/>
    <w:rsid w:val="5ECA267F"/>
    <w:rsid w:val="5ED90531"/>
    <w:rsid w:val="5EDF0A50"/>
    <w:rsid w:val="5EDF35C3"/>
    <w:rsid w:val="5EF23449"/>
    <w:rsid w:val="5EF40AFC"/>
    <w:rsid w:val="5EF75E0F"/>
    <w:rsid w:val="5F0454EA"/>
    <w:rsid w:val="5F18269C"/>
    <w:rsid w:val="5F191E1E"/>
    <w:rsid w:val="5F261904"/>
    <w:rsid w:val="5F4B136B"/>
    <w:rsid w:val="5F501193"/>
    <w:rsid w:val="5F5A6E79"/>
    <w:rsid w:val="5F677827"/>
    <w:rsid w:val="5F681C82"/>
    <w:rsid w:val="5F7E00D5"/>
    <w:rsid w:val="5F930827"/>
    <w:rsid w:val="5FA4660D"/>
    <w:rsid w:val="5FB1587E"/>
    <w:rsid w:val="5FB251EE"/>
    <w:rsid w:val="5FB71A70"/>
    <w:rsid w:val="5FC319E1"/>
    <w:rsid w:val="5FCC5052"/>
    <w:rsid w:val="5FD06AC6"/>
    <w:rsid w:val="5FD555E9"/>
    <w:rsid w:val="5FD70E51"/>
    <w:rsid w:val="5FD75C54"/>
    <w:rsid w:val="5FDB5734"/>
    <w:rsid w:val="5FE22691"/>
    <w:rsid w:val="5FE702B9"/>
    <w:rsid w:val="5FEC0EEB"/>
    <w:rsid w:val="5FEE3756"/>
    <w:rsid w:val="5FF030CF"/>
    <w:rsid w:val="5FF62127"/>
    <w:rsid w:val="600B6351"/>
    <w:rsid w:val="60117196"/>
    <w:rsid w:val="601428AA"/>
    <w:rsid w:val="601B6A64"/>
    <w:rsid w:val="602C5532"/>
    <w:rsid w:val="60332F11"/>
    <w:rsid w:val="603831C6"/>
    <w:rsid w:val="60393A0F"/>
    <w:rsid w:val="603B3FFF"/>
    <w:rsid w:val="60413268"/>
    <w:rsid w:val="6047081E"/>
    <w:rsid w:val="604A0C12"/>
    <w:rsid w:val="605424A1"/>
    <w:rsid w:val="605868CC"/>
    <w:rsid w:val="60597184"/>
    <w:rsid w:val="60604CEA"/>
    <w:rsid w:val="60674011"/>
    <w:rsid w:val="606D168C"/>
    <w:rsid w:val="606D58F2"/>
    <w:rsid w:val="606F72DB"/>
    <w:rsid w:val="607033FA"/>
    <w:rsid w:val="60710712"/>
    <w:rsid w:val="6074044E"/>
    <w:rsid w:val="60773899"/>
    <w:rsid w:val="60793BE3"/>
    <w:rsid w:val="60813EB5"/>
    <w:rsid w:val="60831E92"/>
    <w:rsid w:val="60867B9F"/>
    <w:rsid w:val="608D2310"/>
    <w:rsid w:val="608E63C1"/>
    <w:rsid w:val="60904EA0"/>
    <w:rsid w:val="6098682F"/>
    <w:rsid w:val="609B28C3"/>
    <w:rsid w:val="60A26888"/>
    <w:rsid w:val="60A71A61"/>
    <w:rsid w:val="60A90BDA"/>
    <w:rsid w:val="60B7235B"/>
    <w:rsid w:val="60D11FDF"/>
    <w:rsid w:val="60D17C60"/>
    <w:rsid w:val="60EA7135"/>
    <w:rsid w:val="60F469B0"/>
    <w:rsid w:val="60FE7ED6"/>
    <w:rsid w:val="60FF1B66"/>
    <w:rsid w:val="6100496E"/>
    <w:rsid w:val="6104279B"/>
    <w:rsid w:val="610529BD"/>
    <w:rsid w:val="61083317"/>
    <w:rsid w:val="610C02DA"/>
    <w:rsid w:val="61206C3E"/>
    <w:rsid w:val="612512B6"/>
    <w:rsid w:val="612B4AA9"/>
    <w:rsid w:val="612E76E3"/>
    <w:rsid w:val="61432B62"/>
    <w:rsid w:val="614F36B7"/>
    <w:rsid w:val="615140B3"/>
    <w:rsid w:val="6152698E"/>
    <w:rsid w:val="615A5BA2"/>
    <w:rsid w:val="615D7EDF"/>
    <w:rsid w:val="616116E8"/>
    <w:rsid w:val="61626547"/>
    <w:rsid w:val="616610AB"/>
    <w:rsid w:val="617E790C"/>
    <w:rsid w:val="618C3259"/>
    <w:rsid w:val="618E4251"/>
    <w:rsid w:val="6192755B"/>
    <w:rsid w:val="61947AAB"/>
    <w:rsid w:val="6198468A"/>
    <w:rsid w:val="619A02FD"/>
    <w:rsid w:val="61AC4888"/>
    <w:rsid w:val="61B10D26"/>
    <w:rsid w:val="61C62F2B"/>
    <w:rsid w:val="61C80BEE"/>
    <w:rsid w:val="61E55A4F"/>
    <w:rsid w:val="61E56D72"/>
    <w:rsid w:val="61EB1331"/>
    <w:rsid w:val="61F72C01"/>
    <w:rsid w:val="61F77588"/>
    <w:rsid w:val="620F7281"/>
    <w:rsid w:val="62103D43"/>
    <w:rsid w:val="621B3EFD"/>
    <w:rsid w:val="621F2109"/>
    <w:rsid w:val="62307631"/>
    <w:rsid w:val="62351127"/>
    <w:rsid w:val="62353863"/>
    <w:rsid w:val="62470F2D"/>
    <w:rsid w:val="624F47EF"/>
    <w:rsid w:val="62532E20"/>
    <w:rsid w:val="625A4B6A"/>
    <w:rsid w:val="625D30FA"/>
    <w:rsid w:val="626D4947"/>
    <w:rsid w:val="626E5D1B"/>
    <w:rsid w:val="627110E9"/>
    <w:rsid w:val="6278154C"/>
    <w:rsid w:val="627F080A"/>
    <w:rsid w:val="628506F0"/>
    <w:rsid w:val="628D6FFB"/>
    <w:rsid w:val="629036F0"/>
    <w:rsid w:val="629B43BE"/>
    <w:rsid w:val="629D16C1"/>
    <w:rsid w:val="629E69CD"/>
    <w:rsid w:val="62A82D93"/>
    <w:rsid w:val="62AD58D8"/>
    <w:rsid w:val="62B13314"/>
    <w:rsid w:val="62B869FD"/>
    <w:rsid w:val="62C51DBE"/>
    <w:rsid w:val="62C91F3E"/>
    <w:rsid w:val="62D22A0E"/>
    <w:rsid w:val="62D3438A"/>
    <w:rsid w:val="62D627C8"/>
    <w:rsid w:val="62DA0BD1"/>
    <w:rsid w:val="62DB0049"/>
    <w:rsid w:val="62E4694D"/>
    <w:rsid w:val="62EE2529"/>
    <w:rsid w:val="62F64C15"/>
    <w:rsid w:val="633414C5"/>
    <w:rsid w:val="63461EEC"/>
    <w:rsid w:val="63553F2F"/>
    <w:rsid w:val="635B32AD"/>
    <w:rsid w:val="63704BE0"/>
    <w:rsid w:val="637078D3"/>
    <w:rsid w:val="63736D58"/>
    <w:rsid w:val="6380435B"/>
    <w:rsid w:val="63851388"/>
    <w:rsid w:val="638650D4"/>
    <w:rsid w:val="6387154A"/>
    <w:rsid w:val="638D23CA"/>
    <w:rsid w:val="6392452A"/>
    <w:rsid w:val="63A5148D"/>
    <w:rsid w:val="63A70E8F"/>
    <w:rsid w:val="63B21AA8"/>
    <w:rsid w:val="63C54ECC"/>
    <w:rsid w:val="63CC0769"/>
    <w:rsid w:val="63CE5046"/>
    <w:rsid w:val="63DF40F8"/>
    <w:rsid w:val="63E411F6"/>
    <w:rsid w:val="63E64B99"/>
    <w:rsid w:val="63F7561D"/>
    <w:rsid w:val="63F80A0B"/>
    <w:rsid w:val="640A18B3"/>
    <w:rsid w:val="64175832"/>
    <w:rsid w:val="641E3818"/>
    <w:rsid w:val="641F7BD5"/>
    <w:rsid w:val="641F7DF8"/>
    <w:rsid w:val="64213D3B"/>
    <w:rsid w:val="64220D48"/>
    <w:rsid w:val="642A7E04"/>
    <w:rsid w:val="642B5ED0"/>
    <w:rsid w:val="643854A6"/>
    <w:rsid w:val="64405216"/>
    <w:rsid w:val="64433A80"/>
    <w:rsid w:val="64463560"/>
    <w:rsid w:val="644A60C8"/>
    <w:rsid w:val="644F1599"/>
    <w:rsid w:val="645A716A"/>
    <w:rsid w:val="646D4654"/>
    <w:rsid w:val="64720DA0"/>
    <w:rsid w:val="64796D0D"/>
    <w:rsid w:val="647F1ED8"/>
    <w:rsid w:val="64823BF8"/>
    <w:rsid w:val="64851408"/>
    <w:rsid w:val="64862EC9"/>
    <w:rsid w:val="64875264"/>
    <w:rsid w:val="648F6F8E"/>
    <w:rsid w:val="64A1388C"/>
    <w:rsid w:val="64A70A9A"/>
    <w:rsid w:val="64AE14CF"/>
    <w:rsid w:val="64C1273A"/>
    <w:rsid w:val="64D240E7"/>
    <w:rsid w:val="64E07801"/>
    <w:rsid w:val="64E16C1A"/>
    <w:rsid w:val="6502166D"/>
    <w:rsid w:val="65044589"/>
    <w:rsid w:val="650778F6"/>
    <w:rsid w:val="65087639"/>
    <w:rsid w:val="650B540C"/>
    <w:rsid w:val="650B6057"/>
    <w:rsid w:val="651111F5"/>
    <w:rsid w:val="65194A7B"/>
    <w:rsid w:val="651D1F50"/>
    <w:rsid w:val="651E4E2C"/>
    <w:rsid w:val="6522599A"/>
    <w:rsid w:val="6523155F"/>
    <w:rsid w:val="65232A1F"/>
    <w:rsid w:val="65281339"/>
    <w:rsid w:val="652B48C5"/>
    <w:rsid w:val="652D2EDA"/>
    <w:rsid w:val="65317D82"/>
    <w:rsid w:val="65445652"/>
    <w:rsid w:val="654C5640"/>
    <w:rsid w:val="65516FAF"/>
    <w:rsid w:val="65572F1D"/>
    <w:rsid w:val="655876EB"/>
    <w:rsid w:val="655A66CE"/>
    <w:rsid w:val="65687B4F"/>
    <w:rsid w:val="657728EC"/>
    <w:rsid w:val="65837281"/>
    <w:rsid w:val="658D2A80"/>
    <w:rsid w:val="65964377"/>
    <w:rsid w:val="65967519"/>
    <w:rsid w:val="659F2F85"/>
    <w:rsid w:val="65A027C2"/>
    <w:rsid w:val="65A22444"/>
    <w:rsid w:val="65A93DB2"/>
    <w:rsid w:val="65A93F39"/>
    <w:rsid w:val="65AE77D6"/>
    <w:rsid w:val="65B23EF2"/>
    <w:rsid w:val="65BC6122"/>
    <w:rsid w:val="65BD621C"/>
    <w:rsid w:val="65C606F6"/>
    <w:rsid w:val="65DB2B27"/>
    <w:rsid w:val="65DF0B66"/>
    <w:rsid w:val="65E3522B"/>
    <w:rsid w:val="65EC0726"/>
    <w:rsid w:val="65EC3B3B"/>
    <w:rsid w:val="65F27F5D"/>
    <w:rsid w:val="65F55B8D"/>
    <w:rsid w:val="65F74891"/>
    <w:rsid w:val="660432D3"/>
    <w:rsid w:val="660D6798"/>
    <w:rsid w:val="6611374B"/>
    <w:rsid w:val="66147270"/>
    <w:rsid w:val="661604FF"/>
    <w:rsid w:val="661B4B95"/>
    <w:rsid w:val="661C41FF"/>
    <w:rsid w:val="66262DF8"/>
    <w:rsid w:val="66287CB1"/>
    <w:rsid w:val="663062BF"/>
    <w:rsid w:val="663337B0"/>
    <w:rsid w:val="66374A80"/>
    <w:rsid w:val="66426036"/>
    <w:rsid w:val="664306FA"/>
    <w:rsid w:val="66457188"/>
    <w:rsid w:val="664D67F8"/>
    <w:rsid w:val="664F4AF4"/>
    <w:rsid w:val="66574BED"/>
    <w:rsid w:val="665822F5"/>
    <w:rsid w:val="66627882"/>
    <w:rsid w:val="66686438"/>
    <w:rsid w:val="666E5CF8"/>
    <w:rsid w:val="667123E6"/>
    <w:rsid w:val="6676195F"/>
    <w:rsid w:val="667D0C70"/>
    <w:rsid w:val="668555A2"/>
    <w:rsid w:val="66864E57"/>
    <w:rsid w:val="66876053"/>
    <w:rsid w:val="668F17E0"/>
    <w:rsid w:val="669819D8"/>
    <w:rsid w:val="66981F33"/>
    <w:rsid w:val="66A81BA3"/>
    <w:rsid w:val="66AB5A88"/>
    <w:rsid w:val="66AE3877"/>
    <w:rsid w:val="66B35A2F"/>
    <w:rsid w:val="66BB33CC"/>
    <w:rsid w:val="66BB5F9E"/>
    <w:rsid w:val="66C619B0"/>
    <w:rsid w:val="66C7659C"/>
    <w:rsid w:val="66CE4903"/>
    <w:rsid w:val="66D61731"/>
    <w:rsid w:val="66DA1DF1"/>
    <w:rsid w:val="66E03816"/>
    <w:rsid w:val="66E73A34"/>
    <w:rsid w:val="66F50E5C"/>
    <w:rsid w:val="670A2887"/>
    <w:rsid w:val="670D1D79"/>
    <w:rsid w:val="670E1575"/>
    <w:rsid w:val="671508BE"/>
    <w:rsid w:val="67153291"/>
    <w:rsid w:val="67163363"/>
    <w:rsid w:val="672512E1"/>
    <w:rsid w:val="672C4425"/>
    <w:rsid w:val="673A6D7D"/>
    <w:rsid w:val="673C1DBC"/>
    <w:rsid w:val="67417BF9"/>
    <w:rsid w:val="67515393"/>
    <w:rsid w:val="67732C16"/>
    <w:rsid w:val="67741BD1"/>
    <w:rsid w:val="6779061A"/>
    <w:rsid w:val="67844807"/>
    <w:rsid w:val="67944729"/>
    <w:rsid w:val="67AB6C31"/>
    <w:rsid w:val="67AF2E89"/>
    <w:rsid w:val="67B1019F"/>
    <w:rsid w:val="67B1162E"/>
    <w:rsid w:val="67B14674"/>
    <w:rsid w:val="67C23DAE"/>
    <w:rsid w:val="67C636CE"/>
    <w:rsid w:val="67D81E1D"/>
    <w:rsid w:val="67DC0F74"/>
    <w:rsid w:val="67DC1BAC"/>
    <w:rsid w:val="67E379F5"/>
    <w:rsid w:val="67EE395B"/>
    <w:rsid w:val="67F47353"/>
    <w:rsid w:val="682D11D0"/>
    <w:rsid w:val="6835748F"/>
    <w:rsid w:val="68445741"/>
    <w:rsid w:val="684828EC"/>
    <w:rsid w:val="68493325"/>
    <w:rsid w:val="684A73F5"/>
    <w:rsid w:val="6855748C"/>
    <w:rsid w:val="685E08E5"/>
    <w:rsid w:val="68655EEA"/>
    <w:rsid w:val="68657F81"/>
    <w:rsid w:val="686A0DD4"/>
    <w:rsid w:val="68725BAE"/>
    <w:rsid w:val="68903139"/>
    <w:rsid w:val="68A93479"/>
    <w:rsid w:val="68B425A3"/>
    <w:rsid w:val="68B85266"/>
    <w:rsid w:val="68C677DB"/>
    <w:rsid w:val="68CA6B16"/>
    <w:rsid w:val="68CE3B51"/>
    <w:rsid w:val="68CF06EC"/>
    <w:rsid w:val="68DF7A76"/>
    <w:rsid w:val="68E40282"/>
    <w:rsid w:val="68E54AE2"/>
    <w:rsid w:val="68EA5DB9"/>
    <w:rsid w:val="68EC4EDA"/>
    <w:rsid w:val="68FB5BB0"/>
    <w:rsid w:val="68FC27AB"/>
    <w:rsid w:val="6901255F"/>
    <w:rsid w:val="69212B5A"/>
    <w:rsid w:val="692E5F0A"/>
    <w:rsid w:val="693214D5"/>
    <w:rsid w:val="693D3980"/>
    <w:rsid w:val="693F7590"/>
    <w:rsid w:val="694E5134"/>
    <w:rsid w:val="69505037"/>
    <w:rsid w:val="695A071A"/>
    <w:rsid w:val="695F0C28"/>
    <w:rsid w:val="69647CBF"/>
    <w:rsid w:val="696C75A4"/>
    <w:rsid w:val="697B70D5"/>
    <w:rsid w:val="69820DA9"/>
    <w:rsid w:val="698536FA"/>
    <w:rsid w:val="69862E1D"/>
    <w:rsid w:val="69882A4B"/>
    <w:rsid w:val="699A65E6"/>
    <w:rsid w:val="69A3381E"/>
    <w:rsid w:val="69AA074F"/>
    <w:rsid w:val="69AB2466"/>
    <w:rsid w:val="69B85707"/>
    <w:rsid w:val="69BC3AE1"/>
    <w:rsid w:val="69BE49BA"/>
    <w:rsid w:val="69C1089F"/>
    <w:rsid w:val="69C82590"/>
    <w:rsid w:val="69DD346D"/>
    <w:rsid w:val="69EE0CC5"/>
    <w:rsid w:val="69EF78C8"/>
    <w:rsid w:val="69F060B4"/>
    <w:rsid w:val="69F658FC"/>
    <w:rsid w:val="69FC54CB"/>
    <w:rsid w:val="69FE37C1"/>
    <w:rsid w:val="6A012B22"/>
    <w:rsid w:val="6A065217"/>
    <w:rsid w:val="6A0E0301"/>
    <w:rsid w:val="6A261063"/>
    <w:rsid w:val="6A3279EA"/>
    <w:rsid w:val="6A3464FB"/>
    <w:rsid w:val="6A3C1F41"/>
    <w:rsid w:val="6A47627C"/>
    <w:rsid w:val="6A5150A1"/>
    <w:rsid w:val="6A520B95"/>
    <w:rsid w:val="6A602252"/>
    <w:rsid w:val="6A6F53BE"/>
    <w:rsid w:val="6A744D7C"/>
    <w:rsid w:val="6A8475FA"/>
    <w:rsid w:val="6A9073A9"/>
    <w:rsid w:val="6A91270E"/>
    <w:rsid w:val="6A9B2C30"/>
    <w:rsid w:val="6AA743EC"/>
    <w:rsid w:val="6AAA7F97"/>
    <w:rsid w:val="6AB26742"/>
    <w:rsid w:val="6AB269F9"/>
    <w:rsid w:val="6ABA31BB"/>
    <w:rsid w:val="6ABE7200"/>
    <w:rsid w:val="6ABF493E"/>
    <w:rsid w:val="6ACF6768"/>
    <w:rsid w:val="6ADD1C23"/>
    <w:rsid w:val="6AFF0AFF"/>
    <w:rsid w:val="6B0110D4"/>
    <w:rsid w:val="6B0A1874"/>
    <w:rsid w:val="6B18769B"/>
    <w:rsid w:val="6B1F1762"/>
    <w:rsid w:val="6B231471"/>
    <w:rsid w:val="6B34573A"/>
    <w:rsid w:val="6B4C243A"/>
    <w:rsid w:val="6B530CC7"/>
    <w:rsid w:val="6B7E42A4"/>
    <w:rsid w:val="6B804BCF"/>
    <w:rsid w:val="6B922CA2"/>
    <w:rsid w:val="6B984A77"/>
    <w:rsid w:val="6B986889"/>
    <w:rsid w:val="6BA5681E"/>
    <w:rsid w:val="6BB06C70"/>
    <w:rsid w:val="6BB839C6"/>
    <w:rsid w:val="6BC22FE7"/>
    <w:rsid w:val="6BC959C4"/>
    <w:rsid w:val="6BCA319C"/>
    <w:rsid w:val="6BD93248"/>
    <w:rsid w:val="6BE45ED8"/>
    <w:rsid w:val="6BFC2C5E"/>
    <w:rsid w:val="6C03369E"/>
    <w:rsid w:val="6C135D22"/>
    <w:rsid w:val="6C1750C2"/>
    <w:rsid w:val="6C187AB4"/>
    <w:rsid w:val="6C2F1793"/>
    <w:rsid w:val="6C315509"/>
    <w:rsid w:val="6C3C70E0"/>
    <w:rsid w:val="6C425F5F"/>
    <w:rsid w:val="6C512C31"/>
    <w:rsid w:val="6C572D6D"/>
    <w:rsid w:val="6C5F0204"/>
    <w:rsid w:val="6C5F75C3"/>
    <w:rsid w:val="6C630EAF"/>
    <w:rsid w:val="6C725A9A"/>
    <w:rsid w:val="6C81713B"/>
    <w:rsid w:val="6C830E91"/>
    <w:rsid w:val="6C8702EF"/>
    <w:rsid w:val="6C8C5B01"/>
    <w:rsid w:val="6C8E787F"/>
    <w:rsid w:val="6C902EDD"/>
    <w:rsid w:val="6C97436A"/>
    <w:rsid w:val="6CA601AA"/>
    <w:rsid w:val="6CAB51F7"/>
    <w:rsid w:val="6CAB52D6"/>
    <w:rsid w:val="6CC0581D"/>
    <w:rsid w:val="6CCC270D"/>
    <w:rsid w:val="6CCC3BBB"/>
    <w:rsid w:val="6CD06C80"/>
    <w:rsid w:val="6CD34605"/>
    <w:rsid w:val="6CDD2AED"/>
    <w:rsid w:val="6CDD3275"/>
    <w:rsid w:val="6CDF4B1D"/>
    <w:rsid w:val="6CF8489B"/>
    <w:rsid w:val="6CF97AC3"/>
    <w:rsid w:val="6D055E9F"/>
    <w:rsid w:val="6D0948C6"/>
    <w:rsid w:val="6D0B63FE"/>
    <w:rsid w:val="6D0C4C25"/>
    <w:rsid w:val="6D156F5C"/>
    <w:rsid w:val="6D1D4DD7"/>
    <w:rsid w:val="6D220E58"/>
    <w:rsid w:val="6D3923E7"/>
    <w:rsid w:val="6D4802C8"/>
    <w:rsid w:val="6D530846"/>
    <w:rsid w:val="6D5A2A57"/>
    <w:rsid w:val="6D5F74A5"/>
    <w:rsid w:val="6D6D2F52"/>
    <w:rsid w:val="6D903739"/>
    <w:rsid w:val="6DA35598"/>
    <w:rsid w:val="6DA67463"/>
    <w:rsid w:val="6DA85DED"/>
    <w:rsid w:val="6DA95E0A"/>
    <w:rsid w:val="6DB23693"/>
    <w:rsid w:val="6DB87D8D"/>
    <w:rsid w:val="6DBF1B6C"/>
    <w:rsid w:val="6DC1115C"/>
    <w:rsid w:val="6DC957DB"/>
    <w:rsid w:val="6DCE3893"/>
    <w:rsid w:val="6DE679B9"/>
    <w:rsid w:val="6DF16830"/>
    <w:rsid w:val="6DF97537"/>
    <w:rsid w:val="6E167283"/>
    <w:rsid w:val="6E1856DF"/>
    <w:rsid w:val="6E187819"/>
    <w:rsid w:val="6E1D2124"/>
    <w:rsid w:val="6E255358"/>
    <w:rsid w:val="6E266AF0"/>
    <w:rsid w:val="6E2F3941"/>
    <w:rsid w:val="6E356A0D"/>
    <w:rsid w:val="6E40028B"/>
    <w:rsid w:val="6E406282"/>
    <w:rsid w:val="6E4621DB"/>
    <w:rsid w:val="6E4A476D"/>
    <w:rsid w:val="6E5B4917"/>
    <w:rsid w:val="6E5F04B0"/>
    <w:rsid w:val="6E6336C4"/>
    <w:rsid w:val="6E6A3EF2"/>
    <w:rsid w:val="6E7128A1"/>
    <w:rsid w:val="6E8258A2"/>
    <w:rsid w:val="6E827E1C"/>
    <w:rsid w:val="6E855CA4"/>
    <w:rsid w:val="6E90678F"/>
    <w:rsid w:val="6EA360BB"/>
    <w:rsid w:val="6EA54D4A"/>
    <w:rsid w:val="6EAE656C"/>
    <w:rsid w:val="6EB07D80"/>
    <w:rsid w:val="6EB140BD"/>
    <w:rsid w:val="6EBA468A"/>
    <w:rsid w:val="6EC359F8"/>
    <w:rsid w:val="6EC42105"/>
    <w:rsid w:val="6EC66318"/>
    <w:rsid w:val="6ED2281A"/>
    <w:rsid w:val="6ED8137B"/>
    <w:rsid w:val="6EDF6521"/>
    <w:rsid w:val="6EFA1A20"/>
    <w:rsid w:val="6EFA7EE5"/>
    <w:rsid w:val="6EFB768C"/>
    <w:rsid w:val="6EFD35DE"/>
    <w:rsid w:val="6EFE2357"/>
    <w:rsid w:val="6F001C48"/>
    <w:rsid w:val="6F032576"/>
    <w:rsid w:val="6F115421"/>
    <w:rsid w:val="6F1872FC"/>
    <w:rsid w:val="6F1C2066"/>
    <w:rsid w:val="6F1D0D53"/>
    <w:rsid w:val="6F2A2ECA"/>
    <w:rsid w:val="6F3106F2"/>
    <w:rsid w:val="6F467459"/>
    <w:rsid w:val="6F4C4DE6"/>
    <w:rsid w:val="6F5241BB"/>
    <w:rsid w:val="6F556527"/>
    <w:rsid w:val="6F766A8F"/>
    <w:rsid w:val="6F7A4A3F"/>
    <w:rsid w:val="6F8928F5"/>
    <w:rsid w:val="6F995887"/>
    <w:rsid w:val="6FA774E3"/>
    <w:rsid w:val="6FAA5651"/>
    <w:rsid w:val="6FAD74BB"/>
    <w:rsid w:val="6FB35709"/>
    <w:rsid w:val="6FC16152"/>
    <w:rsid w:val="6FE31E94"/>
    <w:rsid w:val="6FEC5DF2"/>
    <w:rsid w:val="6FF011B3"/>
    <w:rsid w:val="6FF619A2"/>
    <w:rsid w:val="6FF73BEF"/>
    <w:rsid w:val="6FFF071C"/>
    <w:rsid w:val="70007C0A"/>
    <w:rsid w:val="70131D65"/>
    <w:rsid w:val="7016204D"/>
    <w:rsid w:val="70172177"/>
    <w:rsid w:val="70174662"/>
    <w:rsid w:val="701807C0"/>
    <w:rsid w:val="701853D4"/>
    <w:rsid w:val="701B4BDA"/>
    <w:rsid w:val="702552C0"/>
    <w:rsid w:val="70335B84"/>
    <w:rsid w:val="70436BB2"/>
    <w:rsid w:val="70437086"/>
    <w:rsid w:val="704A55A0"/>
    <w:rsid w:val="704B2553"/>
    <w:rsid w:val="70507C87"/>
    <w:rsid w:val="70626A76"/>
    <w:rsid w:val="70645DE9"/>
    <w:rsid w:val="70710FE8"/>
    <w:rsid w:val="707F79C5"/>
    <w:rsid w:val="70822713"/>
    <w:rsid w:val="70851932"/>
    <w:rsid w:val="708C2BB1"/>
    <w:rsid w:val="70966BFB"/>
    <w:rsid w:val="709B3188"/>
    <w:rsid w:val="709C736A"/>
    <w:rsid w:val="70BE1B55"/>
    <w:rsid w:val="70C10901"/>
    <w:rsid w:val="70C20D61"/>
    <w:rsid w:val="70C7379A"/>
    <w:rsid w:val="70D464E7"/>
    <w:rsid w:val="70D82B9C"/>
    <w:rsid w:val="70EB1D89"/>
    <w:rsid w:val="70FD10A4"/>
    <w:rsid w:val="710014D8"/>
    <w:rsid w:val="7110130B"/>
    <w:rsid w:val="711660ED"/>
    <w:rsid w:val="71186DD2"/>
    <w:rsid w:val="711B753B"/>
    <w:rsid w:val="711C2B67"/>
    <w:rsid w:val="712507D9"/>
    <w:rsid w:val="7128699B"/>
    <w:rsid w:val="71344CB0"/>
    <w:rsid w:val="7155561B"/>
    <w:rsid w:val="715C6D99"/>
    <w:rsid w:val="71727967"/>
    <w:rsid w:val="717345EC"/>
    <w:rsid w:val="717371B5"/>
    <w:rsid w:val="71845406"/>
    <w:rsid w:val="71882DAA"/>
    <w:rsid w:val="718A016D"/>
    <w:rsid w:val="71924BD7"/>
    <w:rsid w:val="7196358D"/>
    <w:rsid w:val="71A641EF"/>
    <w:rsid w:val="71A911ED"/>
    <w:rsid w:val="71AF12E6"/>
    <w:rsid w:val="71B068EC"/>
    <w:rsid w:val="71B12BBF"/>
    <w:rsid w:val="71B27028"/>
    <w:rsid w:val="71BC39DA"/>
    <w:rsid w:val="71D30550"/>
    <w:rsid w:val="71D93007"/>
    <w:rsid w:val="71E6384A"/>
    <w:rsid w:val="71ED64E3"/>
    <w:rsid w:val="71F04A16"/>
    <w:rsid w:val="71F6458A"/>
    <w:rsid w:val="71F73DE1"/>
    <w:rsid w:val="720647AB"/>
    <w:rsid w:val="720A63FB"/>
    <w:rsid w:val="722247BB"/>
    <w:rsid w:val="72257B1B"/>
    <w:rsid w:val="722872F5"/>
    <w:rsid w:val="72315FFA"/>
    <w:rsid w:val="723B17D8"/>
    <w:rsid w:val="72404886"/>
    <w:rsid w:val="724834E8"/>
    <w:rsid w:val="72563BD9"/>
    <w:rsid w:val="72570F4D"/>
    <w:rsid w:val="72587DCD"/>
    <w:rsid w:val="725B18E4"/>
    <w:rsid w:val="725C4DB0"/>
    <w:rsid w:val="725E3C35"/>
    <w:rsid w:val="72620A38"/>
    <w:rsid w:val="72625615"/>
    <w:rsid w:val="726A7E40"/>
    <w:rsid w:val="727854EA"/>
    <w:rsid w:val="728045D5"/>
    <w:rsid w:val="7289390F"/>
    <w:rsid w:val="729A27C9"/>
    <w:rsid w:val="72A20E4A"/>
    <w:rsid w:val="72AC6E54"/>
    <w:rsid w:val="72B068B7"/>
    <w:rsid w:val="72D13593"/>
    <w:rsid w:val="72DA4BC8"/>
    <w:rsid w:val="72E67B6F"/>
    <w:rsid w:val="72E72D01"/>
    <w:rsid w:val="72EF7B9F"/>
    <w:rsid w:val="72F06CE3"/>
    <w:rsid w:val="730B68E4"/>
    <w:rsid w:val="731505ED"/>
    <w:rsid w:val="7318110C"/>
    <w:rsid w:val="731C31EE"/>
    <w:rsid w:val="733609A7"/>
    <w:rsid w:val="733C4DFB"/>
    <w:rsid w:val="733D309D"/>
    <w:rsid w:val="734511EA"/>
    <w:rsid w:val="73494B8A"/>
    <w:rsid w:val="734D055A"/>
    <w:rsid w:val="734E0FC2"/>
    <w:rsid w:val="73616960"/>
    <w:rsid w:val="73652192"/>
    <w:rsid w:val="73680EDC"/>
    <w:rsid w:val="73686EE0"/>
    <w:rsid w:val="736A5638"/>
    <w:rsid w:val="736D0684"/>
    <w:rsid w:val="73784068"/>
    <w:rsid w:val="7379172F"/>
    <w:rsid w:val="738316CF"/>
    <w:rsid w:val="73844C1D"/>
    <w:rsid w:val="73854D88"/>
    <w:rsid w:val="738F4843"/>
    <w:rsid w:val="739311F9"/>
    <w:rsid w:val="7398746E"/>
    <w:rsid w:val="73997880"/>
    <w:rsid w:val="739C1B3C"/>
    <w:rsid w:val="73A40537"/>
    <w:rsid w:val="73AD6732"/>
    <w:rsid w:val="73B9644B"/>
    <w:rsid w:val="73CD0C54"/>
    <w:rsid w:val="73CD2547"/>
    <w:rsid w:val="73CF2C80"/>
    <w:rsid w:val="73DB09BC"/>
    <w:rsid w:val="73E81FAB"/>
    <w:rsid w:val="73ED63C7"/>
    <w:rsid w:val="73ED7386"/>
    <w:rsid w:val="73EF6C92"/>
    <w:rsid w:val="73F360C6"/>
    <w:rsid w:val="73F97326"/>
    <w:rsid w:val="74035919"/>
    <w:rsid w:val="74092434"/>
    <w:rsid w:val="741940EA"/>
    <w:rsid w:val="741D7F86"/>
    <w:rsid w:val="742203E9"/>
    <w:rsid w:val="742B3E45"/>
    <w:rsid w:val="743661AD"/>
    <w:rsid w:val="743F01A5"/>
    <w:rsid w:val="743F1A8E"/>
    <w:rsid w:val="74427537"/>
    <w:rsid w:val="744615C7"/>
    <w:rsid w:val="745818F1"/>
    <w:rsid w:val="745D63B5"/>
    <w:rsid w:val="74637CB7"/>
    <w:rsid w:val="74747FE2"/>
    <w:rsid w:val="747F0728"/>
    <w:rsid w:val="74871BB8"/>
    <w:rsid w:val="748C7911"/>
    <w:rsid w:val="74921E3E"/>
    <w:rsid w:val="74934FF2"/>
    <w:rsid w:val="749A13F9"/>
    <w:rsid w:val="749D1525"/>
    <w:rsid w:val="749E2DD8"/>
    <w:rsid w:val="74A7099A"/>
    <w:rsid w:val="74A91531"/>
    <w:rsid w:val="74B27D58"/>
    <w:rsid w:val="74C01050"/>
    <w:rsid w:val="74CB036A"/>
    <w:rsid w:val="74CE3326"/>
    <w:rsid w:val="74D56E81"/>
    <w:rsid w:val="74D73FD9"/>
    <w:rsid w:val="74E05C29"/>
    <w:rsid w:val="74E66D0E"/>
    <w:rsid w:val="75062572"/>
    <w:rsid w:val="75092CE3"/>
    <w:rsid w:val="750B1153"/>
    <w:rsid w:val="75187EB2"/>
    <w:rsid w:val="751D3A89"/>
    <w:rsid w:val="752E6383"/>
    <w:rsid w:val="752E74A3"/>
    <w:rsid w:val="75304F2F"/>
    <w:rsid w:val="75307D87"/>
    <w:rsid w:val="75340A92"/>
    <w:rsid w:val="753544A8"/>
    <w:rsid w:val="753A2A22"/>
    <w:rsid w:val="753A4F7A"/>
    <w:rsid w:val="75410942"/>
    <w:rsid w:val="75471E2A"/>
    <w:rsid w:val="75486A53"/>
    <w:rsid w:val="756F5264"/>
    <w:rsid w:val="757812AD"/>
    <w:rsid w:val="758F334B"/>
    <w:rsid w:val="75923FF6"/>
    <w:rsid w:val="75AC5665"/>
    <w:rsid w:val="75AE5C53"/>
    <w:rsid w:val="75B67E7F"/>
    <w:rsid w:val="75BE6A65"/>
    <w:rsid w:val="75C274E2"/>
    <w:rsid w:val="75CB06B8"/>
    <w:rsid w:val="75E9406A"/>
    <w:rsid w:val="75E96B24"/>
    <w:rsid w:val="75EE7E92"/>
    <w:rsid w:val="75F90156"/>
    <w:rsid w:val="75FA753E"/>
    <w:rsid w:val="7603457C"/>
    <w:rsid w:val="76076E52"/>
    <w:rsid w:val="760D3716"/>
    <w:rsid w:val="76253FD1"/>
    <w:rsid w:val="76257079"/>
    <w:rsid w:val="762B73A9"/>
    <w:rsid w:val="76314D7C"/>
    <w:rsid w:val="763478F4"/>
    <w:rsid w:val="76377FF0"/>
    <w:rsid w:val="764834EC"/>
    <w:rsid w:val="764A3906"/>
    <w:rsid w:val="764F51D3"/>
    <w:rsid w:val="765132D9"/>
    <w:rsid w:val="765270A5"/>
    <w:rsid w:val="76766476"/>
    <w:rsid w:val="76781D56"/>
    <w:rsid w:val="76841BF7"/>
    <w:rsid w:val="768D3A31"/>
    <w:rsid w:val="76910A96"/>
    <w:rsid w:val="769119C0"/>
    <w:rsid w:val="769A1798"/>
    <w:rsid w:val="769A6793"/>
    <w:rsid w:val="769F5A71"/>
    <w:rsid w:val="769F66C8"/>
    <w:rsid w:val="76A167B7"/>
    <w:rsid w:val="76AB140D"/>
    <w:rsid w:val="76B03656"/>
    <w:rsid w:val="76B13D52"/>
    <w:rsid w:val="76C135F2"/>
    <w:rsid w:val="76D45616"/>
    <w:rsid w:val="76D8771A"/>
    <w:rsid w:val="76EA3F8B"/>
    <w:rsid w:val="76EB7BA3"/>
    <w:rsid w:val="76ED074D"/>
    <w:rsid w:val="76F528FB"/>
    <w:rsid w:val="76F8173D"/>
    <w:rsid w:val="77060B11"/>
    <w:rsid w:val="77065E4C"/>
    <w:rsid w:val="77096DE0"/>
    <w:rsid w:val="770D4E56"/>
    <w:rsid w:val="77151408"/>
    <w:rsid w:val="771A7839"/>
    <w:rsid w:val="77281119"/>
    <w:rsid w:val="7738242C"/>
    <w:rsid w:val="773D5A88"/>
    <w:rsid w:val="774A0048"/>
    <w:rsid w:val="774A1AB3"/>
    <w:rsid w:val="774C62F1"/>
    <w:rsid w:val="775527F3"/>
    <w:rsid w:val="775664DC"/>
    <w:rsid w:val="775B4FA2"/>
    <w:rsid w:val="77690583"/>
    <w:rsid w:val="776A4F45"/>
    <w:rsid w:val="7774438B"/>
    <w:rsid w:val="777836F7"/>
    <w:rsid w:val="778515D3"/>
    <w:rsid w:val="778F1D7E"/>
    <w:rsid w:val="7794021F"/>
    <w:rsid w:val="77A44316"/>
    <w:rsid w:val="77A455C2"/>
    <w:rsid w:val="77A83056"/>
    <w:rsid w:val="77A95051"/>
    <w:rsid w:val="77B3547E"/>
    <w:rsid w:val="77C020F8"/>
    <w:rsid w:val="77DE6A72"/>
    <w:rsid w:val="77DF53D7"/>
    <w:rsid w:val="77ED0DBA"/>
    <w:rsid w:val="77EE1D1E"/>
    <w:rsid w:val="77F00374"/>
    <w:rsid w:val="77F965DA"/>
    <w:rsid w:val="77FB3AF7"/>
    <w:rsid w:val="77FE2633"/>
    <w:rsid w:val="78071FEB"/>
    <w:rsid w:val="78073B0E"/>
    <w:rsid w:val="7811213F"/>
    <w:rsid w:val="78245115"/>
    <w:rsid w:val="78276B9D"/>
    <w:rsid w:val="78287B2E"/>
    <w:rsid w:val="78311A3A"/>
    <w:rsid w:val="78395570"/>
    <w:rsid w:val="78460880"/>
    <w:rsid w:val="78476DC5"/>
    <w:rsid w:val="784D4C9F"/>
    <w:rsid w:val="784D5A32"/>
    <w:rsid w:val="784F226F"/>
    <w:rsid w:val="785B5A9A"/>
    <w:rsid w:val="78617B4A"/>
    <w:rsid w:val="78645FA9"/>
    <w:rsid w:val="78694E27"/>
    <w:rsid w:val="787123B6"/>
    <w:rsid w:val="78825FC0"/>
    <w:rsid w:val="788D4217"/>
    <w:rsid w:val="789116D1"/>
    <w:rsid w:val="78993D4E"/>
    <w:rsid w:val="78A1436B"/>
    <w:rsid w:val="78A468D2"/>
    <w:rsid w:val="78AA168F"/>
    <w:rsid w:val="78AB6DB0"/>
    <w:rsid w:val="78AB73F2"/>
    <w:rsid w:val="78B7475B"/>
    <w:rsid w:val="78BA554A"/>
    <w:rsid w:val="78BA6021"/>
    <w:rsid w:val="78BD1178"/>
    <w:rsid w:val="78C0173E"/>
    <w:rsid w:val="78CA1E9F"/>
    <w:rsid w:val="78D65730"/>
    <w:rsid w:val="78E51DA5"/>
    <w:rsid w:val="78E779BB"/>
    <w:rsid w:val="78F233FB"/>
    <w:rsid w:val="78F823E6"/>
    <w:rsid w:val="79130145"/>
    <w:rsid w:val="791A2782"/>
    <w:rsid w:val="792103BA"/>
    <w:rsid w:val="7922036D"/>
    <w:rsid w:val="792255DF"/>
    <w:rsid w:val="792821D9"/>
    <w:rsid w:val="792E627A"/>
    <w:rsid w:val="792F376C"/>
    <w:rsid w:val="793B1E90"/>
    <w:rsid w:val="794D2C59"/>
    <w:rsid w:val="794E14E6"/>
    <w:rsid w:val="797942AE"/>
    <w:rsid w:val="79826A65"/>
    <w:rsid w:val="79915BED"/>
    <w:rsid w:val="7993773F"/>
    <w:rsid w:val="799F38E7"/>
    <w:rsid w:val="79A501BE"/>
    <w:rsid w:val="79AD3F53"/>
    <w:rsid w:val="79B2623E"/>
    <w:rsid w:val="79B33CC9"/>
    <w:rsid w:val="79BB1982"/>
    <w:rsid w:val="79BD1894"/>
    <w:rsid w:val="79CC142F"/>
    <w:rsid w:val="79CC6350"/>
    <w:rsid w:val="79CF2468"/>
    <w:rsid w:val="79D46940"/>
    <w:rsid w:val="79EE009F"/>
    <w:rsid w:val="79FA2036"/>
    <w:rsid w:val="7A07215D"/>
    <w:rsid w:val="7A142A28"/>
    <w:rsid w:val="7A2D4326"/>
    <w:rsid w:val="7A2E379D"/>
    <w:rsid w:val="7A322733"/>
    <w:rsid w:val="7A430A25"/>
    <w:rsid w:val="7A5E568B"/>
    <w:rsid w:val="7A763456"/>
    <w:rsid w:val="7A7645FE"/>
    <w:rsid w:val="7A8674BF"/>
    <w:rsid w:val="7A882758"/>
    <w:rsid w:val="7A8F24EE"/>
    <w:rsid w:val="7AA56F1C"/>
    <w:rsid w:val="7AB96701"/>
    <w:rsid w:val="7AC624B0"/>
    <w:rsid w:val="7ACB0136"/>
    <w:rsid w:val="7ACB2D6B"/>
    <w:rsid w:val="7ACD321D"/>
    <w:rsid w:val="7ADD1520"/>
    <w:rsid w:val="7AFE7946"/>
    <w:rsid w:val="7B0E6226"/>
    <w:rsid w:val="7B1800EF"/>
    <w:rsid w:val="7B1A17CE"/>
    <w:rsid w:val="7B255DA5"/>
    <w:rsid w:val="7B2C6050"/>
    <w:rsid w:val="7B393A3C"/>
    <w:rsid w:val="7B596EF0"/>
    <w:rsid w:val="7B5A3BD0"/>
    <w:rsid w:val="7B5B014C"/>
    <w:rsid w:val="7B6168DB"/>
    <w:rsid w:val="7B6272D1"/>
    <w:rsid w:val="7B65460A"/>
    <w:rsid w:val="7B763303"/>
    <w:rsid w:val="7B775180"/>
    <w:rsid w:val="7B841036"/>
    <w:rsid w:val="7B881176"/>
    <w:rsid w:val="7B95768C"/>
    <w:rsid w:val="7B972DAE"/>
    <w:rsid w:val="7B991FEC"/>
    <w:rsid w:val="7B9F67B7"/>
    <w:rsid w:val="7BA42631"/>
    <w:rsid w:val="7BA46C19"/>
    <w:rsid w:val="7BB10932"/>
    <w:rsid w:val="7BB90D80"/>
    <w:rsid w:val="7BC65EB6"/>
    <w:rsid w:val="7BC72E5B"/>
    <w:rsid w:val="7BCE04A6"/>
    <w:rsid w:val="7BD230D4"/>
    <w:rsid w:val="7BDD6E05"/>
    <w:rsid w:val="7BE1491D"/>
    <w:rsid w:val="7BE76266"/>
    <w:rsid w:val="7BE97FA1"/>
    <w:rsid w:val="7BEB67C2"/>
    <w:rsid w:val="7BF27842"/>
    <w:rsid w:val="7BFA3AA5"/>
    <w:rsid w:val="7C0F564E"/>
    <w:rsid w:val="7C213EC0"/>
    <w:rsid w:val="7C234D57"/>
    <w:rsid w:val="7C2544A2"/>
    <w:rsid w:val="7C290C7D"/>
    <w:rsid w:val="7C2D08FF"/>
    <w:rsid w:val="7C32502C"/>
    <w:rsid w:val="7C354502"/>
    <w:rsid w:val="7C405255"/>
    <w:rsid w:val="7C405EB3"/>
    <w:rsid w:val="7C475DDC"/>
    <w:rsid w:val="7C4D627F"/>
    <w:rsid w:val="7C563D93"/>
    <w:rsid w:val="7C5C767B"/>
    <w:rsid w:val="7C63563F"/>
    <w:rsid w:val="7C741EEF"/>
    <w:rsid w:val="7C7661B5"/>
    <w:rsid w:val="7C8205ED"/>
    <w:rsid w:val="7C9C7ECF"/>
    <w:rsid w:val="7CA63F27"/>
    <w:rsid w:val="7CA70385"/>
    <w:rsid w:val="7CB82817"/>
    <w:rsid w:val="7CC2438C"/>
    <w:rsid w:val="7CC652B6"/>
    <w:rsid w:val="7CE32D29"/>
    <w:rsid w:val="7CEA24DC"/>
    <w:rsid w:val="7CEC2E30"/>
    <w:rsid w:val="7CED4255"/>
    <w:rsid w:val="7CED772E"/>
    <w:rsid w:val="7CEE5F7A"/>
    <w:rsid w:val="7CEF2EDE"/>
    <w:rsid w:val="7CF2432F"/>
    <w:rsid w:val="7CF94A1B"/>
    <w:rsid w:val="7D097762"/>
    <w:rsid w:val="7D15787F"/>
    <w:rsid w:val="7D1C7650"/>
    <w:rsid w:val="7D293F26"/>
    <w:rsid w:val="7D420361"/>
    <w:rsid w:val="7D5464A3"/>
    <w:rsid w:val="7D596833"/>
    <w:rsid w:val="7D5A1F17"/>
    <w:rsid w:val="7D6215CF"/>
    <w:rsid w:val="7D6420A2"/>
    <w:rsid w:val="7D6B2EAC"/>
    <w:rsid w:val="7D6F6925"/>
    <w:rsid w:val="7D717D91"/>
    <w:rsid w:val="7D737B53"/>
    <w:rsid w:val="7D7618BD"/>
    <w:rsid w:val="7D8013DE"/>
    <w:rsid w:val="7D8C318C"/>
    <w:rsid w:val="7D9426D7"/>
    <w:rsid w:val="7D9A4659"/>
    <w:rsid w:val="7DB128A0"/>
    <w:rsid w:val="7DB87774"/>
    <w:rsid w:val="7DC35D8F"/>
    <w:rsid w:val="7DC85D7B"/>
    <w:rsid w:val="7DC90C55"/>
    <w:rsid w:val="7DD91F83"/>
    <w:rsid w:val="7DDA1DE0"/>
    <w:rsid w:val="7DEE7BD9"/>
    <w:rsid w:val="7DF21115"/>
    <w:rsid w:val="7DFE3164"/>
    <w:rsid w:val="7E08348D"/>
    <w:rsid w:val="7E0B01EB"/>
    <w:rsid w:val="7E2377E2"/>
    <w:rsid w:val="7E267CD4"/>
    <w:rsid w:val="7E334395"/>
    <w:rsid w:val="7E335E4F"/>
    <w:rsid w:val="7E355913"/>
    <w:rsid w:val="7E4F3338"/>
    <w:rsid w:val="7E537BB0"/>
    <w:rsid w:val="7E56492B"/>
    <w:rsid w:val="7E5A086B"/>
    <w:rsid w:val="7E5A5177"/>
    <w:rsid w:val="7E5C0B4D"/>
    <w:rsid w:val="7E615F02"/>
    <w:rsid w:val="7E731C89"/>
    <w:rsid w:val="7E7A5CE4"/>
    <w:rsid w:val="7E7B7ADD"/>
    <w:rsid w:val="7E816668"/>
    <w:rsid w:val="7E980DFB"/>
    <w:rsid w:val="7E997116"/>
    <w:rsid w:val="7EA421AF"/>
    <w:rsid w:val="7EA57745"/>
    <w:rsid w:val="7EAA46CA"/>
    <w:rsid w:val="7EB522B2"/>
    <w:rsid w:val="7EC87E8B"/>
    <w:rsid w:val="7EC96723"/>
    <w:rsid w:val="7ECA6A62"/>
    <w:rsid w:val="7ED01373"/>
    <w:rsid w:val="7ED10EFD"/>
    <w:rsid w:val="7EDA0185"/>
    <w:rsid w:val="7EE2254F"/>
    <w:rsid w:val="7EE37C7E"/>
    <w:rsid w:val="7EF46ED2"/>
    <w:rsid w:val="7EF832BC"/>
    <w:rsid w:val="7EFC0AAE"/>
    <w:rsid w:val="7F0103E1"/>
    <w:rsid w:val="7F0226DD"/>
    <w:rsid w:val="7F0C6FB4"/>
    <w:rsid w:val="7F1061A8"/>
    <w:rsid w:val="7F1C58DF"/>
    <w:rsid w:val="7F231565"/>
    <w:rsid w:val="7F2526CC"/>
    <w:rsid w:val="7F2636A3"/>
    <w:rsid w:val="7F2C519A"/>
    <w:rsid w:val="7F4601AA"/>
    <w:rsid w:val="7F485EDA"/>
    <w:rsid w:val="7F4D6A1A"/>
    <w:rsid w:val="7F572F1C"/>
    <w:rsid w:val="7F5C13D9"/>
    <w:rsid w:val="7F5D307A"/>
    <w:rsid w:val="7F6134C4"/>
    <w:rsid w:val="7F640B2E"/>
    <w:rsid w:val="7F655C51"/>
    <w:rsid w:val="7F6F082B"/>
    <w:rsid w:val="7F7453B3"/>
    <w:rsid w:val="7F751C0A"/>
    <w:rsid w:val="7F7A1DBD"/>
    <w:rsid w:val="7F806E8E"/>
    <w:rsid w:val="7F825B15"/>
    <w:rsid w:val="7F8339C6"/>
    <w:rsid w:val="7F8A1057"/>
    <w:rsid w:val="7F8B1D8D"/>
    <w:rsid w:val="7F8E48C0"/>
    <w:rsid w:val="7F96301D"/>
    <w:rsid w:val="7F9C0EB6"/>
    <w:rsid w:val="7FB02CFE"/>
    <w:rsid w:val="7FB579B0"/>
    <w:rsid w:val="7FC07E28"/>
    <w:rsid w:val="7FCE67BC"/>
    <w:rsid w:val="7FD25CF2"/>
    <w:rsid w:val="7FD33A5A"/>
    <w:rsid w:val="7FD46875"/>
    <w:rsid w:val="7FD77D57"/>
    <w:rsid w:val="7FD80697"/>
    <w:rsid w:val="7FD915B3"/>
    <w:rsid w:val="7FDB18EC"/>
    <w:rsid w:val="7FDF4803"/>
    <w:rsid w:val="7FE3159D"/>
    <w:rsid w:val="7FE50022"/>
    <w:rsid w:val="7FEE6100"/>
    <w:rsid w:val="7FF62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6"/>
    <w:qFormat/>
    <w:uiPriority w:val="9"/>
    <w:pPr>
      <w:keepNext/>
      <w:keepLines/>
      <w:ind w:firstLine="712" w:firstLineChars="200"/>
      <w:outlineLvl w:val="2"/>
    </w:pPr>
    <w:rPr>
      <w:b/>
      <w:sz w:val="24"/>
      <w:szCs w:val="28"/>
    </w:rPr>
  </w:style>
  <w:style w:type="paragraph" w:styleId="6">
    <w:name w:val="heading 4"/>
    <w:next w:val="1"/>
    <w:autoRedefine/>
    <w:qFormat/>
    <w:uiPriority w:val="0"/>
    <w:pPr>
      <w:keepNext/>
      <w:keepLines/>
      <w:widowControl w:val="0"/>
      <w:spacing w:line="400" w:lineRule="exact"/>
      <w:ind w:firstLine="200" w:firstLineChars="200"/>
      <w:jc w:val="both"/>
      <w:outlineLvl w:val="3"/>
    </w:pPr>
    <w:rPr>
      <w:rFonts w:ascii="黑体" w:hAnsi="Arial" w:eastAsia="黑体" w:cs="Times New Roman"/>
      <w:bCs/>
      <w:kern w:val="2"/>
      <w:sz w:val="24"/>
      <w:szCs w:val="28"/>
      <w:lang w:val="en-US" w:eastAsia="zh-CN" w:bidi="ar-SA"/>
    </w:rPr>
  </w:style>
  <w:style w:type="paragraph" w:styleId="7">
    <w:name w:val="heading 5"/>
    <w:basedOn w:val="1"/>
    <w:next w:val="1"/>
    <w:unhideWhenUsed/>
    <w:qFormat/>
    <w:uiPriority w:val="0"/>
    <w:pPr>
      <w:keepNext/>
      <w:keepLines/>
      <w:spacing w:before="260" w:beforeLines="0" w:beforeAutospacing="0" w:after="260" w:afterLines="0" w:afterAutospacing="0" w:line="500" w:lineRule="exact"/>
      <w:ind w:firstLine="0" w:firstLineChars="0"/>
      <w:outlineLvl w:val="4"/>
    </w:pPr>
    <w:rPr>
      <w:b/>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widowControl/>
      <w:spacing w:before="100" w:beforeAutospacing="1" w:after="100" w:afterAutospacing="1"/>
      <w:jc w:val="left"/>
    </w:pPr>
    <w:rPr>
      <w:rFonts w:ascii="宋体" w:hAnsi="宋体"/>
      <w:snapToGrid w:val="0"/>
      <w:color w:val="000000"/>
      <w:kern w:val="0"/>
      <w:sz w:val="24"/>
    </w:rPr>
  </w:style>
  <w:style w:type="paragraph" w:styleId="8">
    <w:name w:val="annotation text"/>
    <w:link w:val="67"/>
    <w:autoRedefine/>
    <w:unhideWhenUsed/>
    <w:qFormat/>
    <w:uiPriority w:val="99"/>
    <w:pPr>
      <w:widowControl w:val="0"/>
      <w:ind w:firstLine="712" w:firstLineChars="200"/>
    </w:pPr>
    <w:rPr>
      <w:rFonts w:ascii="Times New Roman" w:hAnsi="Times New Roman" w:eastAsia="宋体" w:cs="Times New Roman"/>
      <w:kern w:val="2"/>
      <w:sz w:val="21"/>
      <w:szCs w:val="24"/>
      <w:lang w:val="en-US" w:eastAsia="zh-CN" w:bidi="ar-SA"/>
    </w:rPr>
  </w:style>
  <w:style w:type="paragraph" w:styleId="9">
    <w:name w:val="Body Text 3"/>
    <w:autoRedefine/>
    <w:qFormat/>
    <w:uiPriority w:val="0"/>
    <w:pPr>
      <w:widowControl w:val="0"/>
      <w:jc w:val="both"/>
    </w:pPr>
    <w:rPr>
      <w:rFonts w:ascii="Times New Roman" w:hAnsi="Times New Roman" w:eastAsia="微软雅黑" w:cs="Times New Roman"/>
      <w:kern w:val="2"/>
      <w:sz w:val="44"/>
      <w:szCs w:val="24"/>
      <w:lang w:val="en-US" w:eastAsia="zh-CN" w:bidi="ar-SA"/>
    </w:rPr>
  </w:style>
  <w:style w:type="paragraph" w:styleId="10">
    <w:name w:val="Body Text"/>
    <w:basedOn w:val="1"/>
    <w:autoRedefine/>
    <w:qFormat/>
    <w:uiPriority w:val="0"/>
    <w:pPr>
      <w:spacing w:after="120"/>
    </w:pPr>
  </w:style>
  <w:style w:type="paragraph" w:styleId="11">
    <w:name w:val="Body Text Indent"/>
    <w:basedOn w:val="1"/>
    <w:next w:val="1"/>
    <w:autoRedefine/>
    <w:qFormat/>
    <w:uiPriority w:val="0"/>
    <w:pPr>
      <w:spacing w:after="120"/>
      <w:ind w:left="420" w:leftChars="200"/>
    </w:pPr>
  </w:style>
  <w:style w:type="paragraph" w:styleId="12">
    <w:name w:val="Block Text"/>
    <w:basedOn w:val="1"/>
    <w:next w:val="13"/>
    <w:autoRedefine/>
    <w:unhideWhenUsed/>
    <w:qFormat/>
    <w:uiPriority w:val="99"/>
    <w:pPr>
      <w:widowControl/>
      <w:tabs>
        <w:tab w:val="right" w:pos="8640"/>
      </w:tabs>
      <w:spacing w:after="120"/>
      <w:ind w:left="1440" w:leftChars="700" w:right="1440" w:firstLine="712" w:firstLineChars="200"/>
    </w:pPr>
    <w:rPr>
      <w:rFonts w:ascii="Garamond" w:hAnsi="Garamond" w:eastAsia="Times New Roman"/>
      <w:color w:val="000000"/>
      <w:spacing w:val="-2"/>
      <w:kern w:val="0"/>
      <w:sz w:val="24"/>
    </w:rPr>
  </w:style>
  <w:style w:type="paragraph" w:styleId="13">
    <w:name w:val="header"/>
    <w:basedOn w:val="1"/>
    <w:next w:val="1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3"/>
    <w:basedOn w:val="1"/>
    <w:next w:val="1"/>
    <w:autoRedefine/>
    <w:qFormat/>
    <w:uiPriority w:val="0"/>
    <w:pPr>
      <w:ind w:left="840" w:leftChars="400"/>
    </w:pPr>
  </w:style>
  <w:style w:type="paragraph" w:styleId="15">
    <w:name w:val="Plain Text"/>
    <w:basedOn w:val="1"/>
    <w:autoRedefine/>
    <w:qFormat/>
    <w:uiPriority w:val="0"/>
    <w:rPr>
      <w:rFonts w:ascii="宋体" w:hAnsi="Courier New"/>
      <w:szCs w:val="20"/>
    </w:rPr>
  </w:style>
  <w:style w:type="paragraph" w:styleId="16">
    <w:name w:val="Balloon Text"/>
    <w:basedOn w:val="1"/>
    <w:link w:val="64"/>
    <w:qFormat/>
    <w:uiPriority w:val="0"/>
    <w:rPr>
      <w:sz w:val="18"/>
      <w:szCs w:val="18"/>
    </w:rPr>
  </w:style>
  <w:style w:type="paragraph" w:styleId="17">
    <w:name w:val="footer"/>
    <w:basedOn w:val="1"/>
    <w:next w:val="1"/>
    <w:autoRedefine/>
    <w:qFormat/>
    <w:uiPriority w:val="0"/>
    <w:pPr>
      <w:tabs>
        <w:tab w:val="center" w:pos="4153"/>
        <w:tab w:val="right" w:pos="8306"/>
      </w:tabs>
      <w:snapToGrid w:val="0"/>
      <w:jc w:val="left"/>
    </w:pPr>
    <w:rPr>
      <w:sz w:val="18"/>
    </w:rPr>
  </w:style>
  <w:style w:type="paragraph" w:styleId="18">
    <w:name w:val="toc 1"/>
    <w:basedOn w:val="1"/>
    <w:next w:val="1"/>
    <w:autoRedefine/>
    <w:qFormat/>
    <w:uiPriority w:val="0"/>
  </w:style>
  <w:style w:type="paragraph" w:styleId="19">
    <w:name w:val="List Number 5"/>
    <w:basedOn w:val="1"/>
    <w:autoRedefine/>
    <w:qFormat/>
    <w:uiPriority w:val="0"/>
    <w:pPr>
      <w:numPr>
        <w:ilvl w:val="0"/>
        <w:numId w:val="1"/>
      </w:numPr>
    </w:pPr>
  </w:style>
  <w:style w:type="paragraph" w:styleId="20">
    <w:name w:val="toc 2"/>
    <w:basedOn w:val="1"/>
    <w:next w:val="1"/>
    <w:autoRedefine/>
    <w:qFormat/>
    <w:uiPriority w:val="0"/>
    <w:pPr>
      <w:ind w:left="420" w:leftChars="200"/>
    </w:pPr>
  </w:style>
  <w:style w:type="paragraph" w:styleId="21">
    <w:name w:val="Message Header"/>
    <w:basedOn w:val="1"/>
    <w:next w:val="22"/>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eastAsia="Times New Roman" w:cs="Arial"/>
      <w:color w:val="000000"/>
      <w:sz w:val="24"/>
      <w:szCs w:val="32"/>
      <w:lang w:eastAsia="en-US" w:bidi="en-US"/>
    </w:rPr>
  </w:style>
  <w:style w:type="paragraph" w:customStyle="1" w:styleId="22">
    <w:name w:val="_正文格式"/>
    <w:autoRedefine/>
    <w:qFormat/>
    <w:uiPriority w:val="0"/>
    <w:pPr>
      <w:widowControl w:val="0"/>
      <w:spacing w:line="560" w:lineRule="exact"/>
      <w:ind w:firstLine="560" w:firstLineChars="200"/>
    </w:pPr>
    <w:rPr>
      <w:rFonts w:ascii="宋体" w:hAnsi="宋体" w:eastAsia="仿宋_GB2312" w:cs="宋体"/>
      <w:b/>
      <w:color w:val="000000"/>
      <w:sz w:val="28"/>
      <w:szCs w:val="32"/>
      <w:lang w:val="en-US" w:eastAsia="en-US" w:bidi="en-US"/>
    </w:rPr>
  </w:style>
  <w:style w:type="paragraph" w:styleId="23">
    <w:name w:val="Normal (Web)"/>
    <w:basedOn w:val="1"/>
    <w:next w:val="1"/>
    <w:autoRedefine/>
    <w:qFormat/>
    <w:uiPriority w:val="0"/>
    <w:pPr>
      <w:spacing w:before="100" w:beforeAutospacing="1" w:after="100" w:afterAutospacing="1"/>
      <w:jc w:val="left"/>
    </w:pPr>
    <w:rPr>
      <w:kern w:val="0"/>
      <w:sz w:val="24"/>
    </w:rPr>
  </w:style>
  <w:style w:type="paragraph" w:styleId="24">
    <w:name w:val="Title"/>
    <w:basedOn w:val="1"/>
    <w:next w:val="1"/>
    <w:autoRedefine/>
    <w:qFormat/>
    <w:uiPriority w:val="10"/>
    <w:pPr>
      <w:spacing w:before="240" w:after="60"/>
      <w:jc w:val="center"/>
      <w:outlineLvl w:val="0"/>
    </w:pPr>
    <w:rPr>
      <w:rFonts w:ascii="Cambria" w:hAnsi="Cambria"/>
      <w:b/>
      <w:bCs/>
      <w:spacing w:val="-20"/>
      <w:kern w:val="21"/>
      <w:position w:val="-2"/>
      <w:sz w:val="32"/>
      <w:szCs w:val="32"/>
    </w:rPr>
  </w:style>
  <w:style w:type="paragraph" w:styleId="25">
    <w:name w:val="annotation subject"/>
    <w:basedOn w:val="8"/>
    <w:next w:val="8"/>
    <w:link w:val="68"/>
    <w:qFormat/>
    <w:uiPriority w:val="0"/>
    <w:pPr>
      <w:ind w:firstLine="0" w:firstLineChars="0"/>
    </w:pPr>
    <w:rPr>
      <w:b/>
      <w:bCs/>
    </w:rPr>
  </w:style>
  <w:style w:type="paragraph" w:styleId="26">
    <w:name w:val="Body Text First Indent"/>
    <w:basedOn w:val="10"/>
    <w:autoRedefine/>
    <w:qFormat/>
    <w:uiPriority w:val="0"/>
    <w:pPr>
      <w:ind w:firstLine="280" w:firstLineChars="100"/>
      <w:jc w:val="center"/>
    </w:pPr>
  </w:style>
  <w:style w:type="paragraph" w:styleId="27">
    <w:name w:val="Body Text First Indent 2"/>
    <w:basedOn w:val="11"/>
    <w:next w:val="26"/>
    <w:link w:val="69"/>
    <w:autoRedefine/>
    <w:qFormat/>
    <w:uiPriority w:val="0"/>
    <w:pPr>
      <w:ind w:left="0" w:leftChars="0"/>
      <w:jc w:val="center"/>
    </w:pPr>
    <w:rPr>
      <w:sz w:val="30"/>
    </w:rPr>
  </w:style>
  <w:style w:type="table" w:styleId="29">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1">
    <w:name w:val="page number"/>
    <w:basedOn w:val="30"/>
    <w:autoRedefine/>
    <w:qFormat/>
    <w:uiPriority w:val="0"/>
  </w:style>
  <w:style w:type="character" w:styleId="32">
    <w:name w:val="Emphasis"/>
    <w:basedOn w:val="30"/>
    <w:qFormat/>
    <w:uiPriority w:val="20"/>
    <w:rPr>
      <w:i/>
      <w:iCs/>
    </w:rPr>
  </w:style>
  <w:style w:type="character" w:styleId="33">
    <w:name w:val="Hyperlink"/>
    <w:autoRedefine/>
    <w:qFormat/>
    <w:uiPriority w:val="0"/>
    <w:rPr>
      <w:color w:val="136EC2"/>
      <w:u w:val="single"/>
    </w:rPr>
  </w:style>
  <w:style w:type="character" w:styleId="34">
    <w:name w:val="annotation reference"/>
    <w:basedOn w:val="30"/>
    <w:qFormat/>
    <w:uiPriority w:val="0"/>
    <w:rPr>
      <w:sz w:val="21"/>
      <w:szCs w:val="21"/>
    </w:rPr>
  </w:style>
  <w:style w:type="paragraph" w:customStyle="1" w:styleId="35">
    <w:name w:val="报告正文"/>
    <w:basedOn w:val="1"/>
    <w:autoRedefine/>
    <w:qFormat/>
    <w:uiPriority w:val="0"/>
    <w:pPr>
      <w:spacing w:line="500" w:lineRule="exact"/>
      <w:ind w:firstLine="200" w:firstLineChars="200"/>
      <w:jc w:val="left"/>
    </w:pPr>
    <w:rPr>
      <w:rFonts w:ascii="Calibri" w:hAnsi="Calibri" w:eastAsia="仿宋_GB2312"/>
      <w:sz w:val="28"/>
    </w:rPr>
  </w:style>
  <w:style w:type="character" w:customStyle="1" w:styleId="36">
    <w:name w:val="标题 3 Char"/>
    <w:link w:val="5"/>
    <w:autoRedefine/>
    <w:qFormat/>
    <w:uiPriority w:val="0"/>
    <w:rPr>
      <w:rFonts w:cs="Times New Roman"/>
      <w:b/>
      <w:kern w:val="2"/>
      <w:sz w:val="24"/>
      <w:szCs w:val="28"/>
      <w:lang w:val="en-US" w:eastAsia="zh-CN" w:bidi="ar-SA"/>
    </w:rPr>
  </w:style>
  <w:style w:type="character" w:customStyle="1" w:styleId="37">
    <w:name w:val="font01"/>
    <w:autoRedefine/>
    <w:qFormat/>
    <w:uiPriority w:val="0"/>
    <w:rPr>
      <w:rFonts w:ascii="仿宋_GB2312" w:eastAsia="仿宋_GB2312" w:cs="仿宋_GB2312"/>
      <w:color w:val="000000"/>
      <w:sz w:val="24"/>
      <w:szCs w:val="24"/>
      <w:u w:val="none"/>
    </w:rPr>
  </w:style>
  <w:style w:type="character" w:customStyle="1" w:styleId="38">
    <w:name w:val="font11"/>
    <w:autoRedefine/>
    <w:qFormat/>
    <w:uiPriority w:val="0"/>
    <w:rPr>
      <w:rFonts w:hint="eastAsia" w:ascii="仿宋" w:hAnsi="仿宋" w:eastAsia="仿宋" w:cs="仿宋"/>
      <w:color w:val="000000"/>
      <w:sz w:val="24"/>
      <w:szCs w:val="24"/>
      <w:u w:val="none"/>
    </w:rPr>
  </w:style>
  <w:style w:type="paragraph" w:customStyle="1" w:styleId="39">
    <w:name w:val="zw2"/>
    <w:autoRedefine/>
    <w:qFormat/>
    <w:uiPriority w:val="0"/>
    <w:pPr>
      <w:widowControl w:val="0"/>
      <w:ind w:firstLine="712" w:firstLineChars="200"/>
      <w:jc w:val="both"/>
    </w:pPr>
    <w:rPr>
      <w:rFonts w:ascii="Times New Roman" w:hAnsi="Times New Roman" w:eastAsia="宋体" w:cs="Times New Roman"/>
      <w:kern w:val="2"/>
      <w:sz w:val="21"/>
      <w:szCs w:val="24"/>
      <w:lang w:val="en-US" w:eastAsia="zh-CN" w:bidi="ar-SA"/>
    </w:rPr>
  </w:style>
  <w:style w:type="paragraph" w:customStyle="1" w:styleId="40">
    <w:name w:val="Table Paragraph"/>
    <w:basedOn w:val="1"/>
    <w:autoRedefine/>
    <w:qFormat/>
    <w:uiPriority w:val="1"/>
    <w:rPr>
      <w:rFonts w:ascii="宋体" w:hAnsi="宋体" w:cs="宋体"/>
      <w:lang w:val="zh-CN" w:bidi="zh-CN"/>
    </w:rPr>
  </w:style>
  <w:style w:type="paragraph" w:customStyle="1" w:styleId="41">
    <w:name w:val="样式 设计说明书第三级 + 首行缩进:  2 字符"/>
    <w:autoRedefine/>
    <w:qFormat/>
    <w:uiPriority w:val="0"/>
    <w:pPr>
      <w:keepNext/>
      <w:keepLines/>
      <w:widowControl w:val="0"/>
      <w:spacing w:before="100" w:line="500" w:lineRule="exact"/>
      <w:ind w:firstLine="200" w:firstLineChars="200"/>
      <w:outlineLvl w:val="2"/>
    </w:pPr>
    <w:rPr>
      <w:rFonts w:ascii="Calibri" w:hAnsi="Calibri" w:eastAsia="Calibri" w:cs="Times New Roman"/>
      <w:b/>
      <w:bCs/>
      <w:kern w:val="44"/>
      <w:sz w:val="21"/>
      <w:szCs w:val="28"/>
      <w:lang w:val="en-US" w:eastAsia="zh-CN" w:bidi="ar-SA"/>
    </w:rPr>
  </w:style>
  <w:style w:type="paragraph" w:customStyle="1" w:styleId="42">
    <w:name w:val="章"/>
    <w:next w:val="39"/>
    <w:autoRedefine/>
    <w:qFormat/>
    <w:uiPriority w:val="0"/>
    <w:pPr>
      <w:widowControl w:val="0"/>
      <w:numPr>
        <w:ilvl w:val="0"/>
        <w:numId w:val="2"/>
      </w:numPr>
      <w:spacing w:line="413" w:lineRule="auto"/>
      <w:ind w:firstLine="0"/>
      <w:jc w:val="center"/>
    </w:pPr>
    <w:rPr>
      <w:rFonts w:ascii="Times New Roman" w:hAnsi="Times New Roman" w:eastAsia="宋体" w:cs="Times New Roman"/>
      <w:b/>
      <w:bCs/>
      <w:kern w:val="2"/>
      <w:sz w:val="32"/>
      <w:szCs w:val="44"/>
      <w:lang w:val="en-US" w:eastAsia="zh-CN" w:bidi="ar-SA"/>
    </w:rPr>
  </w:style>
  <w:style w:type="paragraph" w:customStyle="1" w:styleId="43">
    <w:name w:val="zw"/>
    <w:autoRedefine/>
    <w:qFormat/>
    <w:uiPriority w:val="0"/>
    <w:pPr>
      <w:widowControl w:val="0"/>
      <w:spacing w:afterLines="50"/>
      <w:ind w:firstLine="200" w:firstLineChars="200"/>
      <w:jc w:val="both"/>
    </w:pPr>
    <w:rPr>
      <w:rFonts w:ascii="Times New Roman" w:hAnsi="Times New Roman" w:eastAsia="宋体" w:cs="Times New Roman"/>
      <w:kern w:val="2"/>
      <w:sz w:val="21"/>
      <w:szCs w:val="22"/>
      <w:lang w:val="en-US" w:eastAsia="zh-CN" w:bidi="ar-SA"/>
    </w:rPr>
  </w:style>
  <w:style w:type="paragraph" w:customStyle="1" w:styleId="44">
    <w:name w:val="Default"/>
    <w:basedOn w:val="45"/>
    <w:autoRedefine/>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45">
    <w:name w:val="纯文本1"/>
    <w:basedOn w:val="1"/>
    <w:qFormat/>
    <w:uiPriority w:val="0"/>
    <w:pPr>
      <w:adjustRightInd w:val="0"/>
    </w:pPr>
    <w:rPr>
      <w:rFonts w:ascii="宋体" w:hAnsi="Courier New"/>
      <w:szCs w:val="20"/>
    </w:rPr>
  </w:style>
  <w:style w:type="paragraph" w:customStyle="1" w:styleId="46">
    <w:name w:val="样式 正文文本 + 宋体"/>
    <w:autoRedefine/>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47">
    <w:name w:val="6级"/>
    <w:autoRedefine/>
    <w:qFormat/>
    <w:uiPriority w:val="0"/>
    <w:pPr>
      <w:widowControl w:val="0"/>
      <w:spacing w:beforeLines="50"/>
      <w:ind w:firstLine="200" w:firstLineChars="200"/>
      <w:jc w:val="both"/>
      <w:outlineLvl w:val="6"/>
    </w:pPr>
    <w:rPr>
      <w:rFonts w:ascii="Times New Roman" w:hAnsi="Times New Roman" w:eastAsia="宋体" w:cs="Times New Roman"/>
      <w:kern w:val="2"/>
      <w:sz w:val="21"/>
      <w:szCs w:val="22"/>
      <w:lang w:val="en-US" w:eastAsia="zh-CN" w:bidi="ar-SA"/>
    </w:rPr>
  </w:style>
  <w:style w:type="paragraph" w:customStyle="1" w:styleId="4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49">
    <w:name w:val="我的表格"/>
    <w:autoRedefine/>
    <w:qFormat/>
    <w:uiPriority w:val="0"/>
    <w:pPr>
      <w:widowControl w:val="0"/>
      <w:spacing w:line="320" w:lineRule="exact"/>
      <w:jc w:val="both"/>
      <w:textAlignment w:val="baseline"/>
    </w:pPr>
    <w:rPr>
      <w:rFonts w:ascii="Times New Roman" w:hAnsi="Times New Roman" w:eastAsia="华文中宋" w:cs="Times New Roman"/>
      <w:kern w:val="2"/>
      <w:sz w:val="21"/>
      <w:szCs w:val="24"/>
      <w:lang w:val="en-US" w:eastAsia="zh-CN" w:bidi="ar-SA"/>
    </w:rPr>
  </w:style>
  <w:style w:type="paragraph" w:customStyle="1" w:styleId="50">
    <w:name w:val="p0"/>
    <w:autoRedefine/>
    <w:qFormat/>
    <w:uiPriority w:val="0"/>
    <w:rPr>
      <w:rFonts w:ascii="Times New Roman" w:hAnsi="Times New Roman" w:eastAsia="Times New Roman" w:cs="宋体"/>
      <w:color w:val="000000"/>
      <w:sz w:val="32"/>
      <w:szCs w:val="21"/>
      <w:lang w:val="en-US" w:eastAsia="en-US" w:bidi="en-US"/>
    </w:rPr>
  </w:style>
  <w:style w:type="paragraph" w:customStyle="1" w:styleId="51">
    <w:name w:val="正文 New New New"/>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文件正文"/>
    <w:next w:val="1"/>
    <w:autoRedefine/>
    <w:qFormat/>
    <w:uiPriority w:val="0"/>
    <w:pPr>
      <w:widowControl w:val="0"/>
      <w:spacing w:line="300" w:lineRule="auto"/>
      <w:ind w:firstLine="200" w:firstLineChars="200"/>
    </w:pPr>
    <w:rPr>
      <w:rFonts w:ascii="Times New Roman" w:hAnsi="Times New Roman" w:eastAsia="宋体" w:cs="Times New Roman"/>
      <w:kern w:val="2"/>
      <w:sz w:val="24"/>
      <w:lang w:val="en-US" w:eastAsia="zh-CN" w:bidi="ar-SA"/>
    </w:rPr>
  </w:style>
  <w:style w:type="paragraph" w:customStyle="1" w:styleId="53">
    <w:name w:val="p16"/>
    <w:autoRedefine/>
    <w:qFormat/>
    <w:uiPriority w:val="0"/>
    <w:pPr>
      <w:spacing w:before="100" w:after="100"/>
    </w:pPr>
    <w:rPr>
      <w:rFonts w:ascii="宋体" w:hAnsi="宋体" w:eastAsia="宋体" w:cs="Times New Roman"/>
      <w:sz w:val="24"/>
      <w:lang w:val="en-US" w:eastAsia="zh-CN" w:bidi="ar-SA"/>
    </w:rPr>
  </w:style>
  <w:style w:type="table" w:customStyle="1" w:styleId="54">
    <w:name w:val="Table Normal"/>
    <w:autoRedefine/>
    <w:unhideWhenUsed/>
    <w:qFormat/>
    <w:uiPriority w:val="2"/>
    <w:tblPr>
      <w:tblCellMar>
        <w:top w:w="0" w:type="dxa"/>
        <w:left w:w="0" w:type="dxa"/>
        <w:bottom w:w="0" w:type="dxa"/>
        <w:right w:w="0" w:type="dxa"/>
      </w:tblCellMar>
    </w:tblPr>
  </w:style>
  <w:style w:type="paragraph" w:customStyle="1" w:styleId="55">
    <w:name w:val="公文1"/>
    <w:basedOn w:val="1"/>
    <w:autoRedefine/>
    <w:qFormat/>
    <w:uiPriority w:val="0"/>
    <w:pPr>
      <w:spacing w:line="560" w:lineRule="exact"/>
      <w:ind w:firstLine="200" w:firstLineChars="200"/>
    </w:pPr>
    <w:rPr>
      <w:rFonts w:ascii="仿宋_GB2312" w:eastAsia="仿宋_GB2312"/>
      <w:sz w:val="32"/>
    </w:rPr>
  </w:style>
  <w:style w:type="paragraph" w:customStyle="1" w:styleId="56">
    <w:name w:val="样式 样式 仿宋_GB2312 四号 行距: 固定值 25 磅 + 首行缩进:  2 字符"/>
    <w:basedOn w:val="1"/>
    <w:autoRedefine/>
    <w:qFormat/>
    <w:uiPriority w:val="0"/>
    <w:pPr>
      <w:spacing w:line="520" w:lineRule="exact"/>
      <w:ind w:firstLine="640" w:firstLineChars="200"/>
    </w:pPr>
    <w:rPr>
      <w:rFonts w:ascii="仿宋_GB2312" w:hAnsi="宋体" w:cs="宋体"/>
      <w:kern w:val="0"/>
      <w:szCs w:val="20"/>
    </w:rPr>
  </w:style>
  <w:style w:type="character" w:customStyle="1" w:styleId="57">
    <w:name w:val="font21"/>
    <w:basedOn w:val="30"/>
    <w:autoRedefine/>
    <w:qFormat/>
    <w:uiPriority w:val="0"/>
    <w:rPr>
      <w:rFonts w:hint="default" w:ascii="Times New Roman" w:hAnsi="Times New Roman" w:cs="Times New Roman"/>
      <w:color w:val="000000"/>
      <w:sz w:val="22"/>
      <w:szCs w:val="22"/>
      <w:u w:val="none"/>
    </w:rPr>
  </w:style>
  <w:style w:type="character" w:customStyle="1" w:styleId="58">
    <w:name w:val="font31"/>
    <w:basedOn w:val="30"/>
    <w:autoRedefine/>
    <w:qFormat/>
    <w:uiPriority w:val="0"/>
    <w:rPr>
      <w:rFonts w:hint="eastAsia" w:ascii="宋体" w:hAnsi="宋体" w:eastAsia="宋体" w:cs="宋体"/>
      <w:color w:val="000000"/>
      <w:sz w:val="22"/>
      <w:szCs w:val="22"/>
      <w:u w:val="none"/>
    </w:rPr>
  </w:style>
  <w:style w:type="character" w:customStyle="1" w:styleId="59">
    <w:name w:val="font41"/>
    <w:basedOn w:val="30"/>
    <w:autoRedefine/>
    <w:qFormat/>
    <w:uiPriority w:val="0"/>
    <w:rPr>
      <w:rFonts w:hint="default" w:ascii="Times New Roman" w:hAnsi="Times New Roman" w:cs="Times New Roman"/>
      <w:b/>
      <w:bCs/>
      <w:color w:val="000000"/>
      <w:sz w:val="22"/>
      <w:szCs w:val="22"/>
      <w:u w:val="none"/>
    </w:rPr>
  </w:style>
  <w:style w:type="character" w:customStyle="1" w:styleId="60">
    <w:name w:val="font81"/>
    <w:basedOn w:val="30"/>
    <w:autoRedefine/>
    <w:qFormat/>
    <w:uiPriority w:val="0"/>
    <w:rPr>
      <w:rFonts w:hint="eastAsia" w:ascii="宋体" w:hAnsi="宋体" w:eastAsia="宋体" w:cs="宋体"/>
      <w:color w:val="000000"/>
      <w:sz w:val="18"/>
      <w:szCs w:val="18"/>
      <w:u w:val="none"/>
      <w:vertAlign w:val="superscript"/>
    </w:rPr>
  </w:style>
  <w:style w:type="character" w:customStyle="1" w:styleId="61">
    <w:name w:val="font91"/>
    <w:basedOn w:val="30"/>
    <w:autoRedefine/>
    <w:qFormat/>
    <w:uiPriority w:val="0"/>
    <w:rPr>
      <w:rFonts w:hint="eastAsia" w:ascii="宋体" w:hAnsi="宋体" w:eastAsia="宋体" w:cs="宋体"/>
      <w:color w:val="000000"/>
      <w:sz w:val="18"/>
      <w:szCs w:val="18"/>
      <w:u w:val="none"/>
      <w:vertAlign w:val="superscript"/>
    </w:rPr>
  </w:style>
  <w:style w:type="paragraph" w:customStyle="1" w:styleId="62">
    <w:name w:val="Table Text"/>
    <w:basedOn w:val="1"/>
    <w:autoRedefine/>
    <w:semiHidden/>
    <w:qFormat/>
    <w:uiPriority w:val="0"/>
    <w:rPr>
      <w:rFonts w:ascii="仿宋" w:hAnsi="仿宋" w:eastAsia="仿宋" w:cs="仿宋"/>
      <w:sz w:val="31"/>
      <w:szCs w:val="31"/>
      <w:lang w:eastAsia="en-US"/>
    </w:rPr>
  </w:style>
  <w:style w:type="paragraph" w:customStyle="1" w:styleId="63">
    <w:name w:val="A正文样式"/>
    <w:basedOn w:val="2"/>
    <w:autoRedefine/>
    <w:qFormat/>
    <w:uiPriority w:val="0"/>
    <w:pPr>
      <w:ind w:firstLine="641"/>
    </w:pPr>
  </w:style>
  <w:style w:type="character" w:customStyle="1" w:styleId="64">
    <w:name w:val="批注框文本 Char"/>
    <w:basedOn w:val="30"/>
    <w:link w:val="16"/>
    <w:qFormat/>
    <w:uiPriority w:val="0"/>
    <w:rPr>
      <w:kern w:val="2"/>
      <w:sz w:val="18"/>
      <w:szCs w:val="18"/>
    </w:rPr>
  </w:style>
  <w:style w:type="paragraph" w:customStyle="1" w:styleId="65">
    <w:name w:val="_paragraph_1g9za_2"/>
    <w:basedOn w:val="1"/>
    <w:qFormat/>
    <w:uiPriority w:val="0"/>
    <w:pPr>
      <w:widowControl/>
      <w:spacing w:before="100" w:beforeAutospacing="1" w:after="100" w:afterAutospacing="1"/>
      <w:jc w:val="left"/>
    </w:pPr>
    <w:rPr>
      <w:rFonts w:ascii="宋体" w:hAnsi="宋体" w:cs="宋体"/>
      <w:kern w:val="0"/>
      <w:sz w:val="24"/>
    </w:rPr>
  </w:style>
  <w:style w:type="character" w:customStyle="1" w:styleId="66">
    <w:name w:val="tts-b-hl"/>
    <w:basedOn w:val="30"/>
    <w:qFormat/>
    <w:uiPriority w:val="0"/>
  </w:style>
  <w:style w:type="character" w:customStyle="1" w:styleId="67">
    <w:name w:val="批注文字 Char"/>
    <w:basedOn w:val="30"/>
    <w:link w:val="8"/>
    <w:qFormat/>
    <w:uiPriority w:val="99"/>
    <w:rPr>
      <w:kern w:val="2"/>
      <w:sz w:val="21"/>
      <w:szCs w:val="24"/>
    </w:rPr>
  </w:style>
  <w:style w:type="character" w:customStyle="1" w:styleId="68">
    <w:name w:val="批注主题 Char"/>
    <w:basedOn w:val="67"/>
    <w:link w:val="25"/>
    <w:qFormat/>
    <w:uiPriority w:val="0"/>
    <w:rPr>
      <w:b/>
      <w:bCs/>
      <w:kern w:val="2"/>
      <w:sz w:val="21"/>
      <w:szCs w:val="24"/>
    </w:rPr>
  </w:style>
  <w:style w:type="character" w:customStyle="1" w:styleId="69">
    <w:name w:val="正文首行缩进 2 Char"/>
    <w:basedOn w:val="30"/>
    <w:link w:val="27"/>
    <w:qFormat/>
    <w:uiPriority w:val="0"/>
    <w:rPr>
      <w:kern w:val="2"/>
      <w:sz w:val="30"/>
      <w:szCs w:val="24"/>
    </w:rPr>
  </w:style>
  <w:style w:type="paragraph" w:customStyle="1" w:styleId="70">
    <w:name w:val="评价报告正文"/>
    <w:basedOn w:val="1"/>
    <w:qFormat/>
    <w:uiPriority w:val="0"/>
    <w:pPr>
      <w:spacing w:line="360" w:lineRule="auto"/>
      <w:ind w:firstLine="480" w:firstLineChars="200"/>
    </w:pPr>
    <w:rPr>
      <w:rFonts w:cs="宋体" w:asciiTheme="minorHAnsi" w:hAnsiTheme="minorHAns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emf"/><Relationship Id="rId11" Type="http://schemas.openxmlformats.org/officeDocument/2006/relationships/image" Target="media/image5.emf"/><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9"/>
    <customShpInfo spid="_x0000_s1030" textRotate="1"/>
  </customShpExts>
</s:customData>
</file>

<file path=customXml/item2.xml><?xml version="1.0" encoding="utf-8"?>
<contractReview xmlns="http://schemas.wps.cn/vas-ai-hub/contract-review">
  <reviewItems>
    <reviewItem>
      <errorID>5128e974-af62-48a0-b2a1-4c37eef8402d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7BBA18A8</paraID>
      <start>18</start>
      <end>19</end>
      <status>ignored</status>
      <modifiedWord/>
      <trackRevisions>false</trackRevisions>
    </reviewItem>
    <reviewItem>
      <errorID>671c5002-9b5a-4e11-a810-10bfc3dfc558</errorID>
      <errorWord>事故等事故</errorWord>
      <group>L1_Word</group>
      <groupName>字词问题</groupName>
      <ability>L2_Typo</ability>
      <abilityName>字词错误</abilityName>
      <candidateList>
        <item>事故等</item>
      </candidateList>
      <explain/>
      <paraID>54F7DF0D</paraID>
      <start>87</start>
      <end>92</end>
      <status>ignored</status>
      <modifiedWord/>
      <trackRevisions>false</trackRevisions>
    </reviewItem>
    <reviewItem>
      <errorID>dc99cd40-3fba-4cba-8df5-2505a116d121</errorID>
      <errorWord>事故等事故</errorWord>
      <group>L1_Word</group>
      <groupName>字词问题</groupName>
      <ability>L2_Typo</ability>
      <abilityName>字词错误</abilityName>
      <candidateList>
        <item>事故等</item>
      </candidateList>
      <explain/>
      <paraID>4253FBC3</paraID>
      <start>133</start>
      <end>138</end>
      <status>ignored</status>
      <modifiedWord/>
      <trackRevisions>false</trackRevisions>
    </reviewItem>
    <reviewItem>
      <errorID>209d356c-5ca7-4ddb-bb66-c8a3e694e3f4</errorID>
      <errorWord>相联</errorWord>
      <group>L1_Word</group>
      <groupName>字词问题</groupName>
      <ability>L2_Typo</ability>
      <abilityName>字词错误</abilityName>
      <candidateList>
        <item>相连</item>
      </candidateList>
      <explain>存在发音相同字词的误用。</explain>
      <paraID>1E58A96A</paraID>
      <start>20</start>
      <end>22</end>
      <status>ignored</status>
      <modifiedWord/>
      <trackRevisions>false</trackRevisions>
    </reviewItem>
    <reviewItem>
      <errorID>72240a57-b331-422c-b629-f0997d32ef5f</errorID>
      <errorWord>组</errorWord>
      <group>L1_Word</group>
      <groupName>字词问题</groupName>
      <ability>L2_Typo</ability>
      <abilityName>字词错误</abilityName>
      <candidateList>
        <item>组等</item>
      </candidateList>
      <explain/>
      <paraID>4B8AD124</paraID>
      <start>63</start>
      <end>64</end>
      <status>ignored</status>
      <modifiedWord/>
      <trackRevisions>false</trackRevisions>
    </reviewItem>
    <reviewItem>
      <errorID>a04c66ce-4428-4b53-afd1-8cf2b73e64e0</errorID>
      <errorWord>通讯畅通</errorWord>
      <group>L1_Word</group>
      <groupName>字词问题</groupName>
      <ability>L2_Typo</ability>
      <abilityName>字词错误</abilityName>
      <candidateList>
        <item>通信畅通</item>
      </candidateList>
      <explain/>
      <paraID>5AB52480</paraID>
      <start>83</start>
      <end>87</end>
      <status>ignored</status>
      <modifiedWord/>
      <trackRevisions>false</trackRevisions>
    </reviewItem>
    <reviewItem>
      <errorID>251657aa-a543-488b-b4b3-9ddaa852dd79</errorID>
      <errorWord>划拔</errorWord>
      <group>L1_Word</group>
      <groupName>字词问题</groupName>
      <ability>L2_Typo</ability>
      <abilityName>字词错误</abilityName>
      <candidateList>
        <item>划拨</item>
      </candidateList>
      <explain/>
      <paraID>42B424E6</paraID>
      <start>61</start>
      <end>63</end>
      <status>ignored</status>
      <modifiedWord/>
      <trackRevisions>false</trackRevisions>
    </reviewItem>
    <reviewItem>
      <errorID>2992534b-a0c1-4b89-a519-0c297c7b3961</errorID>
      <errorWord>~</errorWord>
      <group>L1_Format</group>
      <groupName>格式问题</groupName>
      <ability>L2_HalfPunc_CN</ability>
      <abilityName>全半角问题</abilityName>
      <candidateList>
        <item>～</item>
      </candidateList>
      <explain>文本全半角错误。</explain>
      <paraID>406219B1</paraID>
      <start>60</start>
      <end>61</end>
      <status>unmodified</status>
      <modifiedWord/>
      <trackRevisions>false</trackRevisions>
    </reviewItem>
    <reviewItem>
      <errorID>9b140896-28a2-4ae1-88a6-af17ad6cf237</errorID>
      <errorWord>、</errorWord>
      <group>L1_Word</group>
      <groupName>字词问题</groupName>
      <ability>L2_Typo</ability>
      <abilityName>字词错误</abilityName>
      <candidateList>
        <item>、各</item>
      </candidateList>
      <explain/>
      <paraID>7E8F6661</paraID>
      <start>50</start>
      <end>51</end>
      <status>unmodified</status>
      <modifiedWord/>
      <trackRevisions>false</trackRevisions>
    </reviewItem>
    <reviewItem>
      <errorID>a0aa83dd-f715-456f-95d0-937eb16d9768</errorID>
      <errorWord>其它</errorWord>
      <group>L1_Word</group>
      <groupName>字词问题</groupName>
      <ability>L2_Alias</ability>
      <abilityName>也作/曾用词</abilityName>
      <candidateList>
        <item>其他</item>
      </candidateList>
      <explain>词汇[其它]为不规范表述或旧称，其规范书面表述为[其他]。</explain>
      <paraID> 24B9ED6</paraID>
      <start>159</start>
      <end>161</end>
      <status>ignored</status>
      <modifiedWord/>
      <trackRevisions>false</trackRevisions>
    </reviewItem>
    <reviewItem>
      <errorID>78c8980f-7b10-4ebc-948a-08369bae8d60</errorID>
      <errorWord>调拔</errorWord>
      <group>L1_Word</group>
      <groupName>字词问题</groupName>
      <ability>L2_Typo</ability>
      <abilityName>字词错误</abilityName>
      <candidateList>
        <item>调拨</item>
      </candidateList>
      <explain/>
      <paraID>35D762E2</paraID>
      <start>24</start>
      <end>26</end>
      <status>ignored</status>
      <modifiedWord/>
      <trackRevisions>false</trackRevisions>
    </reviewItem>
    <reviewItem>
      <errorID>e1b11df1-b729-482d-8036-0f44840e6256</errorID>
      <errorWord>专职救援队伍</errorWord>
      <group>L1_Political</group>
      <groupName>政治性问题</groupName>
      <ability>L2_Keyword</ability>
      <abilityName>固定表述</abilityName>
      <candidateList>
        <item>专业救援队伍</item>
      </candidateList>
      <explain>词汇“专业救援队伍”在特定场景下为固定表述形式，请确认此处的“专职救援队伍”是否存在不当。</explain>
      <paraID>74CAE1D2</paraID>
      <start>3</start>
      <end>9</end>
      <status>ignored</status>
      <modifiedWord/>
      <trackRevisions>false</trackRevisions>
    </reviewItem>
    <reviewItem>
      <errorID>ca5a176a-d631-40d8-b218-e92f7f998cb2</errorID>
      <errorWord>达到</errorWord>
      <group>L1_Word</group>
      <groupName>字词问题</groupName>
      <ability>L2_Typo</ability>
      <abilityName>字词错误</abilityName>
      <candidateList>
        <item>达</item>
      </candidateList>
      <explain/>
      <paraID>4A8E5965</paraID>
      <start>56</start>
      <end>58</end>
      <status>ignored</status>
      <modifiedWord/>
      <trackRevisions>false</trackRevisions>
    </reviewItem>
    <reviewItem>
      <errorID>a5e0a067-c0b7-4ade-99c9-55579d438286</errorID>
      <errorWord>确定后</errorWord>
      <group>L1_Word</group>
      <groupName>字词问题</groupName>
      <ability>L2_Typo</ability>
      <abilityName>字词错误</abilityName>
      <candidateList>
        <item>确定</item>
      </candidateList>
      <explain/>
      <paraID>7E0B15F8</paraID>
      <start>15</start>
      <end>18</end>
      <status>ignored</status>
      <modifiedWord/>
      <trackRevisions>false</trackRevisions>
    </reviewItem>
    <reviewItem>
      <errorID>ea2e273f-efeb-4106-ad94-9a03e175b658</errorID>
      <errorWord>社会保险法</errorWord>
      <group>L1_Knowledge</group>
      <groupName>知识性问题</groupName>
      <ability>L2_Knowledge</ability>
      <abilityName>其他知识</abilityName>
      <candidateList>
        <item>中华人民共和国社会保险法</item>
      </candidateList>
      <explain>当前法律法规名称使用简称，请注意是否应当使用全称。</explain>
      <paraID>676A118D</paraID>
      <start>37</start>
      <end>42</end>
      <status>ignored</status>
      <modifiedWord/>
      <trackRevisions>false</trackRevisions>
    </reviewItem>
    <reviewItem>
      <errorID>6b7b5df0-e4c2-4894-9cf1-021bc152b771</errorID>
      <errorWord>与</errorWord>
      <group>L1_Word</group>
      <groupName>字词问题</groupName>
      <ability>L2_Typo</ability>
      <abilityName>字词错误</abilityName>
      <candidateList>
        <item>和</item>
      </candidateList>
      <explain/>
      <paraID>72BFB06C</paraID>
      <start>3</start>
      <end>4</end>
      <status>unmodified</status>
      <modifiedWord/>
      <trackRevisions>false</trackRevisions>
    </reviewItem>
    <reviewItem>
      <errorID>8d6bfb04-336a-4635-b854-274f35d35a77</errorID>
      <errorWord>通讯保障</errorWord>
      <group>L1_Word</group>
      <groupName>字词问题</groupName>
      <ability>L2_Alias</ability>
      <abilityName>也作/曾用词</abilityName>
      <candidateList>
        <item>通信保障</item>
      </candidateList>
      <explain>词汇[通讯保障]为不规范表述或旧称，其规范书面表述为[通信保障]。</explain>
      <paraID>48D94EA3</paraID>
      <start>5</start>
      <end>9</end>
      <status>ignored</status>
      <modifiedWord/>
      <trackRevisions>false</trackRevisions>
    </reviewItem>
    <reviewItem>
      <errorID>e1877875-3b83-4f55-8ba3-9ef0f25891a0</errorID>
      <errorWord>~</errorWord>
      <group>L1_Format</group>
      <groupName>格式问题</groupName>
      <ability>L2_HalfPunc_CN</ability>
      <abilityName>全半角问题</abilityName>
      <candidateList>
        <item>～</item>
      </candidateList>
      <explain>文本全半角错误。</explain>
      <paraID> 1E42632</paraID>
      <start>172</start>
      <end>173</end>
      <status>unmodified</status>
      <modifiedWord/>
      <trackRevisions>false</trackRevisions>
    </reviewItem>
    <reviewItem>
      <errorID>82a96c3b-77f5-4cb5-b17a-832952e2b61b</errorID>
      <errorWord>II</errorWord>
      <group>L1_Knowledge</group>
      <groupName>知识性问题</groupName>
      <ability>L2_Knowledge</ability>
      <abilityName>其他知识</abilityName>
      <candidateList>
        <item>Ⅱ</item>
      </candidateList>
      <explain>中文环境下罗马数字格式错误。</explain>
      <paraID>128ECE34</paraID>
      <start>108</start>
      <end>110</end>
      <status>ignored</status>
      <modifiedWord/>
      <trackRevisions>false</trackRevisions>
    </reviewItem>
    <reviewItem>
      <errorID>525f8681-38d1-4598-8fdf-fe7c7ccf0ea4</errorID>
      <errorWord>使用范围</errorWord>
      <group>L1_Word</group>
      <groupName>字词问题</groupName>
      <ability>L2_Typo</ability>
      <abilityName>字词错误</abilityName>
      <candidateList>
        <item>适用范围</item>
      </candidateList>
      <explain/>
      <paraID>505BF719</paraID>
      <start>3</start>
      <end>7</end>
      <status>ignored</status>
      <modifiedWord/>
      <trackRevisions>false</trackRevisions>
    </reviewItem>
    <reviewItem>
      <errorID>9ff14c23-b7a5-4ed3-8cc9-90efbefbc6b5</errorID>
      <errorWord>蒙</errorWord>
      <group>L1_Word</group>
      <groupName>字词问题</groupName>
      <ability>L2_Typo</ability>
      <abilityName>字词错误</abilityName>
      <candidateList>
        <item>蒙古</item>
      </candidateList>
      <explain/>
      <paraID>38C83549</paraID>
      <start>9</start>
      <end>10</end>
      <status>ignored</status>
      <modifiedWord/>
      <trackRevisions>false</trackRevisions>
    </reviewItem>
    <reviewItem>
      <errorID>90b06597-52a7-49ea-9ed7-799b77b4fc72</errorID>
      <errorWord>蒙</errorWord>
      <group>L1_Word</group>
      <groupName>字词问题</groupName>
      <ability>L2_Typo</ability>
      <abilityName>字词错误</abilityName>
      <candidateList>
        <item>蒙古</item>
      </candidateList>
      <explain/>
      <paraID>471CF77F</paraID>
      <start>12</start>
      <end>13</end>
      <status>ignored</status>
      <modifiedWord/>
      <trackRevisions>false</trackRevisions>
    </reviewItem>
    <reviewItem>
      <errorID>578e8bdd-2b50-4200-ae5b-b6d3a58db4c9</errorID>
      <errorWord>-</errorWord>
      <group>L1_Format</group>
      <groupName>格式问题</groupName>
      <ability>L2_HalfPunc_CN</ability>
      <abilityName>全半角问题</abilityName>
      <candidateList>
        <item>－</item>
      </candidateList>
      <explain>文本全半角错误。</explain>
      <paraID>4216609E</paraID>
      <start>2</start>
      <end>3</end>
      <status>ignored</status>
      <modifiedWord/>
      <trackRevisions>false</trackRevisions>
    </reviewItem>
    <reviewItem>
      <errorID>6749fe0e-8330-4d13-9a4b-a9487bc6dc8b</errorID>
      <errorWord>-</errorWord>
      <group>L1_Format</group>
      <groupName>格式问题</groupName>
      <ability>L2_HalfPunc_CN</ability>
      <abilityName>全半角问题</abilityName>
      <candidateList>
        <item>－</item>
      </candidateList>
      <explain>文本全半角错误。</explain>
      <paraID>4216609E</paraID>
      <start>3</start>
      <end>4</end>
      <status>ignored</status>
      <modifiedWord/>
      <trackRevisions>false</trackRevisions>
    </reviewItem>
    <reviewItem>
      <errorID>c4590842-b4af-4688-bc7e-cfd1dc0a6462</errorID>
      <errorWord>-</errorWord>
      <group>L1_Format</group>
      <groupName>格式问题</groupName>
      <ability>L2_HalfPunc_CN</ability>
      <abilityName>全半角问题</abilityName>
      <candidateList>
        <item>－</item>
      </candidateList>
      <explain>文本全半角错误。</explain>
      <paraID>6BD5F025</paraID>
      <start>2</start>
      <end>3</end>
      <status>ignored</status>
      <modifiedWord/>
      <trackRevisions>false</trackRevisions>
    </reviewItem>
    <reviewItem>
      <errorID>907eb6ab-f6b3-4c6e-b39e-ac41599bbba7</errorID>
      <errorWord>-</errorWord>
      <group>L1_Format</group>
      <groupName>格式问题</groupName>
      <ability>L2_HalfPunc_CN</ability>
      <abilityName>全半角问题</abilityName>
      <candidateList>
        <item>－</item>
      </candidateList>
      <explain>文本全半角错误。</explain>
      <paraID>6BD5F025</paraID>
      <start>3</start>
      <end>4</end>
      <status>ignored</status>
      <modifiedWord/>
      <trackRevisions>false</trackRevisions>
    </reviewItem>
    <reviewItem>
      <errorID>d8e07f33-0676-4473-a906-7cf18bc45d8f</errorID>
      <errorWord>-</errorWord>
      <group>L1_Format</group>
      <groupName>格式问题</groupName>
      <ability>L2_HalfPunc_CN</ability>
      <abilityName>全半角问题</abilityName>
      <candidateList>
        <item>－</item>
      </candidateList>
      <explain>文本全半角错误。</explain>
      <paraID>2734B06F</paraID>
      <start>2</start>
      <end>3</end>
      <status>ignored</status>
      <modifiedWord/>
      <trackRevisions>false</trackRevisions>
    </reviewItem>
    <reviewItem>
      <errorID>ff1d3b1f-9507-4ce0-9b8a-4fbd2af27204</errorID>
      <errorWord>-</errorWord>
      <group>L1_Format</group>
      <groupName>格式问题</groupName>
      <ability>L2_HalfPunc_CN</ability>
      <abilityName>全半角问题</abilityName>
      <candidateList>
        <item>－</item>
      </candidateList>
      <explain>文本全半角错误。</explain>
      <paraID>2734B06F</paraID>
      <start>3</start>
      <end>4</end>
      <status>ignored</status>
      <modifiedWord/>
      <trackRevisions>false</trackRevisions>
    </reviewItem>
    <reviewItem>
      <errorID>8f781740-edb4-44cf-9a8d-fbd19d8e075b</errorID>
      <errorWord>-</errorWord>
      <group>L1_Format</group>
      <groupName>格式问题</groupName>
      <ability>L2_HalfPunc_CN</ability>
      <abilityName>全半角问题</abilityName>
      <candidateList>
        <item>－</item>
      </candidateList>
      <explain>文本全半角错误。</explain>
      <paraID>3CA8C8E7</paraID>
      <start>2</start>
      <end>3</end>
      <status>ignored</status>
      <modifiedWord/>
      <trackRevisions>false</trackRevisions>
    </reviewItem>
    <reviewItem>
      <errorID>46264173-46ee-4d1d-ae46-8b35af37303b</errorID>
      <errorWord>-</errorWord>
      <group>L1_Format</group>
      <groupName>格式问题</groupName>
      <ability>L2_HalfPunc_CN</ability>
      <abilityName>全半角问题</abilityName>
      <candidateList>
        <item>－</item>
      </candidateList>
      <explain>文本全半角错误。</explain>
      <paraID>3CA8C8E7</paraID>
      <start>3</start>
      <end>4</end>
      <status>ignored</status>
      <modifiedWord/>
      <trackRevisions>false</trackRevisions>
    </reviewItem>
    <reviewItem>
      <errorID>f09a6572-96b4-453b-be52-c0d90114be47</errorID>
      <errorWord>及其</errorWord>
      <group>L1_Word</group>
      <groupName>字词问题</groupName>
      <ability>L2_Typo</ability>
      <abilityName>字词错误</abilityName>
      <candidateList>
        <item>及</item>
      </candidateList>
      <explain/>
      <paraID>307DF56C</paraID>
      <start>48</start>
      <end>50</end>
      <status>ignored</status>
      <modifiedWord/>
      <trackRevisions>false</trackRevisions>
    </reviewItem>
    <reviewItem>
      <errorID>b5d5e822-5355-4e10-864a-4338bde9364e</errorID>
      <errorWord>、</errorWord>
      <group>L1_Word</group>
      <groupName>字词问题</groupName>
      <ability>L2_Typo</ability>
      <abilityName>字词错误</abilityName>
      <candidateList>
        <item>、各</item>
      </candidateList>
      <explain/>
      <paraID>5D4AB9BC</paraID>
      <start>43</start>
      <end>44</end>
      <status>unmodified</status>
      <modifiedWord/>
      <trackRevisions>false</trackRevisions>
    </reviewItem>
    <reviewItem>
      <errorID>6bd837b9-d951-403d-a2b5-e76c2ee96293</errorID>
      <errorWord>其它</errorWord>
      <group>L1_Word</group>
      <groupName>字词问题</groupName>
      <ability>L2_Alias</ability>
      <abilityName>也作/曾用词</abilityName>
      <candidateList>
        <item>其他</item>
      </candidateList>
      <explain>词汇[其它]为不规范表述或旧称，其规范书面表述为[其他]。</explain>
      <paraID>6DEDC6BC</paraID>
      <start>159</start>
      <end>161</end>
      <status>ignored</status>
      <modifiedWord/>
      <trackRevisions>false</trackRevisions>
    </reviewItem>
    <reviewItem>
      <errorID>d33426f6-1c86-421e-b703-48c5428f96f0</errorID>
      <errorWord>调拔</errorWord>
      <group>L1_Word</group>
      <groupName>字词问题</groupName>
      <ability>L2_Typo</ability>
      <abilityName>字词错误</abilityName>
      <candidateList>
        <item>调拨</item>
      </candidateList>
      <explain/>
      <paraID>78E87B06</paraID>
      <start>20</start>
      <end>22</end>
      <status>ignored</status>
      <modifiedWord/>
      <trackRevisions>false</trackRevisions>
    </reviewItem>
    <reviewItem>
      <errorID>9688af52-fd25-4a6c-bb92-3a68eca9b639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23587944</paraID>
      <start>125</start>
      <end>126</end>
      <status>ignored</status>
      <modifiedWord/>
      <trackRevisions>false</trackRevisions>
    </reviewItem>
    <reviewItem>
      <errorID>79b4f6c6-78b4-40b0-b738-5a872c66905a</errorID>
      <errorWord>既使</errorWord>
      <group>L1_Word</group>
      <groupName>字词问题</groupName>
      <ability>L2_Typo</ability>
      <abilityName>字词错误</abilityName>
      <candidateList>
        <item>即使</item>
      </candidateList>
      <explain/>
      <paraID>23587944</paraID>
      <start>217</start>
      <end>219</end>
      <status>modified</status>
      <modifiedWord>即使</modifiedWord>
      <trackRevisions>false</trackRevisions>
    </reviewItem>
    <reviewItem>
      <errorID>8f3ac83d-342d-4f7c-8a11-b542cd574ba6</errorID>
      <errorWord>:</errorWord>
      <group>L1_Format</group>
      <groupName>格式问题</groupName>
      <ability>L2_HalfPunc_CN</ability>
      <abilityName>全半角问题</abilityName>
      <candidateList>
        <item>：</item>
      </candidateList>
      <explain>文本全半角错误。</explain>
      <paraID>1945B757</paraID>
      <start>36</start>
      <end>37</end>
      <status>ignored</status>
      <modifiedWord/>
      <trackRevisions>false</trackRevisions>
    </reviewItem>
    <reviewItem>
      <errorID>261a2b8d-3c01-4396-826a-bc06f81d8807</errorID>
      <errorWord>;</errorWord>
      <group>L1_Format</group>
      <groupName>格式问题</groupName>
      <ability>L2_HalfPunc_CN</ability>
      <abilityName>全半角问题</abilityName>
      <candidateList>
        <item>；</item>
      </candidateList>
      <explain>文本全半角错误。</explain>
      <paraID>1945B757</paraID>
      <start>48</start>
      <end>49</end>
      <status>ignored</status>
      <modifiedWord/>
      <trackRevisions>false</trackRevisions>
    </reviewItem>
    <reviewItem>
      <errorID>488c3a4a-da1d-43c8-a291-b40d5794cb84</errorID>
      <errorWord>贯彻学习</errorWord>
      <group>L1_Word</group>
      <groupName>字词问题</groupName>
      <ability>L2_Typo</ability>
      <abilityName>字词错误</abilityName>
      <candidateList>
        <item>学习贯彻</item>
      </candidateList>
      <explain/>
      <paraID>76C950D9</paraID>
      <start>78</start>
      <end>82</end>
      <status>ignored</status>
      <modifiedWord/>
      <trackRevisions>false</trackRevisions>
    </reviewItem>
    <reviewItem>
      <errorID>75ce4ef8-09f9-477f-b7d6-186c239080a2</errorID>
      <errorWord>畅通在</errorWord>
      <group>L1_Word</group>
      <groupName>字词问题</groupName>
      <ability>L2_Typo</ability>
      <abilityName>字词错误</abilityName>
      <candidateList>
        <item>畅通</item>
      </candidateList>
      <explain/>
      <paraID>3600F17E</paraID>
      <start>25</start>
      <end>28</end>
      <status>ignored</status>
      <modifiedWord/>
      <trackRevisions>false</trackRevisions>
    </reviewItem>
    <reviewItem>
      <errorID>5e2a0b76-d8a1-4261-a376-2e3a2fecdc07</errorID>
      <errorWord>2026年1月1日</errorWord>
      <group>L1_Word</group>
      <groupName>字词问题</groupName>
      <ability>L2_Typo</ability>
      <abilityName>字词错误</abilityName>
      <candidateList>
        <item>2026年1月1日起</item>
      </candidateList>
      <explain/>
      <paraID>5DCFD0AD</paraID>
      <start>7</start>
      <end>16</end>
      <status>ignored</status>
      <modifiedWord/>
      <trackRevisions>false</trackRevisions>
    </reviewItem>
    <reviewItem>
      <errorID>201f0382-f30e-4ce1-b3be-33f7a292cdce</errorID>
      <errorWord>其它</errorWord>
      <group>L1_Word</group>
      <groupName>字词问题</groupName>
      <ability>L2_Alias</ability>
      <abilityName>也作/曾用词</abilityName>
      <candidateList>
        <item>其他</item>
      </candidateList>
      <explain>词汇[其它]为不规范表述或旧称，其规范书面表述为[其他]。</explain>
      <paraID>4DD371C9</paraID>
      <start>155</start>
      <end>157</end>
      <status>ignored</status>
      <modifiedWord/>
      <trackRevisions>false</trackRevisions>
    </reviewItem>
    <reviewItem>
      <errorID>35662a93-aa56-4372-8b7f-e134902c1ff1</errorID>
      <errorWord>调拔</errorWord>
      <group>L1_Word</group>
      <groupName>字词问题</groupName>
      <ability>L2_Typo</ability>
      <abilityName>字词错误</abilityName>
      <candidateList>
        <item>调拨</item>
      </candidateList>
      <explain/>
      <paraID>5DC7BBD3</paraID>
      <start>20</start>
      <end>22</end>
      <status>ignored</status>
      <modifiedWord/>
      <trackRevisions>false</trackRevisions>
    </reviewItem>
    <reviewItem>
      <errorID>3c61ff1f-3e8c-460d-b9bd-b6cd1800a839</errorID>
      <errorWord>:</errorWord>
      <group>L1_Format</group>
      <groupName>格式问题</groupName>
      <ability>L2_HalfPunc_CN</ability>
      <abilityName>全半角问题</abilityName>
      <candidateList>
        <item>：</item>
      </candidateList>
      <explain>文本全半角错误。</explain>
      <paraID>69B42067</paraID>
      <start>36</start>
      <end>37</end>
      <status>ignored</status>
      <modifiedWord/>
      <trackRevisions>false</trackRevisions>
    </reviewItem>
    <reviewItem>
      <errorID>4ff5425b-484e-4c13-a492-1fefacefe8ac</errorID>
      <errorWord>;</errorWord>
      <group>L1_Format</group>
      <groupName>格式问题</groupName>
      <ability>L2_HalfPunc_CN</ability>
      <abilityName>全半角问题</abilityName>
      <candidateList>
        <item>；</item>
      </candidateList>
      <explain>文本全半角错误。</explain>
      <paraID>69B42067</paraID>
      <start>48</start>
      <end>49</end>
      <status>ignored</status>
      <modifiedWord/>
      <trackRevisions>false</trackRevisions>
    </reviewItem>
    <reviewItem>
      <errorID>c0a52907-ea2a-4aa9-8b46-2c5f1a4f8958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219F153F</paraID>
      <start>125</start>
      <end>126</end>
      <status>ignored</status>
      <modifiedWord/>
      <trackRevisions>false</trackRevisions>
    </reviewItem>
    <reviewItem>
      <errorID>f467a4d7-d113-4876-9b62-4cc25355542d</errorID>
      <errorWord>:</errorWord>
      <group>L1_Format</group>
      <groupName>格式问题</groupName>
      <ability>L2_HalfPunc_CN</ability>
      <abilityName>全半角问题</abilityName>
      <candidateList>
        <item>：</item>
      </candidateList>
      <explain>文本全半角错误。</explain>
      <paraID>219F153F</paraID>
      <start>135</start>
      <end>136</end>
      <status>ignored</status>
      <modifiedWord/>
      <trackRevisions>false</trackRevisions>
    </reviewItem>
    <reviewItem>
      <errorID>d49a8c6b-d169-4301-83e1-a55c89fdfa3b</errorID>
      <errorWord>供风</errorWord>
      <group>L1_Word</group>
      <groupName>字词问题</groupName>
      <ability>L2_Typo</ability>
      <abilityName>字词错误</abilityName>
      <candidateList>
        <item>通风</item>
      </candidateList>
      <explain/>
      <paraID>66C46DE9</paraID>
      <start>39</start>
      <end>41</end>
      <status>ignored</status>
      <modifiedWord/>
      <trackRevisions>false</trackRevisions>
    </reviewItem>
    <reviewItem>
      <errorID>e4c4150a-b965-4bae-bf0d-0a6ccf685a52</errorID>
      <errorWord>2026年1月1日</errorWord>
      <group>L1_Word</group>
      <groupName>字词问题</groupName>
      <ability>L2_Typo</ability>
      <abilityName>字词错误</abilityName>
      <candidateList>
        <item>2026年1月1日起</item>
      </candidateList>
      <explain/>
      <paraID>5AB705AF</paraID>
      <start>7</start>
      <end>16</end>
      <status>ignored</status>
      <modifiedWord/>
      <trackRevisions>false</trackRevisions>
    </reviewItem>
    <reviewItem>
      <errorID>afd45485-2285-4a62-88fa-2cab0caf5eb7</errorID>
      <errorWord>集</errorWord>
      <group>L1_Word</group>
      <groupName>字词问题</groupName>
      <ability>L2_Typo</ability>
      <abilityName>字词错误</abilityName>
      <candidateList>
        <item>积</item>
      </candidateList>
      <explain/>
      <paraID>3EB64E88</paraID>
      <start>90</start>
      <end>91</end>
      <status>modified</status>
      <modifiedWord>积</modifiedWord>
      <trackRevisions>false</trackRevisions>
    </reviewItem>
    <reviewItem>
      <errorID>4d900419-cad5-4820-b189-7bf9238549bf</errorID>
      <errorWord>起</errorWord>
      <group>L1_Word</group>
      <groupName>字词问题</groupName>
      <ability>L2_Typo</ability>
      <abilityName>字词错误</abilityName>
      <candidateList>
        <item>起到</item>
      </candidateList>
      <explain/>
      <paraID>16D0F637</paraID>
      <start>60</start>
      <end>61</end>
      <status>ignored</status>
      <modifiedWord/>
      <trackRevisions>false</trackRevisions>
    </reviewItem>
    <reviewItem>
      <errorID>d892eb6d-a7f4-4296-bca1-08968a085acd</errorID>
      <errorWord>其它可能</errorWord>
      <group>L1_Word</group>
      <groupName>字词问题</groupName>
      <ability>L2_Alias</ability>
      <abilityName>也作/曾用词</abilityName>
      <candidateList>
        <item>其他可能</item>
      </candidateList>
      <explain>词汇[其它可能]为不规范表述或旧称，其规范书面表述为[其他可能]。</explain>
      <paraID>2EA6C08A</paraID>
      <start>44</start>
      <end>48</end>
      <status>ignored</status>
      <modifiedWord/>
      <trackRevisions>false</trackRevisions>
    </reviewItem>
    <reviewItem>
      <errorID>6da4215c-72a7-434d-a9f6-6a09404e3469</errorID>
      <errorWord>增加有</errorWord>
      <group>L1_Word</group>
      <groupName>字词问题</groupName>
      <ability>L2_Typo</ability>
      <abilityName>字词错误</abilityName>
      <candidateList>
        <item>增加</item>
      </candidateList>
      <explain/>
      <paraID>718E0D71</paraID>
      <start>110</start>
      <end>113</end>
      <status>ignored</status>
      <modifiedWord/>
      <trackRevisions>false</trackRevisions>
    </reviewItem>
    <reviewItem>
      <errorID>0763c0f2-43a1-4ea7-817a-0dea27e95f3f</errorID>
      <errorWord>增加有</errorWord>
      <group>L1_Word</group>
      <groupName>字词问题</groupName>
      <ability>L2_Typo</ability>
      <abilityName>字词错误</abilityName>
      <candidateList>
        <item>增加</item>
      </candidateList>
      <explain/>
      <paraID>1A113EB3</paraID>
      <start>89</start>
      <end>92</end>
      <status>ignored</status>
      <modifiedWord/>
      <trackRevisions>false</trackRevisions>
    </reviewItem>
    <reviewItem>
      <errorID>0e0f5aa0-1add-45cb-869b-f52d2533449a</errorID>
      <errorWord>当其它</errorWord>
      <group>L1_Word</group>
      <groupName>字词问题</groupName>
      <ability>L2_Alias</ability>
      <abilityName>也作/曾用词</abilityName>
      <candidateList>
        <item>当其他</item>
      </candidateList>
      <explain>词汇[当其它]为不规范表述或旧称，其规范书面表述为[当其他]。</explain>
      <paraID> CF42C26</paraID>
      <start>3</start>
      <end>6</end>
      <status>ignored</status>
      <modifiedWord/>
      <trackRevisions>false</trackRevisions>
    </reviewItem>
    <reviewItem>
      <errorID>b0cc3b4c-76bc-4c3c-9675-1954a5e89204</errorID>
      <errorWord>措施实</errorWord>
      <group>L1_Word</group>
      <groupName>字词问题</groupName>
      <ability>L2_Typo</ability>
      <abilityName>字词错误</abilityName>
      <candidateList>
        <item>措施</item>
      </candidateList>
      <explain/>
      <paraID>71F3A92D</paraID>
      <start>39</start>
      <end>42</end>
      <status>ignored</status>
      <modifiedWord/>
      <trackRevisions>false</trackRevisions>
    </reviewItem>
    <reviewItem>
      <errorID>b512db28-a003-4e9e-b1c1-a43b85c0d1af</errorID>
      <errorWord>2026年1月1日</errorWord>
      <group>L1_Word</group>
      <groupName>字词问题</groupName>
      <ability>L2_Typo</ability>
      <abilityName>字词错误</abilityName>
      <candidateList>
        <item>2026年1月1日起</item>
      </candidateList>
      <explain/>
      <paraID>287659A1</paraID>
      <start>7</start>
      <end>16</end>
      <status>ignored</status>
      <modifiedWord/>
      <trackRevisions>false</trackRevisions>
    </reviewItem>
    <reviewItem>
      <errorID>e610e28a-68b0-41f8-a94b-9f7b4524c530</errorID>
      <errorWord>躲避处</errorWord>
      <group>L1_Word</group>
      <groupName>字词问题</groupName>
      <ability>L2_Typo</ability>
      <abilityName>字词错误</abilityName>
      <candidateList>
        <item>躲避</item>
      </candidateList>
      <explain/>
      <paraID>7DDC290B</paraID>
      <start>97</start>
      <end>100</end>
      <status>ignored</status>
      <modifiedWord/>
      <trackRevisions>false</trackRevisions>
    </reviewItem>
    <reviewItem>
      <errorID>2c282e81-b133-4c0c-ae91-83d86a008652</errorID>
      <errorWord>2026年1月1日</errorWord>
      <group>L1_Word</group>
      <groupName>字词问题</groupName>
      <ability>L2_Typo</ability>
      <abilityName>字词错误</abilityName>
      <candidateList>
        <item>2026年1月1日起</item>
      </candidateList>
      <explain/>
      <paraID>6BAE7A71</paraID>
      <start>7</start>
      <end>16</end>
      <status>ignored</status>
      <modifiedWord/>
      <trackRevisions>false</trackRevisions>
    </reviewItem>
    <reviewItem>
      <errorID>42313fdc-25af-48b8-8189-6662f959a420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1E970FBE</paraID>
      <start>21</start>
      <end>22</end>
      <status>ignored</status>
      <modifiedWord/>
      <trackRevisions>false</trackRevisions>
    </reviewItem>
    <reviewItem>
      <errorID>e0ceecad-4162-486b-8cf7-901dc06a1353</errorID>
      <errorWord>2026年1月1日</errorWord>
      <group>L1_Word</group>
      <groupName>字词问题</groupName>
      <ability>L2_Typo</ability>
      <abilityName>字词错误</abilityName>
      <candidateList>
        <item>2026年1月1日起</item>
      </candidateList>
      <explain/>
      <paraID>4921ED8A</paraID>
      <start>7</start>
      <end>16</end>
      <status>ignored</status>
      <modifiedWord/>
      <trackRevisions>false</trackRevisions>
    </reviewItem>
    <reviewItem>
      <errorID>a9a5a940-7c30-406c-a3ce-aa48fad5c7ce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E725D78</paraID>
      <start>23</start>
      <end>24</end>
      <status>ignored</status>
      <modifiedWord/>
      <trackRevisions>false</trackRevisions>
    </reviewItem>
    <reviewItem>
      <errorID>9850117d-d20c-47da-b2af-ea88e21f884b</errorID>
      <errorWord>2026年1月1日</errorWord>
      <group>L1_Word</group>
      <groupName>字词问题</groupName>
      <ability>L2_Typo</ability>
      <abilityName>字词错误</abilityName>
      <candidateList>
        <item>2026年1月1日起</item>
      </candidateList>
      <explain/>
      <paraID>2F47E8A9</paraID>
      <start>7</start>
      <end>16</end>
      <status>ignored</status>
      <modifiedWord/>
      <trackRevisions>false</trackRevisions>
    </reviewItem>
    <reviewItem>
      <errorID>e96f2729-4169-4526-99fb-33843d332be0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767F2937</paraID>
      <start>68</start>
      <end>71</end>
      <status>ignored</status>
      <modifiedWord/>
      <trackRevisions>false</trackRevisions>
    </reviewItem>
    <reviewItem>
      <errorID>4a2e695e-3350-418a-9718-64edff4ee5de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78B2EFB9</paraID>
      <start>21</start>
      <end>24</end>
      <status>ignored</status>
      <modifiedWord/>
      <trackRevisions>false</trackRevisions>
    </reviewItem>
    <reviewItem>
      <errorID>0b4858ce-bb9f-4ffb-b615-ec781d8afe99</errorID>
      <errorWord>2026年1月1日</errorWord>
      <group>L1_Word</group>
      <groupName>字词问题</groupName>
      <ability>L2_Typo</ability>
      <abilityName>字词错误</abilityName>
      <candidateList>
        <item>2026年1月1日起</item>
      </candidateList>
      <explain/>
      <paraID>67741582</paraID>
      <start>7</start>
      <end>16</end>
      <status>ignored</status>
      <modifiedWord/>
      <trackRevisions>false</trackRevisions>
    </reviewItem>
    <reviewItem>
      <errorID>0ee1e04e-e77b-4ea8-9082-f633bee18003</errorID>
      <errorWord>2026年1月1日</errorWord>
      <group>L1_Word</group>
      <groupName>字词问题</groupName>
      <ability>L2_Typo</ability>
      <abilityName>字词错误</abilityName>
      <candidateList>
        <item>2026年1月1日起</item>
      </candidateList>
      <explain/>
      <paraID>723D119E</paraID>
      <start>7</start>
      <end>16</end>
      <status>ignored</status>
      <modifiedWord/>
      <trackRevisions>false</trackRevisions>
    </reviewItem>
    <reviewItem>
      <errorID>9d0d9b98-c146-4047-acec-0087d119f81d</errorID>
      <errorWord>可行性</errorWord>
      <group>L1_Word</group>
      <groupName>字词问题</groupName>
      <ability>L2_Typo</ability>
      <abilityName>字词错误</abilityName>
      <candidateList>
        <item>可行</item>
      </candidateList>
      <explain/>
      <paraID>69E50516</paraID>
      <start>62</start>
      <end>65</end>
      <status>ignored</status>
      <modifiedWord/>
      <trackRevisions>false</trackRevisions>
    </reviewItem>
    <reviewItem>
      <errorID>1654479e-4423-413f-8d70-830bafbd8dcd</errorID>
      <errorWord>其它</errorWord>
      <group>L1_Word</group>
      <groupName>字词问题</groupName>
      <ability>L2_Alias</ability>
      <abilityName>也作/曾用词</abilityName>
      <candidateList>
        <item>其他</item>
      </candidateList>
      <explain>词汇[其它]为不规范表述或旧称，其规范书面表述为[其他]。</explain>
      <paraID>69E50516</paraID>
      <start>76</start>
      <end>78</end>
      <status>ignored</status>
      <modifiedWord/>
      <trackRevisions>false</trackRevisions>
    </reviewItem>
    <reviewItem>
      <errorID>a59f7259-343b-4509-a201-1ba13f66a2e3</errorID>
      <errorWord>2026年1月1日</errorWord>
      <group>L1_Word</group>
      <groupName>字词问题</groupName>
      <ability>L2_Typo</ability>
      <abilityName>字词错误</abilityName>
      <candidateList>
        <item>2026年1月1日起</item>
      </candidateList>
      <explain/>
      <paraID>4CAE539B</paraID>
      <start>7</start>
      <end>16</end>
      <status>ignored</status>
      <modifiedWord/>
      <trackRevisions>false</trackRevisions>
    </reviewItem>
    <reviewItem>
      <errorID>e92111ff-56c4-4f9c-a762-dafe9a5740b1</errorID>
      <errorWord>通知到</errorWord>
      <group>L1_Word</group>
      <groupName>字词问题</groupName>
      <ability>L2_Typo</ability>
      <abilityName>字词错误</abilityName>
      <candidateList>
        <item>通知</item>
      </candidateList>
      <explain/>
      <paraID> 4BC1E5E</paraID>
      <start>129</start>
      <end>132</end>
      <status>ignored</status>
      <modifiedWord/>
      <trackRevisions>false</trackRevisions>
    </reviewItem>
    <reviewItem>
      <errorID>aa93f691-b2fa-4d75-b5c4-c9d4909b4d5f</errorID>
      <errorWord>增加有</errorWord>
      <group>L1_Word</group>
      <groupName>字词问题</groupName>
      <ability>L2_Typo</ability>
      <abilityName>字词错误</abilityName>
      <candidateList>
        <item>增加</item>
      </candidateList>
      <explain/>
      <paraID>67E69478</paraID>
      <start>59</start>
      <end>62</end>
      <status>ignored</status>
      <modifiedWord/>
      <trackRevisions>false</trackRevisions>
    </reviewItem>
    <reviewItem>
      <errorID>91c8e9f0-b66a-4597-b4c0-54ec0e1fbe5f</errorID>
      <errorWord>反风</errorWord>
      <group>L1_Word</group>
      <groupName>字词问题</groupName>
      <ability>L2_Typo</ability>
      <abilityName>字词错误</abilityName>
      <candidateList>
        <item>防风</item>
      </candidateList>
      <explain/>
      <paraID>68C491FE</paraID>
      <start>127</start>
      <end>129</end>
      <status>ignored</status>
      <modifiedWord/>
      <trackRevisions>false</trackRevisions>
    </reviewItem>
    <reviewItem>
      <errorID>cf53fd2d-bcca-45f7-af25-9cfd73b8648e</errorID>
      <errorWord>蒙</errorWord>
      <group>L1_Word</group>
      <groupName>字词问题</groupName>
      <ability>L2_Typo</ability>
      <abilityName>字词错误</abilityName>
      <candidateList>
        <item>蒙古</item>
      </candidateList>
      <explain/>
      <paraID>64C5E6D1</paraID>
      <start>27</start>
      <end>28</end>
      <status>ignored</status>
      <modifiedWord/>
      <trackRevisions>false</trackRevisions>
    </reviewItem>
    <reviewItem>
      <errorID>929f4fc8-c03e-4f95-9004-0cb301d51547</errorID>
      <errorWord>2026年1月1日</errorWord>
      <group>L1_Word</group>
      <groupName>字词问题</groupName>
      <ability>L2_Typo</ability>
      <abilityName>字词错误</abilityName>
      <candidateList>
        <item>2026年1月1日起</item>
      </candidateList>
      <explain/>
      <paraID> 49CCCF4</paraID>
      <start>7</start>
      <end>16</end>
      <status>ignored</status>
      <modifiedWord/>
      <trackRevisions>false</trackRevisions>
    </reviewItem>
    <reviewItem>
      <errorID>1a354c14-0964-4f06-82b3-28785a01fcd1</errorID>
      <errorWord>:</errorWord>
      <group>L1_Format</group>
      <groupName>格式问题</groupName>
      <ability>L2_HalfPunc_CN</ability>
      <abilityName>全半角问题</abilityName>
      <candidateList>
        <item>：</item>
      </candidateList>
      <explain>文本全半角错误。</explain>
      <paraID>39819B2D</paraID>
      <start>166</start>
      <end>167</end>
      <status>ignored</status>
      <modifiedWord/>
      <trackRevisions>false</trackRevisions>
    </reviewItem>
    <reviewItem>
      <errorID>d475f8ef-030a-459c-9e94-5aa099db977b</errorID>
      <errorWord>仓内</errorWord>
      <group>L1_Word</group>
      <groupName>字词问题</groupName>
      <ability>L2_Typo</ability>
      <abilityName>字词错误</abilityName>
      <candidateList>
        <item>舱内</item>
      </candidateList>
      <explain/>
      <paraID> DF6CAEE</paraID>
      <start>113</start>
      <end>115</end>
      <status>ignored</status>
      <modifiedWord/>
      <trackRevisions>false</trackRevisions>
    </reviewItem>
    <reviewItem>
      <errorID>2b09d779-010a-4d53-bbed-800a79532cfc</errorID>
      <errorWord>2026年1月1日</errorWord>
      <group>L1_Word</group>
      <groupName>字词问题</groupName>
      <ability>L2_Typo</ability>
      <abilityName>字词错误</abilityName>
      <candidateList>
        <item>2026年1月1日起</item>
      </candidateList>
      <explain/>
      <paraID>2170752A</paraID>
      <start>7</start>
      <end>16</end>
      <status>ignored</status>
      <modifiedWord/>
      <trackRevisions>false</trackRevisions>
    </reviewItem>
    <reviewItem>
      <errorID>34798007-4817-4fff-a449-af4d99ba7ef1</errorID>
      <errorWord>:</errorWord>
      <group>L1_Format</group>
      <groupName>格式问题</groupName>
      <ability>L2_HalfPunc_CN</ability>
      <abilityName>全半角问题</abilityName>
      <candidateList>
        <item>：</item>
      </candidateList>
      <explain>文本全半角错误。</explain>
      <paraID>62CD0684</paraID>
      <start>180</start>
      <end>181</end>
      <status>ignored</status>
      <modifiedWord/>
      <trackRevisions>false</trackRevisions>
    </reviewItem>
    <reviewItem>
      <errorID>ee6e867d-2ed3-4b6e-b0ba-c48c8f354a1f</errorID>
      <errorWord>通知到</errorWord>
      <group>L1_Word</group>
      <groupName>字词问题</groupName>
      <ability>L2_Typo</ability>
      <abilityName>字词错误</abilityName>
      <candidateList>
        <item>通知</item>
      </candidateList>
      <explain/>
      <paraID>4D7A6490</paraID>
      <start>70</start>
      <end>73</end>
      <status>ignored</status>
      <modifiedWord/>
      <trackRevisions>false</trackRevisions>
    </reviewItem>
    <reviewItem>
      <errorID>f3b06b45-359e-461c-8552-ba95683da58e</errorID>
      <errorWord>确保各工作</errorWord>
      <group>L1_Word</group>
      <groupName>字词问题</groupName>
      <ability>L2_Typo</ability>
      <abilityName>字词错误</abilityName>
      <candidateList>
        <item>确保各项工作</item>
      </candidateList>
      <explain/>
      <paraID>795742E4</paraID>
      <start>69</start>
      <end>74</end>
      <status>ignored</status>
      <modifiedWord/>
      <trackRevisions>false</trackRevisions>
    </reviewItem>
    <reviewItem>
      <errorID>0233d964-f001-4c40-95ac-c1f21f0bca0c</errorID>
      <errorWord>2026年1月1日</errorWord>
      <group>L1_Word</group>
      <groupName>字词问题</groupName>
      <ability>L2_Typo</ability>
      <abilityName>字词错误</abilityName>
      <candidateList>
        <item>2026年1月1日起</item>
      </candidateList>
      <explain/>
      <paraID>41983C65</paraID>
      <start>7</start>
      <end>16</end>
      <status>ignored</status>
      <modifiedWord/>
      <trackRevisions>false</trackRevisions>
    </reviewItem>
    <reviewItem>
      <errorID>90997d70-27a5-4240-82c3-a2befded12dc</errorID>
      <errorWord>:</errorWord>
      <group>L1_Format</group>
      <groupName>格式问题</groupName>
      <ability>L2_HalfPunc_CN</ability>
      <abilityName>全半角问题</abilityName>
      <candidateList>
        <item>：</item>
      </candidateList>
      <explain>文本全半角错误。</explain>
      <paraID>1C504FBC</paraID>
      <start>104</start>
      <end>105</end>
      <status>ignored</status>
      <modifiedWord/>
      <trackRevisions>false</trackRevisions>
    </reviewItem>
    <reviewItem>
      <errorID>baa3d22f-decb-4859-a169-d5eb11e63cb2</errorID>
      <errorWord>2026年1月1日</errorWord>
      <group>L1_Word</group>
      <groupName>字词问题</groupName>
      <ability>L2_Typo</ability>
      <abilityName>字词错误</abilityName>
      <candidateList>
        <item>2026年1月1日起</item>
      </candidateList>
      <explain/>
      <paraID>7D1DB486</paraID>
      <start>7</start>
      <end>16</end>
      <status>ignored</status>
      <modifiedWord/>
      <trackRevisions>false</trackRevisions>
    </reviewItem>
    <reviewItem>
      <errorID>a3a225f5-68d6-4cd4-bef5-11a68e0695ae</errorID>
      <errorWord>达到</errorWord>
      <group>L1_Word</group>
      <groupName>字词问题</groupName>
      <ability>L2_Typo</ability>
      <abilityName>字词错误</abilityName>
      <candidateList>
        <item>到</item>
      </candidateList>
      <explain/>
      <paraID>40508146</paraID>
      <start>167</start>
      <end>169</end>
      <status>ignored</status>
      <modifiedWord/>
      <trackRevisions>false</trackRevisions>
    </reviewItem>
    <reviewItem>
      <errorID>13927486-cbfc-44ae-9315-8eecce1db173</errorID>
      <errorWord>增加有</errorWord>
      <group>L1_Word</group>
      <groupName>字词问题</groupName>
      <ability>L2_Typo</ability>
      <abilityName>字词错误</abilityName>
      <candidateList>
        <item>增加</item>
      </candidateList>
      <explain/>
      <paraID>63E9E6D6</paraID>
      <start>63</start>
      <end>66</end>
      <status>ignored</status>
      <modifiedWord/>
      <trackRevisions>false</trackRevisions>
    </reviewItem>
    <reviewItem>
      <errorID>572ee12e-eef5-4a7c-8a3d-87c6c026a486</errorID>
      <errorWord>利用其它</errorWord>
      <group>L1_Word</group>
      <groupName>字词问题</groupName>
      <ability>L2_Alias</ability>
      <abilityName>也作/曾用词</abilityName>
      <candidateList>
        <item>利用其他</item>
      </candidateList>
      <explain>词汇[利用其它]为不规范表述或旧称，其规范书面表述为[利用其他]。</explain>
      <paraID>579FA9AE</paraID>
      <start>63</start>
      <end>67</end>
      <status>ignored</status>
      <modifiedWord/>
      <trackRevisions>false</trackRevisions>
    </reviewItem>
    <reviewItem>
      <errorID>523d1322-b610-4a81-9a2a-6a1f6d76de3b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1E3E3EED</paraID>
      <start>46</start>
      <end>47</end>
      <status>ignored</status>
      <modifiedWord/>
      <trackRevisions>false</trackRevisions>
    </reviewItem>
    <reviewItem>
      <errorID>61ec2e72-f080-4809-8422-1c091abdbe52</errorID>
      <errorWord>达到</errorWord>
      <group>L1_Word</group>
      <groupName>字词问题</groupName>
      <ability>L2_Typo</ability>
      <abilityName>字词错误</abilityName>
      <candidateList>
        <item>到</item>
      </candidateList>
      <explain/>
      <paraID>41887315</paraID>
      <start>139</start>
      <end>141</end>
      <status>ignored</status>
      <modifiedWord/>
      <trackRevisions>false</trackRevisions>
    </reviewItem>
    <reviewItem>
      <errorID>15ab064d-dc99-487c-a6a4-4123fc4233ce</errorID>
      <errorWord>增加有</errorWord>
      <group>L1_Word</group>
      <groupName>字词问题</groupName>
      <ability>L2_Typo</ability>
      <abilityName>字词错误</abilityName>
      <candidateList>
        <item>增加</item>
      </candidateList>
      <explain/>
      <paraID>74E4BD5B</paraID>
      <start>59</start>
      <end>62</end>
      <status>ignored</status>
      <modifiedWord/>
      <trackRevisions>false</trackRevisions>
    </reviewItem>
    <reviewItem>
      <errorID>250e5432-f6fa-4110-967a-68f69df5bd5d</errorID>
      <errorWord>利用其它</errorWord>
      <group>L1_Word</group>
      <groupName>字词问题</groupName>
      <ability>L2_Alias</ability>
      <abilityName>也作/曾用词</abilityName>
      <candidateList>
        <item>利用其他</item>
      </candidateList>
      <explain>词汇[利用其它]为不规范表述或旧称，其规范书面表述为[利用其他]。</explain>
      <paraID>2E01E820</paraID>
      <start>63</start>
      <end>67</end>
      <status>ignored</status>
      <modifiedWord/>
      <trackRevisions>false</trackRevisions>
    </reviewItem>
    <reviewItem>
      <errorID>ad664882-8446-44a0-a3a6-e1e4db700ebf</errorID>
      <errorWord>经常性</errorWord>
      <group>L1_Word</group>
      <groupName>字词问题</groupName>
      <ability>L2_Typo</ability>
      <abilityName>字词错误</abilityName>
      <candidateList>
        <item>经常</item>
      </candidateList>
      <explain/>
      <paraID>25EC0426</paraID>
      <start>16</start>
      <end>19</end>
      <status>ignored</status>
      <modifiedWord/>
      <trackRevisions>false</trackRevisions>
    </reviewItem>
    <reviewItem>
      <errorID>2a37c607-3fbf-41f7-a59f-860cc8a2b256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E24D705</paraID>
      <start>46</start>
      <end>47</end>
      <status>ignored</status>
      <modifiedWord/>
      <trackRevisions>false</trackRevisions>
    </reviewItem>
    <reviewItem>
      <errorID>b234aefe-3011-42a8-ac30-557969861d9b</errorID>
      <errorWord>达到</errorWord>
      <group>L1_Word</group>
      <groupName>字词问题</groupName>
      <ability>L2_Typo</ability>
      <abilityName>字词错误</abilityName>
      <candidateList>
        <item>到</item>
      </candidateList>
      <explain/>
      <paraID>2D16E92D</paraID>
      <start>167</start>
      <end>169</end>
      <status>ignored</status>
      <modifiedWord/>
      <trackRevisions>false</trackRevisions>
    </reviewItem>
    <reviewItem>
      <errorID>6e1cd4c0-22f8-4ab3-8233-f2f747b4912d</errorID>
      <errorWord>侦察</errorWord>
      <group>L1_Word</group>
      <groupName>字词问题</groupName>
      <ability>L2_Typo</ability>
      <abilityName>字词错误</abilityName>
      <candidateList>
        <item>侦查</item>
      </candidateList>
      <explain>存在发音相同字词的误用。</explain>
      <paraID>4623BD8C</paraID>
      <start>26</start>
      <end>28</end>
      <status>ignored</status>
      <modifiedWord/>
      <trackRevisions>false</trackRevisions>
    </reviewItem>
    <reviewItem>
      <errorID>a0a4769c-16fa-4a4a-bb05-f88e4a5cd41c</errorID>
      <errorWord>程</errorWord>
      <group>L1_Word</group>
      <groupName>字词问题</groupName>
      <ability>L2_Typo</ability>
      <abilityName>字词错误</abilityName>
      <candidateList>
        <item>程中</item>
      </candidateList>
      <explain/>
      <paraID> 1837EEB</paraID>
      <start>180</start>
      <end>181</end>
      <status>ignored</status>
      <modifiedWord/>
      <trackRevisions>false</trackRevisions>
    </reviewItem>
    <reviewItem>
      <errorID>edcc59c7-32d4-4432-b361-8dd292a8d8cd</errorID>
      <errorWord>:</errorWord>
      <group>L1_Format</group>
      <groupName>格式问题</groupName>
      <ability>L2_HalfPunc_CN</ability>
      <abilityName>全半角问题</abilityName>
      <candidateList>
        <item>：</item>
      </candidateList>
      <explain>文本全半角错误。</explain>
      <paraID>4DCF2EC9</paraID>
      <start>55</start>
      <end>56</end>
      <status>ignored</status>
      <modifiedWord/>
      <trackRevisions>false</trackRevisions>
    </reviewItem>
    <reviewItem>
      <errorID>f2e1eae7-64ad-4502-9e0b-dedf9d191e70</errorID>
      <errorWord>排除</errorWord>
      <group>L1_Word</group>
      <groupName>字词问题</groupName>
      <ability>L2_Typo</ability>
      <abilityName>字词错误</abilityName>
      <candidateList>
        <item>排出</item>
      </candidateList>
      <explain/>
      <paraID>3E048D7F</paraID>
      <start>72</start>
      <end>74</end>
      <status>ignored</status>
      <modifiedWord/>
      <trackRevisions>false</trackRevisions>
    </reviewItem>
    <reviewItem>
      <errorID>49afb543-9cfb-4309-9005-dbe11f1d2cc7</errorID>
      <errorWord>经常性</errorWord>
      <group>L1_Word</group>
      <groupName>字词问题</groupName>
      <ability>L2_Typo</ability>
      <abilityName>字词错误</abilityName>
      <candidateList>
        <item>经常</item>
      </candidateList>
      <explain/>
      <paraID>58FDA725</paraID>
      <start>16</start>
      <end>19</end>
      <status>ignored</status>
      <modifiedWord/>
      <trackRevisions>false</trackRevisions>
    </reviewItem>
    <reviewItem>
      <errorID>8e554790-c4bd-4a7a-ab4a-9a19fadb9701</errorID>
      <errorWord>达到</errorWord>
      <group>L1_Word</group>
      <groupName>字词问题</groupName>
      <ability>L2_Typo</ability>
      <abilityName>字词错误</abilityName>
      <candidateList>
        <item>到</item>
      </candidateList>
      <explain/>
      <paraID>32BCFA24</paraID>
      <start>167</start>
      <end>169</end>
      <status>ignored</status>
      <modifiedWord/>
      <trackRevisions>false</trackRevisions>
    </reviewItem>
    <reviewItem>
      <errorID>fb6d596c-4cf4-4829-a4df-a002aa901034</errorID>
      <errorWord>里段</errorWord>
      <group>L1_Word</group>
      <groupName>字词问题</groupName>
      <ability>L2_Typo</ability>
      <abilityName>字词错误</abilityName>
      <candidateList>
        <item>路段</item>
      </candidateList>
      <explain/>
      <paraID>6786746A</paraID>
      <start>69</start>
      <end>71</end>
      <status>ignored</status>
      <modifiedWord/>
      <trackRevisions>false</trackRevisions>
    </reviewItem>
    <reviewItem>
      <errorID>aaf956b7-9e0a-41ae-b206-39ccd91d5d6b</errorID>
      <errorWord>突</errorWord>
      <group>L1_Word</group>
      <groupName>字词问题</groupName>
      <ability>L2_Typo</ability>
      <abilityName>字词错误</abilityName>
      <candidateList>
        <item>突发</item>
      </candidateList>
      <explain/>
      <paraID> 60B328B</paraID>
      <start>10</start>
      <end>11</end>
      <status>ignored</status>
      <modifiedWord/>
      <trackRevisions>false</trackRevisions>
    </reviewItem>
    <reviewItem>
      <errorID>7efa72ee-b783-402d-a383-0872b8372d46</errorID>
      <errorWord>其它物体</errorWord>
      <group>L1_Word</group>
      <groupName>字词问题</groupName>
      <ability>L2_Alias</ability>
      <abilityName>也作/曾用词</abilityName>
      <candidateList>
        <item>其他物体</item>
      </candidateList>
      <explain>词汇[其它物体]为不规范表述或旧称，其规范书面表述为[其他物体]。</explain>
      <paraID>702D74C4</paraID>
      <start>66</start>
      <end>70</end>
      <status>ignored</status>
      <modifiedWord/>
      <trackRevisions>false</trackRevisions>
    </reviewItem>
    <reviewItem>
      <errorID>709891e5-80bd-4c13-adbe-06f75a9a9717</errorID>
      <errorWord>采取如</errorWord>
      <group>L1_Word</group>
      <groupName>字词问题</groupName>
      <ability>L2_Typo</ability>
      <abilityName>字词错误</abilityName>
      <candidateList>
        <item>采取</item>
      </candidateList>
      <explain/>
      <paraID>39B7DEFD</paraID>
      <start>33</start>
      <end>36</end>
      <status>ignored</status>
      <modifiedWord/>
      <trackRevisions>false</trackRevisions>
    </reviewItem>
    <reviewItem>
      <errorID>1597292d-feb3-401d-a8c2-a9263fee1538</errorID>
      <errorWord>经常性</errorWord>
      <group>L1_Word</group>
      <groupName>字词问题</groupName>
      <ability>L2_Typo</ability>
      <abilityName>字词错误</abilityName>
      <candidateList>
        <item>经常</item>
      </candidateList>
      <explain/>
      <paraID>6326CB7F</paraID>
      <start>16</start>
      <end>19</end>
      <status>ignored</status>
      <modifiedWord/>
      <trackRevisions>false</trackRevisions>
    </reviewItem>
    <reviewItem>
      <errorID>76fc52d7-fb5c-4d2c-841f-e34265b2f583</errorID>
      <errorWord>达到</errorWord>
      <group>L1_Word</group>
      <groupName>字词问题</groupName>
      <ability>L2_Typo</ability>
      <abilityName>字词错误</abilityName>
      <candidateList>
        <item>到</item>
      </candidateList>
      <explain/>
      <paraID>2558F636</paraID>
      <start>167</start>
      <end>169</end>
      <status>ignored</status>
      <modifiedWord/>
      <trackRevisions>false</trackRevisions>
    </reviewItem>
    <reviewItem>
      <errorID>10753c42-cd4c-477e-b908-48c216a1e574</errorID>
      <errorWord>通讯畅通</errorWord>
      <group>L1_Word</group>
      <groupName>字词问题</groupName>
      <ability>L2_Typo</ability>
      <abilityName>字词错误</abilityName>
      <candidateList>
        <item>通信畅通</item>
      </candidateList>
      <explain/>
      <paraID>1B735435</paraID>
      <start>95</start>
      <end>99</end>
      <status>ignored</status>
      <modifiedWord/>
      <trackRevisions>false</trackRevisions>
    </reviewItem>
    <reviewItem>
      <errorID>24afcdd3-35dd-4dc1-b645-a2874e10d7c3</errorID>
      <errorWord>其它</errorWord>
      <group>L1_Word</group>
      <groupName>字词问题</groupName>
      <ability>L2_Alias</ability>
      <abilityName>也作/曾用词</abilityName>
      <candidateList>
        <item>其他</item>
      </candidateList>
      <explain>词汇[其它]为不规范表述或旧称，其规范书面表述为[其他]。</explain>
      <paraID>1B735435</paraID>
      <start>164</start>
      <end>166</end>
      <status>ignored</status>
      <modifiedWord/>
      <trackRevisions>false</trackRevisions>
    </reviewItem>
    <reviewItem>
      <errorID>215152e1-ac43-462d-ae59-9de739e8becd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1B735435</paraID>
      <start>246</start>
      <end>247</end>
      <status>ignored</status>
      <modifiedWord/>
      <trackRevisions>false</trackRevisions>
    </reviewItem>
    <reviewItem>
      <errorID>0e32c2f7-38a6-498c-b396-d99566529018</errorID>
      <errorWord>通讯是否畅通</errorWord>
      <group>L1_Word</group>
      <groupName>字词问题</groupName>
      <ability>L2_Typo</ability>
      <abilityName>字词错误</abilityName>
      <candidateList>
        <item>通信是否畅通</item>
      </candidateList>
      <explain/>
      <paraID>6EAC7EFB</paraID>
      <start>96</start>
      <end>102</end>
      <status>ignored</status>
      <modifiedWord/>
      <trackRevisions>false</trackRevisions>
    </reviewItem>
    <reviewItem>
      <errorID>d8922547-cbac-42b6-8e42-a1614a30394a</errorID>
      <errorWord>通讯畅通</errorWord>
      <group>L1_Word</group>
      <groupName>字词问题</groupName>
      <ability>L2_Typo</ability>
      <abilityName>字词错误</abilityName>
      <candidateList>
        <item>通信畅通</item>
      </candidateList>
      <explain/>
      <paraID>6EAC7EFB</paraID>
      <start>103</start>
      <end>107</end>
      <status>ignored</status>
      <modifiedWord/>
      <trackRevisions>false</trackRevisions>
    </reviewItem>
    <reviewItem>
      <errorID>ad510bf9-3263-4787-ab77-9f5042942230</errorID>
      <errorWord>其它</errorWord>
      <group>L1_Word</group>
      <groupName>字词问题</groupName>
      <ability>L2_Alias</ability>
      <abilityName>也作/曾用词</abilityName>
      <candidateList>
        <item>其他</item>
      </candidateList>
      <explain>词汇[其它]为不规范表述或旧称，其规范书面表述为[其他]。</explain>
      <paraID>6EAC7EFB</paraID>
      <start>170</start>
      <end>172</end>
      <status>ignored</status>
      <modifiedWord/>
      <trackRevisions>false</trackRevisions>
    </reviewItem>
    <reviewItem>
      <errorID>434169fa-aefc-4d1e-a1bc-3316a4bcdaa1</errorID>
      <errorWord>经常性</errorWord>
      <group>L1_Word</group>
      <groupName>字词问题</groupName>
      <ability>L2_Typo</ability>
      <abilityName>字词错误</abilityName>
      <candidateList>
        <item>经常</item>
      </candidateList>
      <explain/>
      <paraID>3EAA44B6</paraID>
      <start>16</start>
      <end>19</end>
      <status>ignored</status>
      <modifiedWord/>
      <trackRevisions>false</trackRevisions>
    </reviewItem>
    <reviewItem>
      <errorID>71c47c07-b148-4726-9ff7-230d89c625b2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159B11D4</paraID>
      <start>46</start>
      <end>47</end>
      <status>ignored</status>
      <modifiedWord/>
      <trackRevisions>false</trackRevisions>
    </reviewItem>
    <reviewItem>
      <errorID>42c292b5-f37b-4146-8e75-ad62383e130e</errorID>
      <errorWord>其它</errorWord>
      <group>L1_Word</group>
      <groupName>字词问题</groupName>
      <ability>L2_Alias</ability>
      <abilityName>也作/曾用词</abilityName>
      <candidateList>
        <item>其他</item>
      </candidateList>
      <explain>词汇[其它]为不规范表述或旧称，其规范书面表述为[其他]。</explain>
      <paraID>1B2BBCCF</paraID>
      <start>558</start>
      <end>560</end>
      <status>ignored</status>
      <modifiedWord/>
      <trackRevisions>false</trackRevisions>
    </reviewItem>
    <reviewItem>
      <errorID>591240c7-ddec-4f0c-9e43-0f8c86dc7398</errorID>
      <errorWord>其它</errorWord>
      <group>L1_Word</group>
      <groupName>字词问题</groupName>
      <ability>L2_Alias</ability>
      <abilityName>也作/曾用词</abilityName>
      <candidateList>
        <item>其他</item>
      </candidateList>
      <explain>词汇[其它]为不规范表述或旧称，其规范书面表述为[其他]。</explain>
      <paraID>1161042F</paraID>
      <start>34</start>
      <end>36</end>
      <status>ignored</status>
      <modifiedWord/>
      <trackRevisions>false</trackRevisions>
    </reviewItem>
    <reviewItem>
      <errorID>25e4e892-4e79-4522-b69f-fc3287991e1a</errorID>
      <errorWord>达到</errorWord>
      <group>L1_Word</group>
      <groupName>字词问题</groupName>
      <ability>L2_Typo</ability>
      <abilityName>字词错误</abilityName>
      <candidateList>
        <item>到</item>
      </candidateList>
      <explain/>
      <paraID>6ECFED1D</paraID>
      <start>167</start>
      <end>169</end>
      <status>ignored</status>
      <modifiedWord/>
      <trackRevisions>false</trackRevisions>
    </reviewItem>
    <reviewItem>
      <errorID>e6a4e011-e5cd-4728-a412-ec3fc186c530</errorID>
      <errorWord>经常性</errorWord>
      <group>L1_Word</group>
      <groupName>字词问题</groupName>
      <ability>L2_Typo</ability>
      <abilityName>字词错误</abilityName>
      <candidateList>
        <item>经常</item>
      </candidateList>
      <explain/>
      <paraID>45EDB734</paraID>
      <start>16</start>
      <end>19</end>
      <status>ignored</status>
      <modifiedWord/>
      <trackRevisions>false</trackRevisions>
    </reviewItem>
    <reviewItem>
      <errorID>b1ae95dd-5fc6-4c66-9d06-4d34e2ee8009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E043750</paraID>
      <start>46</start>
      <end>47</end>
      <status>ignored</status>
      <modifiedWord/>
      <trackRevisions>false</trackRevisions>
    </reviewItem>
    <reviewItem>
      <errorID>3e2dddcd-4dda-4a1c-9ba9-cc252329bb84</errorID>
      <errorWord>当其它</errorWord>
      <group>L1_Word</group>
      <groupName>字词问题</groupName>
      <ability>L2_Alias</ability>
      <abilityName>也作/曾用词</abilityName>
      <candidateList>
        <item>当其他</item>
      </candidateList>
      <explain>词汇[当其它]为不规范表述或旧称，其规范书面表述为[当其他]。</explain>
      <paraID>2401D9A8</paraID>
      <start>208</start>
      <end>211</end>
      <status>ignored</status>
      <modifiedWord/>
      <trackRevisions>false</trackRevisions>
    </reviewItem>
    <reviewItem>
      <errorID>88a9bbc9-a484-474f-b4fb-434613d0ccdc</errorID>
      <errorWord>达到</errorWord>
      <group>L1_Word</group>
      <groupName>字词问题</groupName>
      <ability>L2_Typo</ability>
      <abilityName>字词错误</abilityName>
      <candidateList>
        <item>到</item>
      </candidateList>
      <explain/>
      <paraID> 6ABDA21</paraID>
      <start>180</start>
      <end>182</end>
      <status>ignored</status>
      <modifiedWord/>
      <trackRevisions>false</trackRevisions>
    </reviewItem>
    <reviewItem>
      <errorID>a7eaf1bd-4560-4655-ac0b-47245810abbe</errorID>
      <errorWord>通知到</errorWord>
      <group>L1_Word</group>
      <groupName>字词问题</groupName>
      <ability>L2_Typo</ability>
      <abilityName>字词错误</abilityName>
      <candidateList>
        <item>通知</item>
      </candidateList>
      <explain/>
      <paraID>6D636970</paraID>
      <start>158</start>
      <end>161</end>
      <status>ignored</status>
      <modifiedWord/>
      <trackRevisions>false</trackRevisions>
    </reviewItem>
    <reviewItem>
      <errorID>6b8385cf-a0eb-40ac-8c68-50e4aabb8ecf</errorID>
      <errorWord>＜</errorWord>
      <group>L1_Format</group>
      <groupName>格式问题</groupName>
      <ability>L2_HalfPunc_CN</ability>
      <abilityName>全半角问题</abilityName>
      <candidateList>
        <item>&lt;</item>
      </candidateList>
      <explain>文本全半角错误。</explain>
      <paraID>22A92C0E</paraID>
      <start>0</start>
      <end>1</end>
      <status>ignored</status>
      <modifiedWord/>
      <trackRevisions>false</trackRevisions>
    </reviewItem>
    <reviewItem>
      <errorID>57b84786-daaf-482e-8b43-71a401f0e03a</errorID>
      <errorWord>＜</errorWord>
      <group>L1_Format</group>
      <groupName>格式问题</groupName>
      <ability>L2_HalfPunc_CN</ability>
      <abilityName>全半角问题</abilityName>
      <candidateList>
        <item>&lt;</item>
      </candidateList>
      <explain>文本全半角错误。</explain>
      <paraID>2BEA9617</paraID>
      <start>0</start>
      <end>1</end>
      <status>ignored</status>
      <modifiedWord/>
      <trackRevisions>false</trackRevisions>
    </reviewItem>
    <reviewItem>
      <errorID>a0827989-8a5f-4db1-8d5d-c018db41d873</errorID>
      <errorWord>＜</errorWord>
      <group>L1_Format</group>
      <groupName>格式问题</groupName>
      <ability>L2_HalfPunc_CN</ability>
      <abilityName>全半角问题</abilityName>
      <candidateList>
        <item>&lt;</item>
      </candidateList>
      <explain>文本全半角错误。</explain>
      <paraID>18B01A17</paraID>
      <start>0</start>
      <end>1</end>
      <status>ignored</status>
      <modifiedWord/>
      <trackRevisions>false</trackRevisions>
    </reviewItem>
    <reviewItem>
      <errorID>4d1bcdaf-0b32-4fb6-b66f-fb50bd3f2614</errorID>
      <errorWord>＜</errorWord>
      <group>L1_Format</group>
      <groupName>格式问题</groupName>
      <ability>L2_HalfPunc_CN</ability>
      <abilityName>全半角问题</abilityName>
      <candidateList>
        <item>&lt;</item>
      </candidateList>
      <explain>文本全半角错误。</explain>
      <paraID>60A983A5</paraID>
      <start>0</start>
      <end>1</end>
      <status>ignored</status>
      <modifiedWord/>
      <trackRevisions>false</trackRevisions>
    </reviewItem>
    <reviewItem>
      <errorID>69f0138a-c8c7-48f9-a93e-f5a62b6c9633</errorID>
      <errorWord>＜</errorWord>
      <group>L1_Format</group>
      <groupName>格式问题</groupName>
      <ability>L2_HalfPunc_CN</ability>
      <abilityName>全半角问题</abilityName>
      <candidateList>
        <item>&lt;</item>
      </candidateList>
      <explain>文本全半角错误。</explain>
      <paraID>284DF0E3</paraID>
      <start>0</start>
      <end>1</end>
      <status>ignored</status>
      <modifiedWord/>
      <trackRevisions>false</trackRevisions>
    </reviewItem>
    <reviewItem>
      <errorID>ae561be0-0df5-40d3-80ef-01010e3716f1</errorID>
      <errorWord>＜</errorWord>
      <group>L1_Format</group>
      <groupName>格式问题</groupName>
      <ability>L2_HalfPunc_CN</ability>
      <abilityName>全半角问题</abilityName>
      <candidateList>
        <item>&lt;</item>
      </candidateList>
      <explain>文本全半角错误。</explain>
      <paraID>35E3DBBD</paraID>
      <start>0</start>
      <end>1</end>
      <status>ignored</status>
      <modifiedWord/>
      <trackRevisions>false</trackRevisions>
    </reviewItem>
    <reviewItem>
      <errorID>79ea2698-265c-45ca-9ff0-d3fdf7a6522f</errorID>
      <errorWord>＜</errorWord>
      <group>L1_Format</group>
      <groupName>格式问题</groupName>
      <ability>L2_HalfPunc_CN</ability>
      <abilityName>全半角问题</abilityName>
      <candidateList>
        <item>&lt;</item>
      </candidateList>
      <explain>文本全半角错误。</explain>
      <paraID>44D0AC8E</paraID>
      <start>0</start>
      <end>1</end>
      <status>ignored</status>
      <modifiedWord/>
      <trackRevisions>false</trackRevisions>
    </reviewItem>
    <reviewItem>
      <errorID>cce750ce-50b0-46ca-83d4-5542fa3e6cd6</errorID>
      <errorWord>＜</errorWord>
      <group>L1_Format</group>
      <groupName>格式问题</groupName>
      <ability>L2_HalfPunc_CN</ability>
      <abilityName>全半角问题</abilityName>
      <candidateList>
        <item>&lt;</item>
      </candidateList>
      <explain>文本全半角错误。</explain>
      <paraID>600EC954</paraID>
      <start>0</start>
      <end>1</end>
      <status>ignored</status>
      <modifiedWord/>
      <trackRevisions>false</trackRevisions>
    </reviewItem>
    <reviewItem>
      <errorID>0eebfdad-f984-4a32-a1ce-fd37e5279e21</errorID>
      <errorWord>＜</errorWord>
      <group>L1_Format</group>
      <groupName>格式问题</groupName>
      <ability>L2_HalfPunc_CN</ability>
      <abilityName>全半角问题</abilityName>
      <candidateList>
        <item>&lt;</item>
      </candidateList>
      <explain>文本全半角错误。</explain>
      <paraID>2563DF57</paraID>
      <start>0</start>
      <end>1</end>
      <status>ignored</status>
      <modifiedWord/>
      <trackRevisions>false</trackRevisions>
    </reviewItem>
    <reviewItem>
      <errorID>d53daa9c-6376-482e-ad90-ef3ff93d14f2</errorID>
      <errorWord>＜</errorWord>
      <group>L1_Format</group>
      <groupName>格式问题</groupName>
      <ability>L2_HalfPunc_CN</ability>
      <abilityName>全半角问题</abilityName>
      <candidateList>
        <item>&lt;</item>
      </candidateList>
      <explain>文本全半角错误。</explain>
      <paraID>21873ED5</paraID>
      <start>0</start>
      <end>1</end>
      <status>ignored</status>
      <modifiedWord/>
      <trackRevisions>false</trackRevisions>
    </reviewItem>
    <reviewItem>
      <errorID>fb3e2e96-f6d4-49a2-a19a-267fe4cb1a6a</errorID>
      <errorWord>探察</errorWord>
      <group>L1_Word</group>
      <groupName>字词问题</groupName>
      <ability>L2_Typo</ability>
      <abilityName>字词错误</abilityName>
      <candidateList>
        <item>探查</item>
      </candidateList>
      <explain>存在发音相同字词的误用。</explain>
      <paraID>424591C5</paraID>
      <start>72</start>
      <end>74</end>
      <status>ignored</status>
      <modifiedWord/>
      <trackRevisions>false</trackRevisions>
    </reviewItem>
    <reviewItem>
      <errorID>84e570b9-6a66-413c-80dd-16eac48db316</errorID>
      <errorWord>经常性</errorWord>
      <group>L1_Word</group>
      <groupName>字词问题</groupName>
      <ability>L2_Typo</ability>
      <abilityName>字词错误</abilityName>
      <candidateList>
        <item>经常</item>
      </candidateList>
      <explain/>
      <paraID>56EF7E0D</paraID>
      <start>16</start>
      <end>19</end>
      <status>ignored</status>
      <modifiedWord/>
      <trackRevisions>false</trackRevisions>
    </reviewItem>
    <reviewItem>
      <errorID>db81bce3-53a9-42f7-9060-a9a15a20e5f4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631A584D</paraID>
      <start>46</start>
      <end>47</end>
      <status>ignored</status>
      <modifiedWord/>
      <trackRevisions>false</trackRevisions>
    </reviewItem>
    <reviewItem>
      <errorID>04825c53-ed22-4c26-8dfd-d768b69e501f</errorID>
      <errorWord>达到</errorWord>
      <group>L1_Word</group>
      <groupName>字词问题</groupName>
      <ability>L2_Typo</ability>
      <abilityName>字词错误</abilityName>
      <candidateList>
        <item>到</item>
      </candidateList>
      <explain/>
      <paraID>6A0845F8</paraID>
      <start>180</start>
      <end>182</end>
      <status>ignored</status>
      <modifiedWord/>
      <trackRevisions>false</trackRevisions>
    </reviewItem>
    <reviewItem>
      <errorID>0d1faae8-5a33-4f9e-815f-368d77ad0f55</errorID>
      <errorWord>经常性</errorWord>
      <group>L1_Word</group>
      <groupName>字词问题</groupName>
      <ability>L2_Typo</ability>
      <abilityName>字词错误</abilityName>
      <candidateList>
        <item>经常</item>
      </candidateList>
      <explain/>
      <paraID>6CDCA768</paraID>
      <start>16</start>
      <end>19</end>
      <status>ignored</status>
      <modifiedWord/>
      <trackRevisions>false</trackRevisions>
    </reviewItem>
    <reviewItem>
      <errorID>60028516-d7fe-4382-9bf9-5ccab84b85a4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6289AF28</paraID>
      <start>46</start>
      <end>47</end>
      <status>ignored</status>
      <modifiedWord/>
      <trackRevisions>false</trackRevisions>
    </reviewItem>
    <reviewItem>
      <errorID>a97bd85a-e767-4265-9324-73f9b53e7c25</errorID>
      <errorWord>、或</errorWord>
      <group>L1_Word</group>
      <groupName>字词问题</groupName>
      <ability>L2_Typo</ability>
      <abilityName>字词错误</abilityName>
      <candidateList>
        <item>或</item>
      </candidateList>
      <explain/>
      <paraID>4FC07E4D</paraID>
      <start>24</start>
      <end>26</end>
      <status>ignored</status>
      <modifiedWord/>
      <trackRevisions>false</trackRevisions>
    </reviewItem>
    <reviewItem>
      <errorID>dab7d0d9-81eb-443d-a62a-fce96db1c6ef</errorID>
      <errorWord>达到</errorWord>
      <group>L1_Word</group>
      <groupName>字词问题</groupName>
      <ability>L2_Typo</ability>
      <abilityName>字词错误</abilityName>
      <candidateList>
        <item>到</item>
      </candidateList>
      <explain/>
      <paraID>2FA4FF59</paraID>
      <start>167</start>
      <end>169</end>
      <status>ignored</status>
      <modifiedWord/>
      <trackRevisions>false</trackRevisions>
    </reviewItem>
    <reviewItem>
      <errorID>34ddd258-c8e0-4026-8467-dd4fdc93ce12</errorID>
      <errorWord>可行性</errorWord>
      <group>L1_Word</group>
      <groupName>字词问题</groupName>
      <ability>L2_Typo</ability>
      <abilityName>字词错误</abilityName>
      <candidateList>
        <item>可行</item>
      </candidateList>
      <explain/>
      <paraID>7897D7DD</paraID>
      <start>43</start>
      <end>46</end>
      <status>ignored</status>
      <modifiedWord/>
      <trackRevisions>false</trackRevisions>
    </reviewItem>
    <reviewItem>
      <errorID>334f734c-91eb-4fa2-a6fa-2d0b55285be7</errorID>
      <errorWord>其它</errorWord>
      <group>L1_Word</group>
      <groupName>字词问题</groupName>
      <ability>L2_Alias</ability>
      <abilityName>也作/曾用词</abilityName>
      <candidateList>
        <item>其他</item>
      </candidateList>
      <explain>词汇[其它]为不规范表述或旧称，其规范书面表述为[其他]。</explain>
      <paraID>7897D7DD</paraID>
      <start>57</start>
      <end>59</end>
      <status>ignored</status>
      <modifiedWord/>
      <trackRevisions>false</trackRevisions>
    </reviewItem>
    <reviewItem>
      <errorID>f0be285e-0638-458b-92c8-799a41e3a717</errorID>
      <errorWord>可行性</errorWord>
      <group>L1_Word</group>
      <groupName>字词问题</groupName>
      <ability>L2_Typo</ability>
      <abilityName>字词错误</abilityName>
      <candidateList>
        <item>可行</item>
      </candidateList>
      <explain/>
      <paraID>3960F49D</paraID>
      <start>42</start>
      <end>45</end>
      <status>ignored</status>
      <modifiedWord/>
      <trackRevisions>false</trackRevisions>
    </reviewItem>
    <reviewItem>
      <errorID>c24a6f04-ad0f-438c-ac7e-a7e1d4642dbf</errorID>
      <errorWord>其它</errorWord>
      <group>L1_Word</group>
      <groupName>字词问题</groupName>
      <ability>L2_Alias</ability>
      <abilityName>也作/曾用词</abilityName>
      <candidateList>
        <item>其他</item>
      </candidateList>
      <explain>词汇[其它]为不规范表述或旧称，其规范书面表述为[其他]。</explain>
      <paraID>3960F49D</paraID>
      <start>56</start>
      <end>58</end>
      <status>ignored</status>
      <modifiedWord/>
      <trackRevisions>false</trackRevisions>
    </reviewItem>
    <reviewItem>
      <errorID>842c0822-9433-436d-ab6f-3a92e7598abe</errorID>
      <errorWord>罐道</errorWord>
      <group>L1_Word</group>
      <groupName>字词问题</groupName>
      <ability>L2_Typo</ability>
      <abilityName>字词错误</abilityName>
      <candidateList>
        <item>管道</item>
      </candidateList>
      <explain/>
      <paraID>6B75ECAA</paraID>
      <start>56</start>
      <end>58</end>
      <status>ignored</status>
      <modifiedWord/>
      <trackRevisions>false</trackRevisions>
    </reviewItem>
    <reviewItem>
      <errorID>5260871c-3c9f-4c54-8207-357c46c14841</errorID>
      <errorWord>受伤害</errorWord>
      <group>L1_Word</group>
      <groupName>字词问题</groupName>
      <ability>L2_Typo</ability>
      <abilityName>字词错误</abilityName>
      <candidateList>
        <item>受伤</item>
      </candidateList>
      <explain/>
      <paraID>188C01E6</paraID>
      <start>27</start>
      <end>30</end>
      <status>ignored</status>
      <modifiedWord/>
      <trackRevisions>false</trackRevisions>
    </reviewItem>
    <reviewItem>
      <errorID>9fa22cc7-7a6d-4689-8381-74208a7e6ec3</errorID>
      <errorWord>受伤害</errorWord>
      <group>L1_Word</group>
      <groupName>字词问题</groupName>
      <ability>L2_Typo</ability>
      <abilityName>字词错误</abilityName>
      <candidateList>
        <item>受伤</item>
      </candidateList>
      <explain/>
      <paraID>64D02E40</paraID>
      <start>53</start>
      <end>56</end>
      <status>ignored</status>
      <modifiedWord/>
      <trackRevisions>false</trackRevisions>
    </reviewItem>
    <reviewItem>
      <errorID>f3db560a-4b58-41de-ab87-bab0a388d03d</errorID>
      <errorWord>氣</errorWord>
      <group>L1_Word</group>
      <groupName>字词问题</groupName>
      <ability>L2_Fanti</ability>
      <abilityName>繁转简</abilityName>
      <candidateList>
        <item>气</item>
      </candidateList>
      <explain/>
      <paraID>7E7FDA61</paraID>
      <start>60</start>
      <end>61</end>
      <status>ignored</status>
      <modifiedWord/>
      <trackRevisions>false</trackRevisions>
    </reviewItem>
    <reviewItem>
      <errorID>766cd30e-e66f-4fe2-822c-6a2b096aa66b</errorID>
      <errorWord>其它</errorWord>
      <group>L1_Word</group>
      <groupName>字词问题</groupName>
      <ability>L2_Alias</ability>
      <abilityName>也作/曾用词</abilityName>
      <candidateList>
        <item>其他</item>
      </candidateList>
      <explain>词汇[其它]为不规范表述或旧称，其规范书面表述为[其他]。</explain>
      <paraID>417B925D</paraID>
      <start>19</start>
      <end>21</end>
      <status>ignored</status>
      <modifiedWord/>
      <trackRevisions>false</trackRevisions>
    </reviewItem>
    <reviewItem>
      <errorID>932745c3-e257-4ddb-93a0-de4d59959aef</errorID>
      <errorWord>经常性</errorWord>
      <group>L1_Word</group>
      <groupName>字词问题</groupName>
      <ability>L2_Typo</ability>
      <abilityName>字词错误</abilityName>
      <candidateList>
        <item>经常</item>
      </candidateList>
      <explain/>
      <paraID>6175EB03</paraID>
      <start>16</start>
      <end>19</end>
      <status>ignored</status>
      <modifiedWord/>
      <trackRevisions>false</trackRevisions>
    </reviewItem>
    <reviewItem>
      <errorID>9c84959a-5c32-4ebb-b959-55af9cd83412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E1C72E6</paraID>
      <start>46</start>
      <end>47</end>
      <status>ignored</status>
      <modifiedWord/>
      <trackRevisions>false</trackRevisions>
    </reviewItem>
    <reviewItem>
      <errorID>d6d14296-025c-4edb-ba60-96d1805a3137</errorID>
      <errorWord>达到</errorWord>
      <group>L1_Word</group>
      <groupName>字词问题</groupName>
      <ability>L2_Typo</ability>
      <abilityName>字词错误</abilityName>
      <candidateList>
        <item>到</item>
      </candidateList>
      <explain/>
      <paraID>6C305819</paraID>
      <start>167</start>
      <end>169</end>
      <status>ignored</status>
      <modifiedWord/>
      <trackRevisions>false</trackRevisions>
    </reviewItem>
    <reviewItem>
      <errorID>eaa5a168-9714-4945-a760-b111f7d33bf9</errorID>
      <errorWord>增加有</errorWord>
      <group>L1_Word</group>
      <groupName>字词问题</groupName>
      <ability>L2_Typo</ability>
      <abilityName>字词错误</abilityName>
      <candidateList>
        <item>增加</item>
      </candidateList>
      <explain/>
      <paraID>598DCF60</paraID>
      <start>59</start>
      <end>62</end>
      <status>ignored</status>
      <modifiedWord/>
      <trackRevisions>false</trackRevisions>
    </reviewItem>
    <reviewItem>
      <errorID>e89efa64-4ce1-4dde-94f8-76e4ef3a8878</errorID>
      <errorWord>经常性</errorWord>
      <group>L1_Word</group>
      <groupName>字词问题</groupName>
      <ability>L2_Typo</ability>
      <abilityName>字词错误</abilityName>
      <candidateList>
        <item>经常</item>
      </candidateList>
      <explain/>
      <paraID>6945D068</paraID>
      <start>16</start>
      <end>19</end>
      <status>ignored</status>
      <modifiedWord/>
      <trackRevisions>false</trackRevisions>
    </reviewItem>
    <reviewItem>
      <errorID>0ae0ee96-b0dc-480c-b9b6-77c7f8e562d2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483CCA78</paraID>
      <start>46</start>
      <end>47</end>
      <status>ignored</status>
      <modifiedWord/>
      <trackRevisions>false</trackRevisions>
    </reviewItem>
    <reviewItem>
      <errorID>8050d600-0146-4107-bfca-b7ac87a74fb0</errorID>
      <errorWord>达到</errorWord>
      <group>L1_Word</group>
      <groupName>字词问题</groupName>
      <ability>L2_Typo</ability>
      <abilityName>字词错误</abilityName>
      <candidateList>
        <item>到</item>
      </candidateList>
      <explain/>
      <paraID>6E297A83</paraID>
      <start>126</start>
      <end>128</end>
      <status>ignored</status>
      <modifiedWord/>
      <trackRevisions>false</trackRevisions>
    </reviewItem>
    <reviewItem>
      <errorID>b2562dd4-088e-4496-9c33-ac6df7f3473b</errorID>
      <errorWord>料</errorWord>
      <group>L1_Word</group>
      <groupName>字词问题</groupName>
      <ability>L2_Typo</ability>
      <abilityName>字词错误</abilityName>
      <candidateList>
        <item>料和</item>
      </candidateList>
      <explain/>
      <paraID>238E68F3</paraID>
      <start>13</start>
      <end>14</end>
      <status>ignored</status>
      <modifiedWord/>
      <trackRevisions>false</trackRevisions>
    </reviewItem>
    <reviewItem>
      <errorID>bddc98dd-37c8-4e43-8105-ded49be995b2</errorID>
      <errorWord>根据报警显示</errorWord>
      <group>L1_Grammar</group>
      <groupName>语法问题</groupName>
      <ability>L2_Grammar</ability>
      <abilityName>语法错误</abilityName>
      <candidateList>
        <item>根据报警</item>
      </candidateList>
      <explain>该表达中的“根据报警显示”存在语义重复。</explain>
      <paraID>7917D7DC</paraID>
      <start>37</start>
      <end>43</end>
      <status>ignored</status>
      <modifiedWord/>
      <trackRevisions>false</trackRevisions>
    </reviewItem>
    <reviewItem>
      <errorID>f744d747-6dd0-4d5c-babe-0c9a652d6e7f</errorID>
      <errorWord>其它专项</errorWord>
      <group>L1_Word</group>
      <groupName>字词问题</groupName>
      <ability>L2_Alias</ability>
      <abilityName>也作/曾用词</abilityName>
      <candidateList>
        <item>其他专项</item>
      </candidateList>
      <explain>词汇[其它专项]为不规范表述或旧称，其规范书面表述为[其他专项]。</explain>
      <paraID>  EDE447</paraID>
      <start>146</start>
      <end>150</end>
      <status>ignored</status>
      <modifiedWord/>
      <trackRevisions>false</trackRevisions>
    </reviewItem>
    <reviewItem>
      <errorID>4858c52e-d55b-47aa-8366-b53cb7a95496</errorID>
      <errorWord>其它</errorWord>
      <group>L1_Word</group>
      <groupName>字词问题</groupName>
      <ability>L2_Alias</ability>
      <abilityName>也作/曾用词</abilityName>
      <candidateList>
        <item>其他</item>
      </candidateList>
      <explain>词汇[其它]为不规范表述或旧称，其规范书面表述为[其他]。</explain>
      <paraID>  EDE447</paraID>
      <start>254</start>
      <end>256</end>
      <status>ignored</status>
      <modifiedWord/>
      <trackRevisions>false</trackRevisions>
    </reviewItem>
    <reviewItem>
      <errorID>4032bdee-c5db-40b0-ae8a-48b30c0e3e8b</errorID>
      <errorWord>经常性</errorWord>
      <group>L1_Word</group>
      <groupName>字词问题</groupName>
      <ability>L2_Typo</ability>
      <abilityName>字词错误</abilityName>
      <candidateList>
        <item>经常</item>
      </candidateList>
      <explain/>
      <paraID> 4DE100C</paraID>
      <start>16</start>
      <end>19</end>
      <status>ignored</status>
      <modifiedWord/>
      <trackRevisions>false</trackRevisions>
    </reviewItem>
    <reviewItem>
      <errorID>cf94f6fa-feb4-4929-90aa-6764ad1fb318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6DF0873B</paraID>
      <start>46</start>
      <end>47</end>
      <status>ignored</status>
      <modifiedWord/>
      <trackRevisions>false</trackRevisions>
    </reviewItem>
    <reviewItem>
      <errorID>b3c5d6be-6978-404b-8d11-ac955eff68bd</errorID>
      <errorWord>达到</errorWord>
      <group>L1_Word</group>
      <groupName>字词问题</groupName>
      <ability>L2_Typo</ability>
      <abilityName>字词错误</abilityName>
      <candidateList>
        <item>到</item>
      </candidateList>
      <explain/>
      <paraID>73A57BF5</paraID>
      <start>126</start>
      <end>128</end>
      <status>ignored</status>
      <modifiedWord/>
      <trackRevisions>false</trackRevisions>
    </reviewItem>
    <reviewItem>
      <errorID>2fa420da-8a06-4c3c-9205-44ff88514256</errorID>
      <errorWord>经常性</errorWord>
      <group>L1_Word</group>
      <groupName>字词问题</groupName>
      <ability>L2_Typo</ability>
      <abilityName>字词错误</abilityName>
      <candidateList>
        <item>经常</item>
      </candidateList>
      <explain/>
      <paraID>71152D3B</paraID>
      <start>16</start>
      <end>19</end>
      <status>ignored</status>
      <modifiedWord/>
      <trackRevisions>false</trackRevisions>
    </reviewItem>
    <reviewItem>
      <errorID>929d058c-b5f1-49d5-8299-7ec7bae9dc98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4C2B404D</paraID>
      <start>46</start>
      <end>47</end>
      <status>ignored</status>
      <modifiedWord/>
      <trackRevisions>false</trackRevisions>
    </reviewItem>
    <reviewItem>
      <errorID>755d9683-7cbb-43c3-8f3f-bc94549a49cc</errorID>
      <errorWord>蒸气</errorWord>
      <group>L1_Word</group>
      <groupName>字词问题</groupName>
      <ability>L2_Typo</ability>
      <abilityName>字词错误</abilityName>
      <candidateList>
        <item>蒸汽</item>
      </candidateList>
      <explain/>
      <paraID>429BBCC8</paraID>
      <start>396</start>
      <end>398</end>
      <status>ignored</status>
      <modifiedWord/>
      <trackRevisions>false</trackRevisions>
    </reviewItem>
    <reviewItem>
      <errorID>e07ca3c5-d7eb-4bc9-afdd-5caa5043a5b5</errorID>
      <errorWord>达到</errorWord>
      <group>L1_Word</group>
      <groupName>字词问题</groupName>
      <ability>L2_Typo</ability>
      <abilityName>字词错误</abilityName>
      <candidateList>
        <item>到</item>
      </candidateList>
      <explain/>
      <paraID>18E8AA73</paraID>
      <start>126</start>
      <end>128</end>
      <status>ignored</status>
      <modifiedWord/>
      <trackRevisions>false</trackRevisions>
    </reviewItem>
    <reviewItem>
      <errorID>7a722e5c-8a24-4c64-987c-6ef72792ea2e</errorID>
      <errorWord>经常性</errorWord>
      <group>L1_Word</group>
      <groupName>字词问题</groupName>
      <ability>L2_Typo</ability>
      <abilityName>字词错误</abilityName>
      <candidateList>
        <item>经常</item>
      </candidateList>
      <explain/>
      <paraID>522FFB41</paraID>
      <start>16</start>
      <end>19</end>
      <status>ignored</status>
      <modifiedWord/>
      <trackRevisions>false</trackRevisions>
    </reviewItem>
    <reviewItem>
      <errorID>f69d253b-4f38-485a-9f60-bb01dcfbcd76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553E526A</paraID>
      <start>46</start>
      <end>47</end>
      <status>ignored</status>
      <modifiedWord/>
      <trackRevisions>false</trackRevisions>
    </reviewItem>
    <reviewItem>
      <errorID>eb225164-7929-4947-8ade-ccecfd26b073</errorID>
      <errorWord>勾</errorWord>
      <group>L1_Word</group>
      <groupName>字词问题</groupName>
      <ability>L2_Typo</ability>
      <abilityName>字词错误</abilityName>
      <candidateList>
        <item>钩</item>
      </candidateList>
      <explain>存在发音相同字词的误用。</explain>
      <paraID>11D26AE1</paraID>
      <start>103</start>
      <end>104</end>
      <status>ignored</status>
      <modifiedWord/>
      <trackRevisions>false</trackRevisions>
    </reviewItem>
    <reviewItem>
      <errorID>05dd1275-3416-41a7-b342-f2921bd6e01c</errorID>
      <errorWord>勾</errorWord>
      <group>L1_Word</group>
      <groupName>字词问题</groupName>
      <ability>L2_Typo</ability>
      <abilityName>字词错误</abilityName>
      <candidateList>
        <item>钩</item>
      </candidateList>
      <explain>存在发音相同字词的误用。</explain>
      <paraID>6A38D7AB</paraID>
      <start>108</start>
      <end>109</end>
      <status>ignored</status>
      <modifiedWord/>
      <trackRevisions>false</trackRevisions>
    </reviewItem>
    <reviewItem>
      <errorID>504d9f59-5d39-4607-9a32-1e6c0fa29bc2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2D012423</paraID>
      <start>36</start>
      <end>37</end>
      <status>ignored</status>
      <modifiedWord/>
      <trackRevisions>false</trackRevisions>
    </reviewItem>
    <reviewItem>
      <errorID>87d56efa-b886-4d6b-b4fe-7b137ac4e3ce</errorID>
      <errorWord>蒸气</errorWord>
      <group>L1_Word</group>
      <groupName>字词问题</groupName>
      <ability>L2_Typo</ability>
      <abilityName>字词错误</abilityName>
      <candidateList>
        <item>蒸汽</item>
      </candidateList>
      <explain/>
      <paraID>16FE5590</paraID>
      <start>43</start>
      <end>45</end>
      <status>ignored</status>
      <modifiedWord/>
      <trackRevisions>false</trackRevisions>
    </reviewItem>
    <reviewItem>
      <errorID>7ab1ffd5-5bf3-44f2-9db0-e9fcb16bea96</errorID>
      <errorWord>作</errorWord>
      <group>L1_Word</group>
      <groupName>字词问题</groupName>
      <ability>L2_Typo</ability>
      <abilityName>字词错误</abilityName>
      <candidateList>
        <item>做</item>
      </candidateList>
      <explain/>
      <paraID>10E2B65E</paraID>
      <start>163</start>
      <end>164</end>
      <status>ignored</status>
      <modifiedWord/>
      <trackRevisions>false</trackRevisions>
    </reviewItem>
    <reviewItem>
      <errorID>f5606919-f4ff-4c9e-b8f8-f1e955cc76ce</errorID>
      <errorWord>;</errorWord>
      <group>L1_Format</group>
      <groupName>格式问题</groupName>
      <ability>L2_HalfPunc_CN</ability>
      <abilityName>全半角问题</abilityName>
      <candidateList>
        <item>；</item>
      </candidateList>
      <explain>文本全半角错误。</explain>
      <paraID>73A87DB8</paraID>
      <start>7</start>
      <end>8</end>
      <status>ignored</status>
      <modifiedWord/>
      <trackRevisions>false</trackRevisions>
    </reviewItem>
    <reviewItem>
      <errorID>1238ecb7-722b-4de9-8dc4-851523c1aae9</errorID>
      <errorWord>沙</errorWord>
      <group>L1_Word</group>
      <groupName>字词问题</groupName>
      <ability>L2_Typo</ability>
      <abilityName>字词错误</abilityName>
      <candidateList>
        <item>纱</item>
      </candidateList>
      <explain>存在发音相同字词的误用。</explain>
      <paraID>139EFDEA</paraID>
      <start>4</start>
      <end>5</end>
      <status>ignored</status>
      <modifiedWord/>
      <trackRevisions>false</trackRevisions>
    </reviewItem>
    <reviewItem>
      <errorID>8c073964-fa1e-4d43-9d67-df110109d685</errorID>
      <errorWord>...</errorWord>
      <group>L1_Punc</group>
      <groupName>标点问题</groupName>
      <ability>L2_Punc_CN</ability>
      <abilityName>标点符号问题</abilityName>
      <candidateList>
        <item>……</item>
      </candidateList>
      <explain>省略号错误。</explain>
      <paraID>6B21A3F3</paraID>
      <start>37</start>
      <end>40</end>
      <status>ignored</status>
      <modifiedWord/>
      <trackRevisions>false</trackRevisions>
    </reviewItem>
    <reviewItem>
      <errorID>1bd42500-5137-42da-a695-ff3d03d33f12</errorID>
      <errorWord>－</errorWord>
      <group>L1_Format</group>
      <groupName>格式问题</groupName>
      <ability>L2_HalfPunc_CN</ability>
      <abilityName>全半角问题</abilityName>
      <candidateList>
        <item>-</item>
      </candidateList>
      <explain>文本全半角错误。</explain>
      <paraID> 9AD32B1</paraID>
      <start>3</start>
      <end>4</end>
      <status>ignored</status>
      <modifiedWord/>
      <trackRevisions>false</trackRevisions>
    </reviewItem>
    <reviewItem>
      <errorID>80b7c2d7-2ef5-454a-bac5-cfe170a55d65</errorID>
      <errorWord>五采</errorWord>
      <group>L1_Word</group>
      <groupName>字词问题</groupName>
      <ability>L2_Variant</ability>
      <abilityName>异形词</abilityName>
      <candidateList>
        <item>五彩</item>
      </candidateList>
      <explain>词汇[五采]的规范词形写作[五彩]。</explain>
      <paraID>3C78D702</paraID>
      <start>0</start>
      <end>2</end>
      <status>ignored</status>
      <modifiedWord/>
      <trackRevisions>false</trackRevisions>
    </reviewItem>
    <reviewItem>
      <errorID>f57aed48-6a9b-4ebc-b77e-54b13463c631</errorID>
      <errorWord>:</errorWord>
      <group>L1_Format</group>
      <groupName>格式问题</groupName>
      <ability>L2_HalfPunc_CN</ability>
      <abilityName>全半角问题</abilityName>
      <candidateList>
        <item>：</item>
      </candidateList>
      <explain>文本全半角错误。</explain>
      <paraID>62093735</paraID>
      <start>5</start>
      <end>6</end>
      <status>ignored</status>
      <modifiedWord/>
      <trackRevisions>false</trackRevisions>
    </reviewItem>
    <reviewItem>
      <errorID>5c771907-38e4-4c44-ba09-f75713184e52</errorID>
      <errorWord>:</errorWord>
      <group>L1_Format</group>
      <groupName>格式问题</groupName>
      <ability>L2_HalfPunc_CN</ability>
      <abilityName>全半角问题</abilityName>
      <candidateList>
        <item>：</item>
      </candidateList>
      <explain>文本全半角错误。</explain>
      <paraID>62093735</paraID>
      <start>21</start>
      <end>22</end>
      <status>ignored</status>
      <modifiedWord/>
      <trackRevisions>false</trackRevisions>
    </reviewItem>
    <reviewItem>
      <errorID>280e090d-1f1f-4da5-8cab-8b2a3acf5235</errorID>
      <errorWord>:</errorWord>
      <group>L1_Format</group>
      <groupName>格式问题</groupName>
      <ability>L2_HalfPunc_CN</ability>
      <abilityName>全半角问题</abilityName>
      <candidateList>
        <item>：</item>
      </candidateList>
      <explain>文本全半角错误。</explain>
      <paraID>62093735</paraID>
      <start>49</start>
      <end>50</end>
      <status>ignored</status>
      <modifiedWord/>
      <trackRevisions>false</trackRevisions>
    </reviewItem>
    <reviewItem>
      <errorID>c6368979-1249-4ee2-8d37-96cbeaa19678</errorID>
      <errorWord>0477—7633007</errorWord>
      <group>L1_Punc</group>
      <groupName>标点问题</groupName>
      <ability>L2_Punc_CN</ability>
      <abilityName>标点符号问题</abilityName>
      <candidateList>
        <item>0477-7633007</item>
      </candidateList>
      <explain>电话号码使用短横线。</explain>
      <paraID>7776506B</paraID>
      <start>0</start>
      <end>12</end>
      <status>ignored</status>
      <modifiedWord/>
      <trackRevisions>false</trackRevisions>
    </reviewItem>
    <reviewItem>
      <errorID>a97075d1-3121-4200-b049-ce5d8d4781f8</errorID>
      <errorWord>0471—4828899</errorWord>
      <group>L1_Punc</group>
      <groupName>标点问题</groupName>
      <ability>L2_Punc_CN</ability>
      <abilityName>标点符号问题</abilityName>
      <candidateList>
        <item>0471-4828899</item>
      </candidateList>
      <explain>电话号码使用短横线。</explain>
      <paraID>636302AD</paraID>
      <start>0</start>
      <end>12</end>
      <status>ignored</status>
      <modifiedWord/>
      <trackRevisions>false</trackRevisions>
    </reviewItem>
    <reviewItem>
      <errorID>a229a1d7-125a-4df7-9eda-1a67f742a1ab</errorID>
      <errorWord>刚刚</errorWord>
      <group>L1_Word</group>
      <groupName>字词问题</groupName>
      <ability>L2_Typo</ability>
      <abilityName>字词错误</abilityName>
      <candidateList>
        <item>刚</item>
      </candidateList>
      <explain/>
      <paraID>2B0DA7BA</paraID>
      <start>1</start>
      <end>3</end>
      <status>ignored</status>
      <modifiedWord/>
      <trackRevisions>false</trackRevisions>
    </reviewItem>
    <reviewItem>
      <errorID>5e641762-d37f-46a8-acec-74130f17a01f</errorID>
      <errorWord>、</errorWord>
      <group>L1_Punc</group>
      <groupName>标点问题</groupName>
      <ability>L2_Punc_CN</ability>
      <abilityName>标点符号问题</abilityName>
      <candidateList/>
      <explain/>
      <paraID>35DC8DE0</paraID>
      <start>2</start>
      <end>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e619ef-b17c-4843-b4a9-37ba1a056aa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331</Pages>
  <Words>13016</Words>
  <Characters>13980</Characters>
  <Lines>1340</Lines>
  <Paragraphs>377</Paragraphs>
  <TotalTime>4</TotalTime>
  <ScaleCrop>false</ScaleCrop>
  <LinksUpToDate>false</LinksUpToDate>
  <CharactersWithSpaces>15167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home</dc:creator>
  <cp:lastModifiedBy>张龙宝</cp:lastModifiedBy>
  <cp:lastPrinted>2026-10-08T10:35:00Z</cp:lastPrinted>
  <dcterms:modified xsi:type="dcterms:W3CDTF">2026-10-26T01:49:28Z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DC7480A3A0A04DEB986F1A53CB2EB88E_13</vt:lpwstr>
  </property>
  <property fmtid="{D5CDD505-2E9C-101B-9397-08002B2CF9AE}" pid="4" name="KSOTemplateDocerSaveRecord">
    <vt:lpwstr>eyJoZGlkIjoiYjM3Njg0M2M5NDVlZjY4NWZlODg0Y2QwNDA1Nzk2MzEiLCJ1c2VySWQiOiIxNTM1NDM0OTM1In0=</vt:lpwstr>
  </property>
</Properties>
</file>