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枣庄矿业（集团）付村矸石热电有限公司2024年度财务等重大信息公告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cr/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重要提示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 xml:space="preserve">   本公司全体保证本公告内容不存在任何虚假记载、误导性陈述或者重大遗漏，并对其内容的真实性、准确性和完整性承个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1.统一社会信用代码：91370826752699942D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2.企业名称：枣庄矿业(集团）付村矸石热电有限公司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3.注册号：370826018006360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4.法定代表人：秦辉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5.类型：有限责任公司(非自然人投资或控股的法人独资)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6.成立日期：2003年08月08日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7.注册资本：伍仟零叁拾万元整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8.核准日期：202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年0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03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9.营业期限：2003年08月08日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10.登记机关：微山县行政审批服务局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11.登记状态：正常营业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12.住所：微山县付村街道富煤路1号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13.邮政编码：277605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14．电子信箱:</w:t>
      </w:r>
      <w:r>
        <w:rPr>
          <w:rFonts w:ascii="仿宋" w:hAnsi="仿宋" w:eastAsia="仿宋"/>
          <w:sz w:val="30"/>
          <w:szCs w:val="30"/>
        </w:rPr>
        <w:t>znn1981007@126.com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15.经营范围：许可项目：发电业务、输电业务、供（配）电业务；热力生产和供应；特种设备安装改造修理；建设工程施工；餐饮服务；道路货物运输（不含危险货物）。（依法须经批准的项目，经相关部门批准后方可开展经营活动，具体经营项目以相关部门批准文件或许可证件为准）。一般项目：再生资源销售；石灰和石膏销售；通用设备修理；仪器仪表修理；电气设备修理；电子、机械设备维护（不含特种设备）；建筑材料销售；五金产品零售；金属结构销售；木材销售；化工产品销售（不含许可类化工产品）；办公用品销售；家具销售；日用百货销售；劳动保护用品销售；煤炭及制品销售；日用杂品销售；矿山机械销售；水泥制品制造；水泥制品销售；特种设备销售；专业保洁、清洗、消毒服务；建筑物清洁服务；机械设备租赁；小微型客车租赁经营服务；日用家电零售；电器辅件销售；生产性废旧金属回收；有色金属铸造；电线、电缆经营；金属材料销售；橡胶制品销售；仪器仪表销售；广告制作；广告设计、代理；机动车修理和维护；再生资源回收（除生产性废旧金属）；非金属废料和碎屑加工处理；日用电器修理；装卸搬运；煤制活性炭及其他煤炭加工；矿山机械制造。（除依法须经批准的项目外，凭营业执照依法自主开展经营活动）</w:t>
      </w:r>
      <w:r>
        <w:rPr>
          <w:rFonts w:hint="eastAsia"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16.公司简介:枣庄矿业(集团）付村矸石热电有限公司，隶属于山东能源集团枣庄矿业（集团）有限责任公司，成立于2003年8月，注册资本为5030万。公司位于付村煤业有限公司内部，地处微山县付村街道境内，东靠京沪铁路、京沪高速铁路和京台高速公路，西邻京杭大运河，地理位置优越，水路交通发达，运输往来十分便利。目前有次煤厂、除锈喷涂车间、电器维修厂、南料厂、机械加工厂、广告部、单体车间、土建队等车间组成.可生产加工MGC1.1-6固定车箱式矿车、MPC326平板车、MLC26材料车、等强右旋螺母、高强左旋螺母、竹锚杆、轨枕、角铁盖板、水泥背板、炮泥、广告宣传牌板、锚索、工字钢棚等产品，对矿用机电设备(电机、水泵、风机、手拉葫芦、小型电器)进行修理，公司还建成全自动化除锈喷漆生产线，形成了金属冶炼、翻砂铸造、机械加工、煤炭副产品加工、矿用井下支护产品制作、支架维修矿井一体化产业链条。公司拥有五项煤安标证书、煤矿设备检修服务能力评价证书、矿用产品安全标志证书、液压支架电液控制系统检修资质证书、液压支架电液控制系统用阀检修资质证书等，并拥有先进的检测检验设备，产品质量符合国家标准，全方位采取现代化企业管理模式，全力打造现代化企业多元化的生产经营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40" w:hanging="640" w:hanging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00" w:hanging="600" w:hanging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1.主要会计数据和财务数据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公司2024年全年营业总收入</w:t>
      </w:r>
      <w:r>
        <w:rPr>
          <w:rFonts w:ascii="仿宋_GB2312" w:hAnsi="仿宋_GB2312" w:eastAsia="仿宋_GB2312" w:cs="仿宋_GB2312"/>
          <w:sz w:val="32"/>
          <w:szCs w:val="32"/>
        </w:rPr>
        <w:t>5203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万元，利润</w:t>
      </w:r>
      <w:r>
        <w:rPr>
          <w:rFonts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2.公司2024度无重要会计政策变更、重要会计估计变更、前期会计差错更正事项。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3.审计报告摘要（暂无）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</w:t>
      </w:r>
      <w:r>
        <w:rPr>
          <w:rFonts w:hint="eastAsia" w:ascii="仿宋" w:hAnsi="仿宋" w:eastAsia="仿宋" w:cs="Times New Roman"/>
          <w:sz w:val="30"/>
          <w:szCs w:val="30"/>
        </w:rPr>
        <w:t>司班子成员</w:t>
      </w:r>
      <w:r>
        <w:rPr>
          <w:rFonts w:hint="eastAsia" w:ascii="仿宋" w:hAnsi="仿宋" w:eastAsia="仿宋" w:cs="Times New Roman"/>
          <w:sz w:val="30"/>
          <w:szCs w:val="30"/>
          <w:lang w:val="zh-CN"/>
        </w:rPr>
        <w:t>的任职情况和年度薪酬情况、经营业绩考核情况，公司领导人员经济责任履职情况等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公司班子成员（秦辉、姚忠厚等</w:t>
      </w:r>
      <w:r>
        <w:rPr>
          <w:rFonts w:ascii="仿宋" w:hAnsi="仿宋" w:eastAsia="仿宋" w:cs="Times New Roman"/>
          <w:sz w:val="30"/>
          <w:szCs w:val="30"/>
        </w:rPr>
        <w:t>10</w:t>
      </w:r>
      <w:r>
        <w:rPr>
          <w:rFonts w:hint="eastAsia" w:ascii="仿宋" w:hAnsi="仿宋" w:eastAsia="仿宋" w:cs="Times New Roman"/>
          <w:sz w:val="30"/>
          <w:szCs w:val="30"/>
        </w:rPr>
        <w:t>人）实行年度绩效考核，每年与付煤公司签订年度绩效考核指标责任书，按照责任书确定的指标进行严格考核。年度绩效考核在核算体系健全、管理规范、成本准确、报表真实、资产清晰的基础上进行。班子成员收入实行年薪制，以年度为单位依据各企业年度绩效考核结果确定年薪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年度内发生的重大事项及对企业的影响：按照能源集团、集团公司和付煤公司工作部署，矸石热电公司大部分业务及人员回归付煤公司，相应公司经营、人员发生重大变更。</w:t>
      </w:r>
      <w:r>
        <w:rPr>
          <w:rFonts w:hint="eastAsia" w:ascii="仿宋" w:hAnsi="仿宋" w:eastAsia="仿宋" w:cs="Times New Roman"/>
          <w:sz w:val="30"/>
          <w:szCs w:val="30"/>
        </w:rPr>
        <w:cr/>
      </w:r>
      <w:r>
        <w:rPr>
          <w:rFonts w:hint="eastAsia" w:ascii="黑体" w:hAnsi="黑体" w:eastAsia="黑体" w:cs="黑体"/>
          <w:sz w:val="32"/>
          <w:szCs w:val="32"/>
        </w:rPr>
        <w:t>三、 “三重一大”事项</w:t>
      </w:r>
      <w:r>
        <w:rPr>
          <w:rFonts w:hint="eastAsia" w:ascii="黑体" w:hAnsi="黑体" w:eastAsia="黑体" w:cs="黑体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sz w:val="30"/>
          <w:szCs w:val="30"/>
        </w:rPr>
        <w:t>组织建设情况。按照《公司章程》规定，公司不设董事会，设执行董事一名，监事一名，执行董事为公司法定代表人，由股东直接委派。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sz w:val="30"/>
          <w:szCs w:val="30"/>
        </w:rPr>
        <w:t>制度建设情况。公司各项制度健全完善，并严格按照《公司章程》等相关文件要求规范运作，制订出台《关于进一步规范“三重一大”事项决策制度》，明确了“三重一大”事项决策范围，理顺了决策流程，提高了决策水平，防范了决策风险，有效保障了股东权益。</w:t>
      </w:r>
      <w:r>
        <w:rPr>
          <w:rFonts w:hint="eastAsia" w:ascii="仿宋" w:hAnsi="仿宋" w:eastAsia="仿宋" w:cs="Times New Roman"/>
          <w:sz w:val="30"/>
          <w:szCs w:val="30"/>
        </w:rPr>
        <w:cr/>
      </w:r>
      <w:r>
        <w:rPr>
          <w:rFonts w:hint="eastAsia" w:ascii="仿宋" w:hAnsi="仿宋" w:eastAsia="仿宋" w:cs="Times New Roman"/>
          <w:sz w:val="30"/>
          <w:szCs w:val="30"/>
        </w:rPr>
        <w:t>2024执行董事严格按照《公司章程》以及付煤公司要求，规范运作、科学决策，持续提升企业管控能力。2024年枣庄矿业(集团）付村矸石热电有限公司累计专题会议2</w:t>
      </w:r>
      <w:r>
        <w:rPr>
          <w:rFonts w:ascii="仿宋" w:hAnsi="仿宋" w:eastAsia="仿宋" w:cs="Times New Roman"/>
          <w:sz w:val="30"/>
          <w:szCs w:val="30"/>
        </w:rPr>
        <w:t>8</w:t>
      </w:r>
      <w:r>
        <w:rPr>
          <w:rFonts w:hint="eastAsia" w:ascii="仿宋" w:hAnsi="仿宋" w:eastAsia="仿宋" w:cs="Times New Roman"/>
          <w:sz w:val="30"/>
          <w:szCs w:val="30"/>
        </w:rPr>
        <w:t>次，对人事分工、重点工作安排重大事项进行了前置研究；对款项支付等大额资金运作事项进行了严格把控，确保了资金使用安全。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社会责任的履行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Times New Roman"/>
          <w:sz w:val="30"/>
          <w:szCs w:val="30"/>
        </w:rPr>
        <w:t>职工劳动合同严格按照劳动法律法规的遵守和执行。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2.人才引进、职工培训等人才队伍建设情况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2024年，根据生产实际需要，对不同岗位职工进行技能拓展培训，对特种设备操作人员进行培训，强化精准学习和考试，多措并举，提升职工整体技能素质。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3.职工劳动、安全及卫生保护情况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《中华人民共和国职业病防治法》、《煤矿职业安全卫生个体防护用品配备标准》、《山东省劳动防护用品配备标准》等规定，严格制定劳动防护用品管理规定，按照规定为职工配发具有资质的合格个体防护用品，并对部分岗位职工使用的泼胶手套、工作服等防护用品适量超标准配发。不定期对职工正确佩戴，使用</w:t>
      </w:r>
      <w:bookmarkStart w:id="0" w:name="_Hlk93614285"/>
      <w:r>
        <w:rPr>
          <w:rFonts w:hint="eastAsia" w:ascii="仿宋" w:hAnsi="仿宋" w:eastAsia="仿宋" w:cs="Times New Roman"/>
          <w:sz w:val="30"/>
          <w:szCs w:val="30"/>
        </w:rPr>
        <w:t>个体防护用品</w:t>
      </w:r>
      <w:bookmarkEnd w:id="0"/>
      <w:r>
        <w:rPr>
          <w:rFonts w:hint="eastAsia" w:ascii="仿宋" w:hAnsi="仿宋" w:eastAsia="仿宋" w:cs="Times New Roman"/>
          <w:sz w:val="30"/>
          <w:szCs w:val="30"/>
        </w:rPr>
        <w:t>进行培训，切实发挥个体防护用品作用，保护从业人员身体健康。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4.公司开展的环境治理及保护情况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公司动态保持各项环保设备实施的正常运转，定时进行设备维修维护，详细做好设备运行台账记录。严格按照济宁市发布的环境预警信息停工停产，运输车辆按照排放标准使用。动态保持上级单位的环保检查，全年无重大违规事项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履职待遇及有关业务支出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严格落实集团公司各项履职规定，出行严格执行《热电公司车辆使用、维修管理规定》，合理安排公车出行办理公司业务，实行公务卡加油、定点维修，不发放任何车辆补贴。严格履行用车、业务招待、差旅、国（境）外考察培训等费用支出规定，未出现违规使用情况。</w:t>
      </w:r>
    </w:p>
    <w:p>
      <w:pPr>
        <w:keepNext w:val="0"/>
        <w:keepLines w:val="0"/>
        <w:pageBreakBefore w:val="0"/>
        <w:widowControl w:val="0"/>
        <w:tabs>
          <w:tab w:val="left" w:pos="389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六、通过产权市场转让企业产权和企业增资等情况</w:t>
      </w:r>
      <w:r>
        <w:rPr>
          <w:rFonts w:hint="eastAsi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2024年度，公司无通过产权市场转让企业产权和企业增资等情况。</w:t>
      </w:r>
    </w:p>
    <w:p>
      <w:pPr>
        <w:keepNext w:val="0"/>
        <w:keepLines w:val="0"/>
        <w:pageBreakBefore w:val="0"/>
        <w:widowControl w:val="0"/>
        <w:tabs>
          <w:tab w:val="left" w:pos="389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组织架构图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hAnsi="仿宋_GB2312" w:cs="仿宋_GB231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218440</wp:posOffset>
            </wp:positionV>
            <wp:extent cx="5267960" cy="4921885"/>
            <wp:effectExtent l="0" t="0" r="1270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8E"/>
    <w:rsid w:val="000624E1"/>
    <w:rsid w:val="000C13C9"/>
    <w:rsid w:val="001A5990"/>
    <w:rsid w:val="001B6AB7"/>
    <w:rsid w:val="002013F0"/>
    <w:rsid w:val="00276E2D"/>
    <w:rsid w:val="0045169D"/>
    <w:rsid w:val="00492DC0"/>
    <w:rsid w:val="004A0418"/>
    <w:rsid w:val="00586B0F"/>
    <w:rsid w:val="006004DC"/>
    <w:rsid w:val="006F1D87"/>
    <w:rsid w:val="00712BDD"/>
    <w:rsid w:val="00833E7E"/>
    <w:rsid w:val="008E7A35"/>
    <w:rsid w:val="00A43E93"/>
    <w:rsid w:val="00A60239"/>
    <w:rsid w:val="00B8192C"/>
    <w:rsid w:val="00CE7A9B"/>
    <w:rsid w:val="00E95481"/>
    <w:rsid w:val="00EE638E"/>
    <w:rsid w:val="00F636A8"/>
    <w:rsid w:val="713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80" w:lineRule="exact"/>
    </w:pPr>
    <w:rPr>
      <w:rFonts w:ascii="仿宋_GB2312" w:hAnsi="宋体" w:eastAsia="仿宋_GB2312" w:cs="Times New Roman"/>
      <w:sz w:val="32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正文文本 字符"/>
    <w:basedOn w:val="5"/>
    <w:link w:val="2"/>
    <w:qFormat/>
    <w:uiPriority w:val="0"/>
    <w:rPr>
      <w:rFonts w:ascii="仿宋_GB2312" w:hAnsi="宋体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417</Words>
  <Characters>2380</Characters>
  <Lines>19</Lines>
  <Paragraphs>5</Paragraphs>
  <TotalTime>34</TotalTime>
  <ScaleCrop>false</ScaleCrop>
  <LinksUpToDate>false</LinksUpToDate>
  <CharactersWithSpaces>2792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2025-06-04T03:24:00Z</dcterms:created>
  <dc:creator>Administrator</dc:creator>
  <cp:lastModifiedBy>关祥玉</cp:lastModifiedBy>
  <dcterms:modified xsi:type="dcterms:W3CDTF">2025-06-06T04:44:46Z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