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付村矸石热电有限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cr/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重要提示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 xml:space="preserve">   本公司全体保证本公告内容不存在任何虚假记载、误导性陈述或者重大遗漏，并对其内容的真实性、准确性和完整性承担个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别及连带责任。</w:t>
      </w:r>
    </w:p>
    <w:p>
      <w:pPr>
        <w:adjustRightInd w:val="0"/>
        <w:snapToGrid w:val="0"/>
        <w:spacing w:line="64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1.统一社会信用代码：913708267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52699942D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2.企业名称：枣庄矿业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(集团）付村矸石热电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3.注册号：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370826018006360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4.法定代表人：秦辉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5.类型：有限责任公司(非自然人投资或控股的法人独资)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6.成立日期：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2003</w:t>
      </w:r>
      <w:r>
        <w:rPr>
          <w:rFonts w:hint="eastAsia" w:ascii="仿宋" w:hAnsi="仿宋" w:eastAsia="仿宋"/>
          <w:sz w:val="30"/>
          <w:szCs w:val="30"/>
        </w:rPr>
        <w:t>年0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7.注册资本：伍仟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零叁拾</w:t>
      </w:r>
      <w:r>
        <w:rPr>
          <w:rFonts w:hint="eastAsia" w:ascii="仿宋" w:hAnsi="仿宋" w:eastAsia="仿宋"/>
          <w:sz w:val="30"/>
          <w:szCs w:val="30"/>
        </w:rPr>
        <w:t>万元整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8.核准日期：202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年04月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03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9.营业期限自：200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/>
          <w:sz w:val="30"/>
          <w:szCs w:val="30"/>
        </w:rPr>
        <w:t>日至</w:t>
      </w:r>
    </w:p>
    <w:p>
      <w:pPr>
        <w:adjustRightInd w:val="0"/>
        <w:snapToGrid w:val="0"/>
        <w:spacing w:line="640" w:lineRule="exact"/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10.登记机关：微山县行政审批服务局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11.登记状态：正常营业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12.住所：微山县付村街道富煤路1号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13.邮政编码：277605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14．电子信箱:wdgs2012@163.com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15.经营范围：许可项目：发电业务、输电业务、供（配）电业务；热力生产和供应；特种设备安装改造修理；建设工程施工；餐饮服务；道路货物运输（不含危险货物）。（依法须经批准的项目，经相关部门批准后方可开展经营活动，具体经营项目以相关部门批准文件或许可证件为准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一般项目：再生资源销售；石灰和石膏销售；通用设备修理；仪器仪表修理；电气设备修理；电子、机械设备维护（不含特种设备）；建筑材料销售；五金产品零售；金属结构销售；木材销售；化工产品销售（不含许可类化工产品）；办公用品销售；家具销售；日用百货销售；劳动保护用品销售；煤炭及制品销售；日用杂品销售；矿山机械销售；水泥制品制造；水泥制品销售；特种设备销售；专业保洁、清洗、消毒服务；建筑物清洁服务；机械设备租赁；小微型客车租赁经营服务；日用家电零售；电器辅件销售；生产性废旧金属回收；有色金属铸造；电线、电缆经营；金属材料销售；橡胶制品销售；仪器仪表销售；广告制作；广告设计、代理；机动车修理和维护；再生资源回收（除生产性废旧金属）；非金属废料和碎屑加工处理；日用电器修理；装卸搬运；煤制活性炭及其他煤炭加工；矿山机械制造。（除依法须经批准的项目外，凭营业执照依法自主开展经营活动）</w:t>
      </w:r>
      <w:r>
        <w:rPr>
          <w:rFonts w:hint="eastAsia" w:ascii="仿宋" w:hAnsi="仿宋" w:eastAsia="仿宋"/>
          <w:sz w:val="30"/>
          <w:szCs w:val="30"/>
        </w:rPr>
        <w:cr/>
      </w:r>
      <w:r>
        <w:rPr>
          <w:rFonts w:hint="eastAsia" w:ascii="仿宋" w:hAnsi="仿宋" w:eastAsia="仿宋"/>
          <w:sz w:val="30"/>
          <w:szCs w:val="30"/>
        </w:rPr>
        <w:t>16.公司简介:枣庄矿业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(集团）付村矸石热电</w:t>
      </w:r>
      <w:r>
        <w:rPr>
          <w:rFonts w:hint="eastAsia" w:ascii="仿宋" w:hAnsi="仿宋" w:eastAsia="仿宋"/>
          <w:sz w:val="30"/>
          <w:szCs w:val="30"/>
        </w:rPr>
        <w:t>有限公司，隶属于山东能源集团枣庄矿业（集团）有限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责任</w:t>
      </w:r>
      <w:r>
        <w:rPr>
          <w:rFonts w:hint="eastAsia" w:ascii="仿宋" w:hAnsi="仿宋" w:eastAsia="仿宋"/>
          <w:sz w:val="30"/>
          <w:szCs w:val="30"/>
        </w:rPr>
        <w:t>公司，成立于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2003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月，注册资本为5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03</w:t>
      </w:r>
      <w:r>
        <w:rPr>
          <w:rFonts w:hint="eastAsia" w:ascii="仿宋" w:hAnsi="仿宋" w:eastAsia="仿宋"/>
          <w:sz w:val="30"/>
          <w:szCs w:val="30"/>
        </w:rPr>
        <w:t>0万。长期股权投资：顺翔公司500万元；凯尔公司300万元。截止目前现有在册在职职工164人。企业占地面积3.9万平方米，生产建筑面积2万平方米；拥有先进的生产加工设备，合格优质的矿用自制产品。公司位于付村煤业有限公司内部，地处微山县付村街道境内，东靠京沪铁路、京沪高速铁路和京台高速公路，西邻京杭大运河，地理位置优越，水路交通发达，运输往来十分便利。目前有次煤厂、维修加工厂、除锈喷涂车间、电器维修厂、南料厂、机械加工厂、广告部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单体车间等</w:t>
      </w:r>
      <w:r>
        <w:rPr>
          <w:rFonts w:hint="eastAsia" w:ascii="仿宋" w:hAnsi="仿宋" w:eastAsia="仿宋"/>
          <w:sz w:val="30"/>
          <w:szCs w:val="30"/>
        </w:rPr>
        <w:t>车间组成.可生产加工MGC1.1-6固定车箱式矿车、MPC326平板车、MLC26材料车、等强右旋螺母、高强左旋螺母、竹锚杆、轨枕、角铁盖板、水泥背板、炮泥、广告宣传牌板、锚索、工字钢棚等产品，对矿用机电设备(电机、水泵、风机、手拉葫芦、小型电器)进行修理，公司还建成全自动化除锈喷漆生产线，形成了</w:t>
      </w:r>
      <w:bookmarkStart w:id="1" w:name="_GoBack"/>
      <w:bookmarkEnd w:id="1"/>
      <w:r>
        <w:rPr>
          <w:rFonts w:hint="eastAsia" w:ascii="仿宋" w:hAnsi="仿宋" w:eastAsia="仿宋"/>
          <w:sz w:val="30"/>
          <w:szCs w:val="30"/>
        </w:rPr>
        <w:t>机械加工、煤炭副产品加工、矿用井下支护产品制作、支架维修矿井一体化产业链条。公司拥有五项煤安标证书、煤矿设备检修服务能力评价证书、矿用产品安全标志证书、劳务派遣经营许可证、建筑机电安装工程专业承包三级资质、安全生产许可证、液压支架电液控制系统检修资质证书、液压支架电液控制系统用阀检修资质证书等，并拥有先进的检测检验设备，产品质量符合国家标准，全方位采取现代化企业管理模式，全力打造现代化企业多元化的生产经营格局。</w:t>
      </w:r>
    </w:p>
    <w:p>
      <w:pPr>
        <w:ind w:left="640" w:hanging="640" w:hanging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二、主要会计数据和财务指标</w:t>
      </w:r>
    </w:p>
    <w:p>
      <w:pPr>
        <w:ind w:left="600" w:hanging="600" w:hanging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1.主要会计数据和财务数据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公司2023年预计全年营业收入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1746.88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-2050.91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2.公司2023度无重要会计政策变更、重要会计估计变更、前期会计差错更正事项。</w:t>
      </w:r>
    </w:p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3.审计报告摘要（暂无）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</w:t>
      </w:r>
      <w:r>
        <w:rPr>
          <w:rFonts w:hint="eastAsia" w:ascii="仿宋" w:hAnsi="仿宋" w:eastAsia="仿宋" w:cs="Times New Roman"/>
          <w:sz w:val="30"/>
          <w:szCs w:val="30"/>
        </w:rPr>
        <w:t>司班子成员</w:t>
      </w:r>
      <w:r>
        <w:rPr>
          <w:rFonts w:hint="eastAsia" w:ascii="仿宋" w:hAnsi="仿宋" w:eastAsia="仿宋" w:cs="Times New Roman"/>
          <w:sz w:val="30"/>
          <w:szCs w:val="30"/>
          <w:lang w:val="zh-CN"/>
        </w:rPr>
        <w:t>的任职情况和年度薪酬情况、经营业绩考核情况，公司领导人员经济责任履职情况等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公司班子成员（秦辉、姚忠厚等9人）实行年度绩效考核，每年与付煤公司签订年度绩效考核指标责任书，按照责任书确定的指标进行严格考核。年度绩效考核在核算体系健全、管理规范、成本准确、报表真实、资产清晰的基础上进行。班子成员收入实行年薪制，以年度为单位依据各企业年度绩效考核结果确定年薪标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Times New Roman"/>
          <w:sz w:val="30"/>
          <w:szCs w:val="30"/>
        </w:rPr>
        <w:t>年度内发生的重大事项及对企业的影响：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按照能源集团、集团公司和付煤公司工作部署，矸石热电公司吸收合并微山枣庄矿业万得实业有限公司，相应公司经营、人员发生重大变更。</w:t>
      </w:r>
      <w:r>
        <w:rPr>
          <w:rFonts w:hint="eastAsia" w:ascii="仿宋" w:hAnsi="仿宋" w:eastAsia="仿宋" w:cs="Times New Roman"/>
          <w:sz w:val="30"/>
          <w:szCs w:val="30"/>
        </w:rPr>
        <w:cr/>
      </w:r>
      <w:r>
        <w:rPr>
          <w:rFonts w:hint="eastAsia" w:ascii="黑体" w:hAnsi="黑体" w:eastAsia="黑体" w:cs="黑体"/>
          <w:sz w:val="32"/>
          <w:szCs w:val="32"/>
        </w:rPr>
        <w:t>三、 “三重一大”事项</w:t>
      </w:r>
      <w:r>
        <w:rPr>
          <w:rFonts w:hint="eastAsia" w:ascii="黑体" w:hAnsi="黑体" w:eastAsia="黑体" w:cs="黑体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（一）组织建设情况。按照《公司章程》规定，公司不设董事会，设执行董事一名，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监事一名，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执行董事为公司法定代表人，由股东直接委派。</w:t>
      </w:r>
    </w:p>
    <w:p>
      <w:pPr>
        <w:numPr>
          <w:ilvl w:val="0"/>
          <w:numId w:val="0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度建设情况。公司各项制度健全完善，并严格按照《公司章程》等相关文件要求规范运作，制订出台《关于进一步规范“三重一大”事项决策制度》，明确了“三重一大”事项决策范围，理顺了决策流程，提高了决策水平，防范了决策风险，有效保障了股东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2023执行董事严格按照《公司章程》以及付煤公司要求，规范运作、科学决策，持续提升企业管控能力。2023年</w:t>
      </w:r>
      <w:r>
        <w:rPr>
          <w:rFonts w:hint="eastAsia" w:ascii="仿宋" w:hAnsi="仿宋" w:eastAsia="仿宋"/>
          <w:sz w:val="30"/>
          <w:szCs w:val="30"/>
        </w:rPr>
        <w:t>枣庄矿业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(集团）付村矸石热电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累计专题会议27次，对人事分工、重点工作安排重大事项进行了前置研究；对款项支付等大额资金运作事项进行了严格把控，确保了资金使用安全。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社会责任的履行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1.职工劳动合同严格按照劳动法律法规的遵守和执行。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2.人才引进、职工培训等人才队伍建设情况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2023年，根据生产实际需要，对不同岗位职工进行技能拓展培训，对特种设备操作人员进行培训，强化精准学习和考试，多措并举，提升职工整体技能素质。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3.职工劳动、安全及卫生保护情况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职业病防治法》、《煤矿职业安全卫生个体防护用品配备标准》（中华人民共和国安全生产行业标准AQ1051-2008）、《山东省劳动防护用品配备标准》（DB37/1922-2011）等规定，严格制定劳动防护用品管理规定，按照规定为职工配发具有资质的合格个体防护用品，并对部分岗位职工使用的泼胶手套、工作服等防护用品适量超标准配发。不定期对职工正确佩戴，使用</w:t>
      </w:r>
      <w:bookmarkStart w:id="0" w:name="_Hlk93614285"/>
      <w:r>
        <w:rPr>
          <w:rFonts w:hint="eastAsia" w:ascii="仿宋_GB2312" w:hAnsi="仿宋_GB2312" w:eastAsia="仿宋_GB2312" w:cs="仿宋_GB2312"/>
          <w:sz w:val="32"/>
          <w:szCs w:val="32"/>
        </w:rPr>
        <w:t>个体防护用品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进行培训，切实发挥个体防护用品作用，保护从业人员身体健康。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4.公司开展的环境治理及保护情况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动态保持各项环保设备实施的正常运转，定时进行设备维修维护，详细做好设备运行台账记录。严格按照济宁市发布的环境预警信息停工停产，运输车辆按照排放标准使用。动态保持上级单位的环保检查，全年无重大违规事项发生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履职待遇及有关业务支出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集团公司各项履职规定，出行严格执行《付煤公司公车管理规定》，合理安排公车出行办理公司业务，实行公务卡加油、定点维修，不发放任何车辆补贴。严格履行用车、业务招待、差旅、国（境）外考察培训等费用支出规定，未出现违规使用情况。</w:t>
      </w:r>
    </w:p>
    <w:p>
      <w:pPr>
        <w:tabs>
          <w:tab w:val="left" w:pos="3891"/>
        </w:tabs>
        <w:jc w:val="left"/>
      </w:pPr>
      <w:r>
        <w:rPr>
          <w:rFonts w:hint="eastAsia" w:ascii="黑体" w:hAnsi="黑体" w:eastAsia="黑体" w:cs="黑体"/>
          <w:sz w:val="32"/>
          <w:szCs w:val="32"/>
        </w:rPr>
        <w:t>六、通过产权市场转让企业产权和企业增资等情况</w:t>
      </w:r>
      <w:r>
        <w:rPr>
          <w:rFonts w:hint="eastAsia"/>
        </w:rPr>
        <w:tab/>
      </w:r>
    </w:p>
    <w:p>
      <w:pPr>
        <w:pStyle w:val="2"/>
        <w:spacing w:line="560" w:lineRule="exact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2023年度，公司无通过产权市场转让企业产权和企业增资等情况。</w:t>
      </w:r>
    </w:p>
    <w:p>
      <w:pPr>
        <w:pStyle w:val="2"/>
        <w:spacing w:line="560" w:lineRule="exact"/>
        <w:ind w:firstLine="640" w:firstLineChars="200"/>
        <w:rPr>
          <w:rFonts w:hAnsi="仿宋_GB2312" w:cs="仿宋_GB2312"/>
          <w:szCs w:val="32"/>
        </w:rPr>
      </w:pPr>
    </w:p>
    <w:p>
      <w:pPr>
        <w:pStyle w:val="2"/>
        <w:jc w:val="both"/>
        <w:rPr>
          <w:rFonts w:ascii="仿宋" w:hAnsi="仿宋" w:eastAsia="仿宋" w:cs="仿宋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2RhMzdlNmIxZjI1ODliNDZlYjk3YzMwNjc4MTMifQ=="/>
  </w:docVars>
  <w:rsids>
    <w:rsidRoot w:val="000C3BD6"/>
    <w:rsid w:val="000828FE"/>
    <w:rsid w:val="000C1ECB"/>
    <w:rsid w:val="000C3BD6"/>
    <w:rsid w:val="000E1EB1"/>
    <w:rsid w:val="000F5488"/>
    <w:rsid w:val="001712D1"/>
    <w:rsid w:val="00177971"/>
    <w:rsid w:val="00183B9B"/>
    <w:rsid w:val="001B46A7"/>
    <w:rsid w:val="00244098"/>
    <w:rsid w:val="00251983"/>
    <w:rsid w:val="00326862"/>
    <w:rsid w:val="003A370B"/>
    <w:rsid w:val="003B6D5B"/>
    <w:rsid w:val="003E3511"/>
    <w:rsid w:val="00464DD8"/>
    <w:rsid w:val="00536B6E"/>
    <w:rsid w:val="00545EBF"/>
    <w:rsid w:val="005A4514"/>
    <w:rsid w:val="00671C76"/>
    <w:rsid w:val="00726501"/>
    <w:rsid w:val="00811602"/>
    <w:rsid w:val="00820E23"/>
    <w:rsid w:val="008377D7"/>
    <w:rsid w:val="0092665C"/>
    <w:rsid w:val="009754BA"/>
    <w:rsid w:val="009C29EF"/>
    <w:rsid w:val="009E7A14"/>
    <w:rsid w:val="00A36A85"/>
    <w:rsid w:val="00B609BF"/>
    <w:rsid w:val="00B73093"/>
    <w:rsid w:val="00BB2EA1"/>
    <w:rsid w:val="00C16779"/>
    <w:rsid w:val="00C20FD9"/>
    <w:rsid w:val="00C74C6D"/>
    <w:rsid w:val="00D17E25"/>
    <w:rsid w:val="00D46D6D"/>
    <w:rsid w:val="00DC452A"/>
    <w:rsid w:val="00E11DF5"/>
    <w:rsid w:val="00E91653"/>
    <w:rsid w:val="00ED678A"/>
    <w:rsid w:val="00FB763A"/>
    <w:rsid w:val="079528D4"/>
    <w:rsid w:val="08940DDD"/>
    <w:rsid w:val="0D8B6C53"/>
    <w:rsid w:val="12AA7B7B"/>
    <w:rsid w:val="255B6E36"/>
    <w:rsid w:val="25A746E6"/>
    <w:rsid w:val="29B9024C"/>
    <w:rsid w:val="2B091D43"/>
    <w:rsid w:val="2D321958"/>
    <w:rsid w:val="2E2959A0"/>
    <w:rsid w:val="34FB7F27"/>
    <w:rsid w:val="38B7004D"/>
    <w:rsid w:val="3CFE449C"/>
    <w:rsid w:val="411D21B4"/>
    <w:rsid w:val="41D03E1F"/>
    <w:rsid w:val="47C54BA4"/>
    <w:rsid w:val="49417BEA"/>
    <w:rsid w:val="4A2F3EE7"/>
    <w:rsid w:val="52100AA2"/>
    <w:rsid w:val="54226945"/>
    <w:rsid w:val="57FD0867"/>
    <w:rsid w:val="604C7149"/>
    <w:rsid w:val="631A16A8"/>
    <w:rsid w:val="681F5143"/>
    <w:rsid w:val="6B032AFA"/>
    <w:rsid w:val="7309711B"/>
    <w:rsid w:val="73D06EAD"/>
    <w:rsid w:val="75151234"/>
    <w:rsid w:val="7671125F"/>
    <w:rsid w:val="7A6F3D08"/>
    <w:rsid w:val="7B0C77A9"/>
    <w:rsid w:val="7BD52290"/>
    <w:rsid w:val="7BD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rFonts w:ascii="仿宋_GB2312" w:hAnsi="宋体" w:eastAsia="仿宋_GB2312" w:cs="Times New Roman"/>
      <w:sz w:val="32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3">
    <w:name w:val="网格型1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2747</Words>
  <Characters>2932</Characters>
  <Lines>20</Lines>
  <Paragraphs>5</Paragraphs>
  <TotalTime>33</TotalTime>
  <ScaleCrop>false</ScaleCrop>
  <LinksUpToDate>false</LinksUpToDate>
  <CharactersWithSpaces>2937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2023-12-29T06:48:00Z</dcterms:created>
  <dc:creator>Windows 用户</dc:creator>
  <cp:lastModifiedBy>wande</cp:lastModifiedBy>
  <cp:lastPrinted>2022-10-15T02:49:00Z</cp:lastPrinted>
  <dcterms:modified xsi:type="dcterms:W3CDTF">2024-12-06T05:37:10Z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A10E33945F344021A5C20A6336AFE07C</vt:lpwstr>
  </property>
</Properties>
</file>