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枣庄市高晟实业有限公司</w:t>
      </w:r>
    </w:p>
    <w:p>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年四季度财务等重大信息公告</w:t>
      </w:r>
    </w:p>
    <w:p>
      <w:pPr>
        <w:spacing w:line="640" w:lineRule="exact"/>
        <w:ind w:firstLine="420" w:firstLineChars="200"/>
      </w:pPr>
    </w:p>
    <w:p>
      <w:pPr>
        <w:spacing w:line="640" w:lineRule="exact"/>
        <w:jc w:val="center"/>
        <w:rPr>
          <w:rFonts w:ascii="黑体" w:hAnsi="黑体" w:eastAsia="黑体" w:cs="黑体"/>
          <w:sz w:val="32"/>
          <w:szCs w:val="32"/>
        </w:rPr>
      </w:pPr>
      <w:r>
        <w:rPr>
          <w:rFonts w:hint="eastAsia" w:ascii="黑体" w:hAnsi="黑体" w:eastAsia="黑体" w:cs="黑体"/>
          <w:sz w:val="32"/>
          <w:szCs w:val="32"/>
        </w:rPr>
        <w:t>重要提示</w:t>
      </w:r>
    </w:p>
    <w:p>
      <w:pPr>
        <w:spacing w:line="640" w:lineRule="exact"/>
        <w:ind w:firstLine="640" w:firstLineChars="200"/>
        <w:rPr>
          <w:rFonts w:ascii="黑体" w:hAnsi="黑体" w:eastAsia="黑体" w:cs="黑体"/>
          <w:sz w:val="32"/>
          <w:szCs w:val="32"/>
        </w:rPr>
      </w:pPr>
    </w:p>
    <w:p>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本公司保证本公告内容不存在任何虚假记载、误导性陈述或者重大遗漏，并对其内容的真实性、准确性和完整性承担个别及连带责任。</w:t>
      </w: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640" w:lineRule="exact"/>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一、公司基本情况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1.统一社会信用代码：91370400164441013L</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2.企业名称：枣庄市高晟实业有限公司</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3.工商注册号：370400018005304</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4.法定代表人：田知华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5.类型：其他有限责任公司</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6.成立日期：1992年11 月 14日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7.注册资本：1000万元人民币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8.核准日期：2021年9 月30 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9.营业期限：1992 年11 月14 日至无固定期限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10.登记机关：枣庄市行政审批服务局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11.登记状态：在营（开业）企业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12.注册地址：山东省枣庄市薛城区疏港路高晟工业园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13.邮政编码：277000</w:t>
      </w:r>
    </w:p>
    <w:p>
      <w:pPr>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14.电子信箱: gsgscw4084144@163.com</w:t>
      </w:r>
    </w:p>
    <w:p>
      <w:pPr>
        <w:tabs>
          <w:tab w:val="left" w:pos="60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15.经营范围：</w:t>
      </w:r>
      <w:r>
        <w:rPr>
          <w:rFonts w:hint="eastAsia" w:ascii="仿宋_GB2312" w:hAnsi="仿宋_GB2312" w:eastAsia="仿宋_GB2312" w:cs="仿宋_GB2312"/>
          <w:sz w:val="32"/>
          <w:szCs w:val="32"/>
          <w:lang w:val="zh-CN"/>
        </w:rPr>
        <w:t>矿用设备、矿用电器及配件加工、生产、维修及销售；橡塑制品、防爆电器、消防工程材料、劳保用品、建筑预制件、化工产品（不含危险品）、高压钢丝胶管组合件生产、销售；五金交电、煤炭、钢材、木材、建筑及装饰材料销售；保温、防腐工程施工；房屋租赁、设备租赁、汽车租赁（均不含融资租赁）；普通货物道路运输（不含危险品）；电动车及零部件的组装、维修、销售；保洁、园林绿化服务。房屋装饰装修、轧钢筋；建筑工程安装；餐饮服务；其他印刷品印刷（不含出版物）；广告牌制作。</w:t>
      </w:r>
      <w:r>
        <w:rPr>
          <w:rFonts w:hint="eastAsia" w:ascii="仿宋_GB2312" w:hAnsi="仿宋_GB2312" w:eastAsia="仿宋_GB2312" w:cs="仿宋_GB2312"/>
          <w:sz w:val="32"/>
          <w:szCs w:val="32"/>
        </w:rPr>
        <w:t>（依法须经批准的项目，经相关部门批准后方可开展经营活动)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公司简介:枣庄市高晟实业有限公司隶属于枣矿集团高庄煤业有限公司，是矿区一家集加工制造和综机维修为一体的综合经营非煤实体，枣矿集团定点综机维修基地，枣庄市（机械）安全生产标准化三级企业。园区驻地为枣庄市薛城区疏港路高晟工业园，园区面积80亩。2019年12月30日，由集体企业改制为国有控股公司，注册资本为人民币壹仟万元（1000万元）。公司经营主要包括综机维修和加工制造两大板块，下辖支架维修车间、“三机”维修车间和加工制造车间，拥有主要检修资质15大类，煤矿安全标志27大类，年总收入一亿元。</w:t>
      </w:r>
    </w:p>
    <w:p>
      <w:pPr>
        <w:spacing w:line="560" w:lineRule="exact"/>
        <w:rPr>
          <w:rFonts w:ascii="仿宋_GB2312" w:hAnsi="仿宋_GB2312" w:eastAsia="仿宋_GB2312" w:cs="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三、主要会计数据和财务指标</w:t>
      </w:r>
    </w:p>
    <w:p>
      <w:pPr>
        <w:pStyle w:val="7"/>
        <w:spacing w:line="560" w:lineRule="exact"/>
        <w:ind w:firstLine="640" w:firstLineChars="200"/>
        <w:rPr>
          <w:rFonts w:ascii="仿宋_GB2312" w:eastAsia="仿宋_GB2312" w:cs="黑体"/>
          <w:kern w:val="2"/>
          <w:sz w:val="32"/>
          <w:szCs w:val="32"/>
        </w:rPr>
      </w:pPr>
      <w:r>
        <w:rPr>
          <w:rFonts w:hint="eastAsia" w:ascii="仿宋_GB2312" w:eastAsia="仿宋_GB2312" w:cs="黑体"/>
          <w:kern w:val="2"/>
          <w:sz w:val="32"/>
          <w:szCs w:val="32"/>
        </w:rPr>
        <w:t>1.主要会计数据和财务数据。</w:t>
      </w:r>
    </w:p>
    <w:tbl>
      <w:tblPr>
        <w:tblStyle w:val="8"/>
        <w:tblW w:w="9038" w:type="dxa"/>
        <w:tblInd w:w="0" w:type="dxa"/>
        <w:tblLayout w:type="fixed"/>
        <w:tblCellMar>
          <w:top w:w="0" w:type="dxa"/>
          <w:left w:w="0" w:type="dxa"/>
          <w:bottom w:w="0" w:type="dxa"/>
          <w:right w:w="0" w:type="dxa"/>
        </w:tblCellMar>
      </w:tblPr>
      <w:tblGrid>
        <w:gridCol w:w="2410"/>
        <w:gridCol w:w="2472"/>
        <w:gridCol w:w="2473"/>
        <w:gridCol w:w="1683"/>
      </w:tblGrid>
      <w:tr>
        <w:tblPrEx>
          <w:tblCellMar>
            <w:top w:w="0" w:type="dxa"/>
            <w:left w:w="0" w:type="dxa"/>
            <w:bottom w:w="0" w:type="dxa"/>
            <w:right w:w="0" w:type="dxa"/>
          </w:tblCellMar>
        </w:tblPrEx>
        <w:trPr>
          <w:trHeight w:val="467"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主要指标</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本期金额（万元）</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上期金额（万元）</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变动比例（%）</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营业收入</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6450.67</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6090.25</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5.92</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营业成本</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4797.11</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4608.06</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4.10</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销售费用</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141.86</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147.59</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-3.88</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管理费用</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1122.31</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1058.39</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6.04</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财务费用</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0.07</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-0.34</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wordWrap w:val="0"/>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120.59</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营业利润</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39.32</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9.51</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313.46</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投资收益</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kern w:val="0"/>
                <w:sz w:val="22"/>
                <w:szCs w:val="22"/>
                <w:lang w:bidi="ar"/>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kern w:val="0"/>
                <w:sz w:val="22"/>
                <w:szCs w:val="22"/>
                <w:lang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kern w:val="0"/>
                <w:sz w:val="22"/>
                <w:szCs w:val="22"/>
                <w:lang w:bidi="ar"/>
              </w:rPr>
            </w:pP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营业外收支</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38.37</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29.15</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31.63</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利润总额</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68.47</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5.14</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1232.10</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税费总额</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693.61</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666.13</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4.13</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净利润</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81.68</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5.22</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1464.75</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营业利润率</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0.61</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0.16</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281.25</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净资产收益率</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-1.51</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-0.09</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1577.79</w:t>
            </w:r>
          </w:p>
        </w:tc>
      </w:tr>
      <w:tr>
        <w:tblPrEx>
          <w:tblCellMar>
            <w:top w:w="0" w:type="dxa"/>
            <w:left w:w="0" w:type="dxa"/>
            <w:bottom w:w="0" w:type="dxa"/>
            <w:right w:w="0" w:type="dxa"/>
          </w:tblCellMar>
        </w:tblPrEx>
        <w:trPr>
          <w:trHeight w:val="428"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主要指标</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期末金额（万元）</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年初金额（万元）</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变动比例（%）</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资产总额</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8076.80</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7955.30</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1.53</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负债总额</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13414.22</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13437.73</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-0.17</w:t>
            </w:r>
          </w:p>
        </w:tc>
      </w:tr>
      <w:tr>
        <w:tblPrEx>
          <w:tblCellMar>
            <w:top w:w="0" w:type="dxa"/>
            <w:left w:w="0" w:type="dxa"/>
            <w:bottom w:w="0" w:type="dxa"/>
            <w:right w:w="0"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所有者权益</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-5337.41</w:t>
            </w:r>
          </w:p>
        </w:tc>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-5482.43</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-2.65</w:t>
            </w:r>
          </w:p>
        </w:tc>
      </w:tr>
    </w:tbl>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2.枣庄市高晟实业有限公司202</w:t>
      </w:r>
      <w:r>
        <w:rPr>
          <w:rFonts w:ascii="仿宋_GB2312" w:eastAsia="仿宋_GB2312" w:cs="黑体"/>
          <w:sz w:val="32"/>
          <w:szCs w:val="32"/>
        </w:rPr>
        <w:t>2</w:t>
      </w:r>
      <w:r>
        <w:rPr>
          <w:rFonts w:hint="eastAsia" w:ascii="仿宋_GB2312" w:eastAsia="仿宋_GB2312" w:cs="黑体"/>
          <w:sz w:val="32"/>
          <w:szCs w:val="32"/>
        </w:rPr>
        <w:t>年度无重要会计政策变更、重要会计估计变更、前期会计差错更正事项。</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四、审计报告摘要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经审查，高晟公司</w:t>
      </w:r>
      <w:r>
        <w:rPr>
          <w:rFonts w:hint="eastAsia" w:ascii="仿宋_GB2312" w:hAnsi="仿宋_GB2312" w:eastAsia="仿宋_GB2312" w:cs="仿宋_GB2312"/>
          <w:bCs/>
          <w:color w:val="auto"/>
          <w:kern w:val="0"/>
          <w:sz w:val="32"/>
          <w:szCs w:val="32"/>
          <w:lang w:eastAsia="zh-CN"/>
        </w:rPr>
        <w:t>2023</w:t>
      </w:r>
      <w:r>
        <w:rPr>
          <w:rFonts w:hint="eastAsia" w:ascii="仿宋_GB2312" w:hAnsi="仿宋_GB2312" w:eastAsia="仿宋_GB2312" w:cs="仿宋_GB2312"/>
          <w:bCs/>
          <w:color w:val="auto"/>
          <w:kern w:val="0"/>
          <w:sz w:val="32"/>
          <w:szCs w:val="32"/>
        </w:rPr>
        <w:t>年度完成收入</w:t>
      </w:r>
      <w:r>
        <w:rPr>
          <w:rFonts w:hint="eastAsia" w:ascii="仿宋_GB2312" w:hAnsi="仿宋_GB2312" w:eastAsia="仿宋_GB2312" w:cs="仿宋_GB2312"/>
          <w:bCs/>
          <w:color w:val="auto"/>
          <w:sz w:val="32"/>
          <w:szCs w:val="32"/>
          <w:lang w:val="en-US" w:eastAsia="zh-CN"/>
        </w:rPr>
        <w:t>6450.67</w:t>
      </w:r>
      <w:r>
        <w:rPr>
          <w:rFonts w:hint="eastAsia" w:ascii="仿宋_GB2312" w:hAnsi="仿宋_GB2312" w:eastAsia="仿宋_GB2312" w:cs="仿宋_GB2312"/>
          <w:bCs/>
          <w:color w:val="auto"/>
          <w:kern w:val="0"/>
          <w:sz w:val="32"/>
          <w:szCs w:val="32"/>
        </w:rPr>
        <w:t>万元，实现利润总额</w:t>
      </w:r>
      <w:r>
        <w:rPr>
          <w:rFonts w:hint="eastAsia" w:ascii="仿宋_GB2312" w:hAnsi="仿宋_GB2312" w:eastAsia="仿宋_GB2312" w:cs="仿宋_GB2312"/>
          <w:bCs/>
          <w:color w:val="auto"/>
          <w:kern w:val="0"/>
          <w:sz w:val="32"/>
          <w:szCs w:val="32"/>
          <w:lang w:val="en-US" w:eastAsia="zh-CN"/>
        </w:rPr>
        <w:t>68.47</w:t>
      </w:r>
      <w:r>
        <w:rPr>
          <w:rFonts w:hint="eastAsia" w:ascii="仿宋_GB2312" w:hAnsi="仿宋_GB2312" w:eastAsia="仿宋_GB2312" w:cs="仿宋_GB2312"/>
          <w:bCs/>
          <w:color w:val="auto"/>
          <w:kern w:val="0"/>
          <w:sz w:val="32"/>
          <w:szCs w:val="32"/>
        </w:rPr>
        <w:t>万元</w:t>
      </w:r>
      <w:r>
        <w:rPr>
          <w:rFonts w:hint="eastAsia" w:ascii="仿宋_GB2312" w:hAnsi="仿宋_GB2312" w:eastAsia="仿宋_GB2312" w:cs="仿宋_GB2312"/>
          <w:bCs/>
          <w:color w:val="auto"/>
          <w:kern w:val="0"/>
          <w:sz w:val="32"/>
          <w:szCs w:val="32"/>
          <w:lang w:eastAsia="zh-CN"/>
        </w:rPr>
        <w:t>（含处理以前年度历史亏损</w:t>
      </w:r>
      <w:r>
        <w:rPr>
          <w:rFonts w:hint="eastAsia" w:ascii="仿宋_GB2312" w:hAnsi="仿宋_GB2312" w:eastAsia="仿宋_GB2312" w:cs="仿宋_GB2312"/>
          <w:bCs/>
          <w:color w:val="auto"/>
          <w:kern w:val="0"/>
          <w:sz w:val="32"/>
          <w:szCs w:val="32"/>
          <w:lang w:val="en-US" w:eastAsia="zh-CN"/>
        </w:rPr>
        <w:t>118.71万元）</w:t>
      </w:r>
      <w:r>
        <w:rPr>
          <w:rFonts w:hint="eastAsia" w:ascii="仿宋_GB2312" w:hAnsi="仿宋_GB2312" w:eastAsia="仿宋_GB2312" w:cs="仿宋_GB2312"/>
          <w:bCs/>
          <w:color w:val="auto"/>
          <w:kern w:val="0"/>
          <w:sz w:val="32"/>
          <w:szCs w:val="32"/>
        </w:rPr>
        <w:t>。</w:t>
      </w:r>
    </w:p>
    <w:p>
      <w:pPr>
        <w:spacing w:line="560"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 xml:space="preserve">综合评价：高晟公司2023年度盈利能力进一步增强，非煤产业业务整合对公司产生巨大影响，支护产品转移后，盈利同比较往年有较大下降，综机维修业务未有明显增长，不能弥补支护产品业务转移带来的影响，但公司积极承揽加工业务，保证了良好的盈利能力。2023年度应收债权、原材料、应付债务增长较大，造成经营风险加大，高晟公司应加强债权清收，高度关注外部债权风险，大力压控原材料库存，有序偿还债务，降低经营风险。  </w:t>
      </w:r>
    </w:p>
    <w:p>
      <w:pPr>
        <w:spacing w:line="560" w:lineRule="exact"/>
        <w:ind w:firstLine="640" w:firstLineChars="200"/>
      </w:pPr>
      <w:r>
        <w:rPr>
          <w:rFonts w:hint="eastAsia" w:ascii="黑体" w:hAnsi="黑体" w:eastAsia="黑体" w:cs="黑体"/>
          <w:sz w:val="32"/>
          <w:szCs w:val="32"/>
        </w:rPr>
        <w:t>五、年度</w:t>
      </w:r>
      <w:bookmarkStart w:id="0" w:name="_GoBack"/>
      <w:bookmarkEnd w:id="0"/>
      <w:r>
        <w:rPr>
          <w:rFonts w:hint="eastAsia" w:ascii="黑体" w:hAnsi="黑体" w:eastAsia="黑体" w:cs="黑体"/>
          <w:sz w:val="32"/>
          <w:szCs w:val="32"/>
        </w:rPr>
        <w:t>内发生的重大事项及对企业的影响</w:t>
      </w:r>
    </w:p>
    <w:p>
      <w:pPr>
        <w:numPr>
          <w:numId w:val="0"/>
        </w:numPr>
        <w:spacing w:line="52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rPr>
        <w:t>高晟公司</w:t>
      </w:r>
      <w:r>
        <w:rPr>
          <w:rFonts w:hint="eastAsia" w:ascii="Times New Roman" w:hAnsi="Times New Roman" w:eastAsia="仿宋_GB2312" w:cs="Times New Roman"/>
          <w:b/>
          <w:bCs/>
          <w:sz w:val="32"/>
          <w:szCs w:val="32"/>
          <w:lang w:val="en-US" w:eastAsia="zh-CN"/>
        </w:rPr>
        <w:t>完成股权变更，企业由五级变更为四级</w:t>
      </w:r>
    </w:p>
    <w:p>
      <w:pPr>
        <w:numPr>
          <w:numId w:val="0"/>
        </w:numPr>
        <w:spacing w:line="52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据山东省委主题教育领导小组关于开展省属企业层级过多问题专项整治的决策部署及省国资委要求，按照能源集团开展权属企业层级过多问题专项整治工作通知要求，就高晟</w:t>
      </w:r>
      <w:r>
        <w:rPr>
          <w:rFonts w:hint="eastAsia" w:ascii="仿宋_GB2312" w:hAnsi="仿宋_GB2312" w:eastAsia="仿宋_GB2312" w:cs="仿宋_GB2312"/>
          <w:sz w:val="32"/>
          <w:szCs w:val="32"/>
        </w:rPr>
        <w:t>公司70%</w:t>
      </w:r>
      <w:r>
        <w:rPr>
          <w:rFonts w:hint="eastAsia" w:ascii="仿宋_GB2312" w:eastAsia="仿宋_GB2312"/>
          <w:sz w:val="32"/>
          <w:szCs w:val="32"/>
        </w:rPr>
        <w:t>股权无偿划转给山东中兴能源有限责任公司持有、3</w:t>
      </w:r>
      <w:r>
        <w:rPr>
          <w:rFonts w:hint="eastAsia" w:ascii="仿宋_GB2312" w:hAnsi="仿宋_GB2312" w:eastAsia="仿宋_GB2312" w:cs="仿宋_GB2312"/>
          <w:sz w:val="32"/>
          <w:szCs w:val="32"/>
        </w:rPr>
        <w:t>0%</w:t>
      </w:r>
      <w:r>
        <w:rPr>
          <w:rFonts w:hint="eastAsia" w:ascii="仿宋_GB2312" w:eastAsia="仿宋_GB2312"/>
          <w:sz w:val="32"/>
          <w:szCs w:val="32"/>
        </w:rPr>
        <w:t>股权无偿划转给枣庄矿业（集团）有限责任公司持有</w:t>
      </w:r>
      <w:r>
        <w:rPr>
          <w:rFonts w:hint="eastAsia" w:ascii="仿宋_GB2312" w:eastAsia="仿宋_GB2312"/>
          <w:sz w:val="32"/>
          <w:szCs w:val="32"/>
          <w:lang w:eastAsia="zh-CN"/>
        </w:rPr>
        <w:t>。</w:t>
      </w:r>
      <w:r>
        <w:rPr>
          <w:rFonts w:hint="eastAsia" w:ascii="仿宋_GB2312" w:eastAsia="仿宋_GB2312"/>
          <w:sz w:val="32"/>
          <w:szCs w:val="32"/>
        </w:rPr>
        <w:t>2023年</w:t>
      </w:r>
      <w:r>
        <w:rPr>
          <w:rFonts w:hint="eastAsia" w:ascii="仿宋_GB2312" w:eastAsia="仿宋_GB2312"/>
          <w:sz w:val="32"/>
          <w:szCs w:val="32"/>
          <w:lang w:val="en-US" w:eastAsia="zh-CN"/>
        </w:rPr>
        <w:t>11月</w:t>
      </w:r>
      <w:r>
        <w:rPr>
          <w:rFonts w:hint="eastAsia" w:ascii="仿宋_GB2312" w:eastAsia="仿宋_GB2312"/>
          <w:sz w:val="32"/>
          <w:szCs w:val="32"/>
        </w:rPr>
        <w:t>，</w:t>
      </w:r>
      <w:r>
        <w:rPr>
          <w:rFonts w:hint="eastAsia" w:ascii="仿宋_GB2312" w:eastAsia="仿宋_GB2312"/>
          <w:sz w:val="32"/>
          <w:szCs w:val="32"/>
          <w:lang w:val="en-US" w:eastAsia="zh-CN"/>
        </w:rPr>
        <w:t>高晟公司</w:t>
      </w:r>
      <w:r>
        <w:rPr>
          <w:rFonts w:hint="eastAsia" w:ascii="Calibri" w:hAnsi="Calibri" w:eastAsia="仿宋_GB2312" w:cs="Times New Roman"/>
          <w:kern w:val="2"/>
          <w:sz w:val="32"/>
          <w:szCs w:val="32"/>
          <w:lang w:val="en-US" w:eastAsia="zh-CN" w:bidi="ar-SA"/>
        </w:rPr>
        <w:t>完成层级管理变更，</w:t>
      </w:r>
      <w:r>
        <w:rPr>
          <w:rFonts w:hint="eastAsia" w:ascii="仿宋_GB2312" w:eastAsia="仿宋_GB2312"/>
          <w:sz w:val="32"/>
          <w:szCs w:val="32"/>
        </w:rPr>
        <w:t>权属企业法人层级</w:t>
      </w:r>
      <w:r>
        <w:rPr>
          <w:rFonts w:hint="eastAsia" w:ascii="仿宋_GB2312" w:eastAsia="仿宋_GB2312"/>
          <w:sz w:val="32"/>
          <w:szCs w:val="32"/>
          <w:lang w:val="en-US" w:eastAsia="zh-CN"/>
        </w:rPr>
        <w:t>由五级变更为</w:t>
      </w:r>
      <w:r>
        <w:rPr>
          <w:rFonts w:hint="eastAsia" w:ascii="仿宋_GB2312" w:eastAsia="仿宋_GB2312"/>
          <w:sz w:val="32"/>
          <w:szCs w:val="32"/>
        </w:rPr>
        <w:t>四级。</w:t>
      </w:r>
    </w:p>
    <w:p>
      <w:pPr>
        <w:pStyle w:val="4"/>
        <w:jc w:val="both"/>
        <w:rPr>
          <w:rFonts w:ascii="仿宋_GB2312" w:eastAsia="仿宋_GB2312" w:cs="黑体"/>
          <w:sz w:val="32"/>
          <w:szCs w:val="32"/>
        </w:rPr>
      </w:pPr>
    </w:p>
    <w:p/>
    <w:p>
      <w:pPr>
        <w:pStyle w:val="7"/>
        <w:spacing w:line="580" w:lineRule="exact"/>
        <w:ind w:firstLine="3600" w:firstLineChars="1500"/>
        <w:jc w:val="both"/>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yMWFkZTcwNGIxMzBmN2E0ODQ2YzVjZTAyMGRkYzUifQ=="/>
  </w:docVars>
  <w:rsids>
    <w:rsidRoot w:val="00172A27"/>
    <w:rsid w:val="0001271A"/>
    <w:rsid w:val="0006074E"/>
    <w:rsid w:val="000A3E61"/>
    <w:rsid w:val="000B2D23"/>
    <w:rsid w:val="000C03B8"/>
    <w:rsid w:val="000F5A40"/>
    <w:rsid w:val="00103183"/>
    <w:rsid w:val="00135AF1"/>
    <w:rsid w:val="00151221"/>
    <w:rsid w:val="00172A27"/>
    <w:rsid w:val="001A29FA"/>
    <w:rsid w:val="001B15E4"/>
    <w:rsid w:val="001D1CB5"/>
    <w:rsid w:val="00253306"/>
    <w:rsid w:val="002C6B4B"/>
    <w:rsid w:val="003E0C9B"/>
    <w:rsid w:val="00406C95"/>
    <w:rsid w:val="004405B7"/>
    <w:rsid w:val="00536611"/>
    <w:rsid w:val="00557885"/>
    <w:rsid w:val="00586A07"/>
    <w:rsid w:val="005F23BD"/>
    <w:rsid w:val="0066429A"/>
    <w:rsid w:val="006D3B3A"/>
    <w:rsid w:val="006E39C4"/>
    <w:rsid w:val="007C74C6"/>
    <w:rsid w:val="007D0081"/>
    <w:rsid w:val="00816381"/>
    <w:rsid w:val="008607AF"/>
    <w:rsid w:val="00866CC1"/>
    <w:rsid w:val="00980F1A"/>
    <w:rsid w:val="009C2808"/>
    <w:rsid w:val="00A519B2"/>
    <w:rsid w:val="00A53E18"/>
    <w:rsid w:val="00B832CA"/>
    <w:rsid w:val="00C46FAA"/>
    <w:rsid w:val="00C727B5"/>
    <w:rsid w:val="00C81F91"/>
    <w:rsid w:val="00CE3DA3"/>
    <w:rsid w:val="00D721F8"/>
    <w:rsid w:val="00DB4CB5"/>
    <w:rsid w:val="00E0390E"/>
    <w:rsid w:val="00E06104"/>
    <w:rsid w:val="00EC3D9C"/>
    <w:rsid w:val="00EF598E"/>
    <w:rsid w:val="00F913A8"/>
    <w:rsid w:val="00FA0680"/>
    <w:rsid w:val="026265BC"/>
    <w:rsid w:val="087856BA"/>
    <w:rsid w:val="09DD1106"/>
    <w:rsid w:val="0A623C04"/>
    <w:rsid w:val="0B2808DF"/>
    <w:rsid w:val="0CA34468"/>
    <w:rsid w:val="0F882B12"/>
    <w:rsid w:val="100F0D14"/>
    <w:rsid w:val="11423748"/>
    <w:rsid w:val="12A4111B"/>
    <w:rsid w:val="14A84145"/>
    <w:rsid w:val="14B61F01"/>
    <w:rsid w:val="1F17774C"/>
    <w:rsid w:val="21BE088A"/>
    <w:rsid w:val="23437136"/>
    <w:rsid w:val="244F186B"/>
    <w:rsid w:val="252B0AF5"/>
    <w:rsid w:val="274A1AF2"/>
    <w:rsid w:val="27D05DF5"/>
    <w:rsid w:val="2BD365FC"/>
    <w:rsid w:val="312A655A"/>
    <w:rsid w:val="35A748A2"/>
    <w:rsid w:val="35B7508B"/>
    <w:rsid w:val="3760235F"/>
    <w:rsid w:val="37F92C20"/>
    <w:rsid w:val="3C886BE6"/>
    <w:rsid w:val="3DF60563"/>
    <w:rsid w:val="3EB16EA9"/>
    <w:rsid w:val="44135090"/>
    <w:rsid w:val="479D1212"/>
    <w:rsid w:val="47A76B5A"/>
    <w:rsid w:val="48B71A0C"/>
    <w:rsid w:val="495A4728"/>
    <w:rsid w:val="4C4C4047"/>
    <w:rsid w:val="4E810DC6"/>
    <w:rsid w:val="503F0014"/>
    <w:rsid w:val="539775E0"/>
    <w:rsid w:val="53EC74C4"/>
    <w:rsid w:val="54F85BAE"/>
    <w:rsid w:val="59994F7B"/>
    <w:rsid w:val="5A047F39"/>
    <w:rsid w:val="609C3942"/>
    <w:rsid w:val="6417477E"/>
    <w:rsid w:val="64EE3E34"/>
    <w:rsid w:val="64F42226"/>
    <w:rsid w:val="65F558E6"/>
    <w:rsid w:val="682E6FBC"/>
    <w:rsid w:val="6BA543F7"/>
    <w:rsid w:val="6BF13AAE"/>
    <w:rsid w:val="6E0E443E"/>
    <w:rsid w:val="6F89004C"/>
    <w:rsid w:val="704E20F8"/>
    <w:rsid w:val="76276E96"/>
    <w:rsid w:val="763E4625"/>
    <w:rsid w:val="772963B7"/>
    <w:rsid w:val="7A3E1750"/>
    <w:rsid w:val="7AAF516B"/>
    <w:rsid w:val="7DB83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autoRedefine/>
    <w:qFormat/>
    <w:uiPriority w:val="0"/>
    <w:pPr>
      <w:tabs>
        <w:tab w:val="left" w:pos="5340"/>
      </w:tabs>
      <w:ind w:firstLine="420" w:firstLineChars="200"/>
    </w:pPr>
    <w:rPr>
      <w:rFonts w:eastAsia="仿宋_GB2312"/>
      <w:kern w:val="0"/>
      <w:sz w:val="28"/>
      <w:szCs w:val="20"/>
    </w:rPr>
  </w:style>
  <w:style w:type="paragraph" w:styleId="3">
    <w:name w:val="Body Text Indent"/>
    <w:basedOn w:val="1"/>
    <w:next w:val="2"/>
    <w:autoRedefine/>
    <w:qFormat/>
    <w:uiPriority w:val="0"/>
    <w:pPr>
      <w:spacing w:after="120"/>
      <w:ind w:left="420" w:leftChars="200"/>
    </w:pPr>
  </w:style>
  <w:style w:type="paragraph" w:styleId="4">
    <w:name w:val="Note Heading"/>
    <w:basedOn w:val="1"/>
    <w:next w:val="1"/>
    <w:autoRedefine/>
    <w:qFormat/>
    <w:uiPriority w:val="0"/>
    <w:pPr>
      <w:jc w:val="center"/>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wordWrap w:val="0"/>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222222"/>
      <w:u w:val="none"/>
    </w:rPr>
  </w:style>
  <w:style w:type="character" w:styleId="12">
    <w:name w:val="Hyperlink"/>
    <w:basedOn w:val="10"/>
    <w:autoRedefine/>
    <w:qFormat/>
    <w:uiPriority w:val="0"/>
    <w:rPr>
      <w:color w:val="222222"/>
      <w:u w:val="none"/>
    </w:rPr>
  </w:style>
  <w:style w:type="character" w:customStyle="1" w:styleId="13">
    <w:name w:val="time4"/>
    <w:basedOn w:val="10"/>
    <w:autoRedefine/>
    <w:qFormat/>
    <w:uiPriority w:val="0"/>
    <w:rPr>
      <w:color w:val="88888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267</Words>
  <Characters>1526</Characters>
  <Lines>12</Lines>
  <Paragraphs>3</Paragraphs>
  <TotalTime>0</TotalTime>
  <ScaleCrop>false</ScaleCrop>
  <LinksUpToDate>false</LinksUpToDate>
  <CharactersWithSpaces>1790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2024-12-05T07:30:00Z</dcterms:created>
  <dc:creator>Lenovo</dc:creator>
  <cp:lastModifiedBy>高晟李运华</cp:lastModifiedBy>
  <cp:lastPrinted>2021-06-26T00:01:00Z</cp:lastPrinted>
  <dcterms:modified xsi:type="dcterms:W3CDTF">2024-12-05T08:14:54Z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otCYQxs9Dbw2bUEn/Soxv9pYAoWsCRIsU8+gIbxzzmNcJN13+qHIPyWmbF9hFzPHyi2m8DLwi54E5OVVM5pJ0yGmgAiYTaR6oYUdYZxdjep6I9xviFUFZ9aTScfBW9OGu2H2dtkL1ETzuANOqHZG7g1uRboE/GJPWvAoyPsS1FsNbACQVm+atiq1eDw/TQ1chTz+2KOJ+qItzX39uNy9kLpBP8hsZLM1q7mTfdIoLFvNu6Pc03+Q6ITZD6qP96t</vt:lpwstr>
  </property>
  <property fmtid="{D5CDD505-2E9C-101B-9397-08002B2CF9AE}" pid="3" name="KSOProductBuildVer">
    <vt:lpwstr>2052-12.1.0.16388</vt:lpwstr>
  </property>
  <property fmtid="{D5CDD505-2E9C-101B-9397-08002B2CF9AE}" pid="4" name="ICV">
    <vt:lpwstr>898BF3762A544005B06CD559705C6200_13</vt:lpwstr>
  </property>
</Properties>
</file>