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00E48D">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ascii="方正小标宋简体" w:hAnsi="方正小标宋简体" w:eastAsia="方正小标宋简体" w:cs="方正小标宋简体"/>
          <w:sz w:val="44"/>
          <w:szCs w:val="44"/>
        </w:rPr>
        <w:instrText xml:space="preserve">ADDIN CNKISM.UserStyle</w:instrText>
      </w:r>
      <w:r>
        <w:rPr>
          <w:rFonts w:ascii="方正小标宋简体" w:hAnsi="方正小标宋简体" w:eastAsia="方正小标宋简体" w:cs="方正小标宋简体"/>
          <w:sz w:val="44"/>
          <w:szCs w:val="44"/>
        </w:rPr>
        <w:fldChar w:fldCharType="end"/>
      </w:r>
    </w:p>
    <w:p w14:paraId="271755A6">
      <w:pPr>
        <w:adjustRightInd w:val="0"/>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枣庄市顺翔科技发展有限公司</w:t>
      </w:r>
    </w:p>
    <w:p w14:paraId="543D6781">
      <w:pPr>
        <w:adjustRightInd w:val="0"/>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bookmarkStart w:id="0" w:name="_GoBack"/>
      <w:bookmarkEnd w:id="0"/>
      <w:r>
        <w:rPr>
          <w:rFonts w:hint="eastAsia" w:ascii="方正小标宋简体" w:hAnsi="方正小标宋简体" w:eastAsia="方正小标宋简体" w:cs="方正小标宋简体"/>
          <w:sz w:val="44"/>
          <w:szCs w:val="44"/>
        </w:rPr>
        <w:t>4年中期（1-6月）财务等重大信息公告</w:t>
      </w:r>
    </w:p>
    <w:p w14:paraId="5EBA14A6">
      <w:pPr>
        <w:spacing w:line="640" w:lineRule="exact"/>
        <w:ind w:firstLine="640" w:firstLineChars="200"/>
        <w:rPr>
          <w:rFonts w:ascii="黑体" w:hAnsi="黑体" w:eastAsia="黑体" w:cs="黑体"/>
          <w:sz w:val="32"/>
          <w:szCs w:val="32"/>
        </w:rPr>
      </w:pPr>
    </w:p>
    <w:p w14:paraId="4A8D91D4">
      <w:pPr>
        <w:spacing w:line="640" w:lineRule="exact"/>
        <w:jc w:val="center"/>
        <w:rPr>
          <w:rFonts w:ascii="黑体" w:hAnsi="黑体" w:eastAsia="黑体" w:cs="黑体"/>
          <w:sz w:val="32"/>
          <w:szCs w:val="32"/>
        </w:rPr>
      </w:pPr>
      <w:r>
        <w:rPr>
          <w:rFonts w:hint="eastAsia" w:ascii="黑体" w:hAnsi="黑体" w:eastAsia="黑体" w:cs="黑体"/>
          <w:sz w:val="32"/>
          <w:szCs w:val="32"/>
        </w:rPr>
        <w:t>重要提示</w:t>
      </w:r>
    </w:p>
    <w:p w14:paraId="7C3C76DF">
      <w:pPr>
        <w:pStyle w:val="2"/>
      </w:pPr>
    </w:p>
    <w:p w14:paraId="217012D2">
      <w:pPr>
        <w:spacing w:line="640" w:lineRule="exact"/>
        <w:ind w:firstLine="640" w:firstLineChars="200"/>
        <w:rPr>
          <w:rFonts w:ascii="黑体" w:hAnsi="黑体" w:eastAsia="黑体" w:cs="黑体"/>
          <w:sz w:val="32"/>
          <w:szCs w:val="32"/>
        </w:rPr>
      </w:pPr>
      <w:r>
        <w:rPr>
          <w:rFonts w:hint="eastAsia" w:ascii="黑体" w:hAnsi="黑体" w:eastAsia="黑体" w:cs="黑体"/>
          <w:sz w:val="32"/>
          <w:szCs w:val="32"/>
        </w:rPr>
        <w:t>本公司保证本公告内容不存在任何虚假记载、误导性陈述或者重大遗漏，并对其内容的真实性、准确性和完整性承担个别及连带责任。</w:t>
      </w:r>
    </w:p>
    <w:p w14:paraId="7569A6ED">
      <w:pPr>
        <w:rPr>
          <w:rFonts w:ascii="方正小标宋简体" w:hAnsi="方正小标宋简体" w:eastAsia="方正小标宋简体" w:cs="方正小标宋简体"/>
          <w:sz w:val="44"/>
          <w:szCs w:val="44"/>
        </w:rPr>
      </w:pPr>
    </w:p>
    <w:p w14:paraId="25D2E8F2">
      <w:pPr>
        <w:rPr>
          <w:rFonts w:ascii="黑体" w:hAnsi="黑体" w:eastAsia="黑体" w:cs="黑体"/>
          <w:sz w:val="32"/>
          <w:szCs w:val="32"/>
        </w:rPr>
      </w:pPr>
      <w:r>
        <w:rPr>
          <w:rFonts w:hint="eastAsia" w:ascii="黑体" w:hAnsi="黑体" w:eastAsia="黑体" w:cs="黑体"/>
          <w:sz w:val="32"/>
          <w:szCs w:val="32"/>
        </w:rPr>
        <w:br w:type="page"/>
      </w:r>
    </w:p>
    <w:p w14:paraId="784E5C90">
      <w:pPr>
        <w:adjustRightInd w:val="0"/>
        <w:snapToGrid w:val="0"/>
        <w:spacing w:line="550" w:lineRule="exact"/>
        <w:ind w:firstLine="640" w:firstLineChars="200"/>
        <w:rPr>
          <w:rFonts w:ascii="黑体" w:hAnsi="黑体" w:eastAsia="黑体" w:cs="黑体"/>
          <w:sz w:val="32"/>
          <w:szCs w:val="32"/>
        </w:rPr>
      </w:pPr>
      <w:r>
        <w:rPr>
          <w:rFonts w:hint="eastAsia" w:ascii="黑体" w:hAnsi="黑体" w:eastAsia="黑体" w:cs="黑体"/>
          <w:sz w:val="32"/>
          <w:szCs w:val="32"/>
        </w:rPr>
        <w:t>一、公司基本情况</w:t>
      </w:r>
    </w:p>
    <w:p w14:paraId="710C4724">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1.统一社会信用代码：91370400775277582Y</w:t>
      </w:r>
    </w:p>
    <w:p w14:paraId="4251E8F1">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2.企业名称：枣庄市顺翔科技发展有限公司</w:t>
      </w:r>
    </w:p>
    <w:p w14:paraId="224AEDE5">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3.法定代表人：杜臣。</w:t>
      </w:r>
    </w:p>
    <w:p w14:paraId="0E54B016">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4.类型：有限责任公司(非自然人投资或控股的法人独资)</w:t>
      </w:r>
    </w:p>
    <w:p w14:paraId="3477AA5F">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5.成立日期：2005年05月19日</w:t>
      </w:r>
    </w:p>
    <w:p w14:paraId="561AC37B">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6.注册资本：500万人民币</w:t>
      </w:r>
    </w:p>
    <w:p w14:paraId="63649DF8">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7.核准日期：2005年05月19日</w:t>
      </w:r>
    </w:p>
    <w:p w14:paraId="7C862B26">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8.营业期限自：2005年05月19日至无限期</w:t>
      </w:r>
    </w:p>
    <w:p w14:paraId="55C9A7FE">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9.登记机关：枣庄市行政审批服务局</w:t>
      </w:r>
    </w:p>
    <w:p w14:paraId="00410F0B">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10.登记状态：在营（开业）企业</w:t>
      </w:r>
    </w:p>
    <w:p w14:paraId="428330EE">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11.住所：山东省枣庄市薛城区永福南路</w:t>
      </w:r>
    </w:p>
    <w:p w14:paraId="0A075F23">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12.邮政编码：277000</w:t>
      </w:r>
    </w:p>
    <w:p w14:paraId="3E04A00C">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13．电子信箱:sxkj-123456@163.com</w:t>
      </w:r>
    </w:p>
    <w:p w14:paraId="46628FCC">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14.经营范围：一般项目：矿山机械制造 、矿山机械销售；煤炭及制品销售；照明器具制造、照明器具销售；五金产品制造 、五金产品零售；金属密封件制造、金属密封件销售；橡胶制品制造、橡胶制品销售；通用零部件制造 、通用设备制造（不含特种设备制造）；输配电及控制设备制造；金属链条及其他金属制品制造 、金属链条及其他金属制品销售；机械零件、零部件加工；机械零件、零部件销售；木材加工、木材销售；纸制品制造、纸制品销售；劳动保护用品生产、劳动保护用品销售 ；特种劳动防护用品销售；新能源原动设备销售；环境保护专用设备销售；建筑用钢筋产品销售；地质勘探和地震专用仪器销售；环境监测专用仪器仪表销售；轴承、齿轮和传动部件销售；高性能密封材料销售等；数字视频监控系统销售；显示器件销售；化工产品销售（不含许可类化工产品）；专用化学产品销售（不含危险化学品）；建筑工程机械与设备租赁；非居住房地产租赁；安全技术防范系统设计施工服务；普通机械设备安装服务；通用设备修理；电气设备修理；专用设备修理；金属制品修理；工业机器人安装、维修；计算机及办公设备维修；仪器仪表修理；服装制造；日用百货销售；广告制作；打字复印；办公用品销售；文具用品零售；蔬菜种植；新鲜蔬菜批发；食用农产品零售（除依法须经批准的项目外，凭营业执照依法自主开展经营活动）</w:t>
      </w:r>
    </w:p>
    <w:p w14:paraId="5864C306">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许可项目：文件、资料等其他印刷品印刷；各类工程建设活动；劳务派遣服务。（依法须经批准的项目，经相关部门批准后方可开展经营活动，具体经营项目以审批结果为准）</w:t>
      </w:r>
    </w:p>
    <w:p w14:paraId="45DE16D2">
      <w:pPr>
        <w:adjustRightInd w:val="0"/>
        <w:snapToGrid w:val="0"/>
        <w:spacing w:line="55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公司简介:枣庄市顺翔科技发展有限公司隶属于山东能源枣矿集团付村煤业有限公司，在薛城工业园区兴建的非煤经济实体，国有企业。公司于2005年5月成立，注册资金500万元，占地总面积30余亩。公司现有金属锚杆、中空注浆锚索、W钢带智能化、注塑机等全自动生产线；主要产品有：金属锚杆、中空注浆锚索、电缆夹板、W钢带、钢筋梯、树脂锚固剂、水泥锚固剂、C型钉、锚盘等，国家安标、生产许可证等证件齐全。同时具备建筑机电安装工程专业承包叁级、矿用设备维修、生产（共26项）及矿井上、下供变电所系统、运输系统、洗选系统等安装撤除五大资质。</w:t>
      </w:r>
    </w:p>
    <w:p w14:paraId="01B6E05F">
      <w:pPr>
        <w:spacing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二、主要会计数据和财务指标</w:t>
      </w:r>
    </w:p>
    <w:tbl>
      <w:tblPr>
        <w:tblStyle w:val="9"/>
        <w:tblW w:w="8520" w:type="dxa"/>
        <w:tblInd w:w="0" w:type="dxa"/>
        <w:tblLayout w:type="fixed"/>
        <w:tblCellMar>
          <w:top w:w="0" w:type="dxa"/>
          <w:left w:w="0" w:type="dxa"/>
          <w:bottom w:w="0" w:type="dxa"/>
          <w:right w:w="0" w:type="dxa"/>
        </w:tblCellMar>
      </w:tblPr>
      <w:tblGrid>
        <w:gridCol w:w="2223"/>
        <w:gridCol w:w="2280"/>
        <w:gridCol w:w="2281"/>
        <w:gridCol w:w="1736"/>
      </w:tblGrid>
      <w:tr w14:paraId="3864F8DD">
        <w:tblPrEx>
          <w:tblCellMar>
            <w:top w:w="0" w:type="dxa"/>
            <w:left w:w="0" w:type="dxa"/>
            <w:bottom w:w="0" w:type="dxa"/>
            <w:right w:w="0" w:type="dxa"/>
          </w:tblCellMar>
        </w:tblPrEx>
        <w:trPr>
          <w:trHeight w:val="517"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8CDD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主要指标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A65A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本期金额（万元）</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E13D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上期金额（万元）</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4E0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变动比例（%）</w:t>
            </w:r>
          </w:p>
        </w:tc>
      </w:tr>
      <w:tr w14:paraId="208220F7">
        <w:tblPrEx>
          <w:tblCellMar>
            <w:top w:w="0" w:type="dxa"/>
            <w:left w:w="0" w:type="dxa"/>
            <w:bottom w:w="0" w:type="dxa"/>
            <w:right w:w="0" w:type="dxa"/>
          </w:tblCellMar>
        </w:tblPrEx>
        <w:trPr>
          <w:trHeight w:val="455"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546A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营业收入</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8151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8</w:t>
            </w:r>
            <w:r>
              <w:rPr>
                <w:rFonts w:ascii="宋体" w:hAnsi="宋体" w:eastAsia="宋体" w:cs="宋体"/>
                <w:color w:val="000000" w:themeColor="text1"/>
                <w:sz w:val="22"/>
                <w:szCs w:val="22"/>
                <w14:textFill>
                  <w14:solidFill>
                    <w14:schemeClr w14:val="tx1"/>
                  </w14:solidFill>
                </w14:textFill>
              </w:rPr>
              <w:t>41.75</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4DDF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2577.28</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B3FE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宋体" w:hAnsi="宋体" w:eastAsia="宋体" w:cs="宋体"/>
                <w:color w:val="000000" w:themeColor="text1"/>
                <w:sz w:val="22"/>
                <w:szCs w:val="22"/>
                <w14:textFill>
                  <w14:solidFill>
                    <w14:schemeClr w14:val="tx1"/>
                  </w14:solidFill>
                </w14:textFill>
              </w:rPr>
              <w:t>67.34</w:t>
            </w:r>
            <w:r>
              <w:rPr>
                <w:rFonts w:hint="eastAsia" w:ascii="宋体" w:hAnsi="宋体" w:eastAsia="宋体" w:cs="宋体"/>
                <w:color w:val="000000" w:themeColor="text1"/>
                <w:sz w:val="22"/>
                <w:szCs w:val="22"/>
                <w14:textFill>
                  <w14:solidFill>
                    <w14:schemeClr w14:val="tx1"/>
                  </w14:solidFill>
                </w14:textFill>
              </w:rPr>
              <w:t>%</w:t>
            </w:r>
          </w:p>
        </w:tc>
      </w:tr>
      <w:tr w14:paraId="0F5A0E47">
        <w:tblPrEx>
          <w:tblCellMar>
            <w:top w:w="0" w:type="dxa"/>
            <w:left w:w="0" w:type="dxa"/>
            <w:bottom w:w="0" w:type="dxa"/>
            <w:right w:w="0" w:type="dxa"/>
          </w:tblCellMar>
        </w:tblPrEx>
        <w:trPr>
          <w:trHeight w:val="455"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3961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营业成本</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FDB4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5</w:t>
            </w:r>
            <w:r>
              <w:rPr>
                <w:rFonts w:ascii="宋体" w:hAnsi="宋体" w:eastAsia="宋体" w:cs="宋体"/>
                <w:color w:val="000000" w:themeColor="text1"/>
                <w:sz w:val="22"/>
                <w:szCs w:val="22"/>
                <w14:textFill>
                  <w14:solidFill>
                    <w14:schemeClr w14:val="tx1"/>
                  </w14:solidFill>
                </w14:textFill>
              </w:rPr>
              <w:t>82.50</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CE01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2208.75</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B78E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宋体" w:hAnsi="宋体" w:eastAsia="宋体" w:cs="宋体"/>
                <w:color w:val="000000" w:themeColor="text1"/>
                <w:sz w:val="22"/>
                <w:szCs w:val="22"/>
                <w14:textFill>
                  <w14:solidFill>
                    <w14:schemeClr w14:val="tx1"/>
                  </w14:solidFill>
                </w14:textFill>
              </w:rPr>
              <w:t>73.63</w:t>
            </w:r>
            <w:r>
              <w:rPr>
                <w:rFonts w:hint="eastAsia" w:ascii="宋体" w:hAnsi="宋体" w:eastAsia="宋体" w:cs="宋体"/>
                <w:color w:val="000000" w:themeColor="text1"/>
                <w:sz w:val="22"/>
                <w:szCs w:val="22"/>
                <w14:textFill>
                  <w14:solidFill>
                    <w14:schemeClr w14:val="tx1"/>
                  </w14:solidFill>
                </w14:textFill>
              </w:rPr>
              <w:t>%</w:t>
            </w:r>
          </w:p>
        </w:tc>
      </w:tr>
      <w:tr w14:paraId="0F0014EE">
        <w:tblPrEx>
          <w:tblCellMar>
            <w:top w:w="0" w:type="dxa"/>
            <w:left w:w="0" w:type="dxa"/>
            <w:bottom w:w="0" w:type="dxa"/>
            <w:right w:w="0" w:type="dxa"/>
          </w:tblCellMar>
        </w:tblPrEx>
        <w:trPr>
          <w:trHeight w:val="455"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1426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销售费用</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13D9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0</w:t>
            </w:r>
            <w:r>
              <w:rPr>
                <w:rFonts w:ascii="宋体" w:hAnsi="宋体" w:eastAsia="宋体" w:cs="宋体"/>
                <w:color w:val="000000" w:themeColor="text1"/>
                <w:sz w:val="22"/>
                <w:szCs w:val="22"/>
                <w14:textFill>
                  <w14:solidFill>
                    <w14:schemeClr w14:val="tx1"/>
                  </w14:solidFill>
                </w14:textFill>
              </w:rPr>
              <w:t>.54</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A0DD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0.69</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06F6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w:t>
            </w:r>
            <w:r>
              <w:rPr>
                <w:rFonts w:ascii="仿宋_GB2312" w:hAnsi="仿宋_GB2312" w:eastAsia="仿宋_GB2312" w:cs="仿宋_GB2312"/>
                <w:color w:val="000000" w:themeColor="text1"/>
                <w:sz w:val="28"/>
                <w:szCs w:val="28"/>
                <w14:textFill>
                  <w14:solidFill>
                    <w14:schemeClr w14:val="tx1"/>
                  </w14:solidFill>
                </w14:textFill>
              </w:rPr>
              <w:t>1.66</w:t>
            </w:r>
            <w:r>
              <w:rPr>
                <w:rFonts w:hint="eastAsia" w:ascii="宋体" w:hAnsi="宋体" w:eastAsia="宋体" w:cs="宋体"/>
                <w:color w:val="000000" w:themeColor="text1"/>
                <w:sz w:val="22"/>
                <w:szCs w:val="22"/>
                <w14:textFill>
                  <w14:solidFill>
                    <w14:schemeClr w14:val="tx1"/>
                  </w14:solidFill>
                </w14:textFill>
              </w:rPr>
              <w:t>%</w:t>
            </w:r>
          </w:p>
        </w:tc>
      </w:tr>
      <w:tr w14:paraId="23D5C4AF">
        <w:tblPrEx>
          <w:tblCellMar>
            <w:top w:w="0" w:type="dxa"/>
            <w:left w:w="0" w:type="dxa"/>
            <w:bottom w:w="0" w:type="dxa"/>
            <w:right w:w="0" w:type="dxa"/>
          </w:tblCellMar>
        </w:tblPrEx>
        <w:trPr>
          <w:trHeight w:val="44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65D9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管理费用</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2747E">
            <w:pPr>
              <w:widowControl/>
              <w:ind w:firstLine="660" w:firstLineChars="300"/>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r>
              <w:rPr>
                <w:rFonts w:ascii="宋体" w:hAnsi="宋体" w:eastAsia="宋体" w:cs="宋体"/>
                <w:color w:val="000000" w:themeColor="text1"/>
                <w:sz w:val="22"/>
                <w:szCs w:val="22"/>
                <w14:textFill>
                  <w14:solidFill>
                    <w14:schemeClr w14:val="tx1"/>
                  </w14:solidFill>
                </w14:textFill>
              </w:rPr>
              <w:t>08.36</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8EC14">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w:t>
            </w:r>
            <w:r>
              <w:rPr>
                <w:rFonts w:ascii="宋体" w:hAnsi="宋体" w:eastAsia="宋体" w:cs="宋体"/>
                <w:color w:val="000000" w:themeColor="text1"/>
                <w:sz w:val="22"/>
                <w:szCs w:val="22"/>
                <w14:textFill>
                  <w14:solidFill>
                    <w14:schemeClr w14:val="tx1"/>
                  </w14:solidFill>
                </w14:textFill>
              </w:rPr>
              <w:t>227.71</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6F89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w:t>
            </w:r>
            <w:r>
              <w:rPr>
                <w:rFonts w:ascii="仿宋_GB2312" w:hAnsi="仿宋_GB2312" w:eastAsia="仿宋_GB2312" w:cs="仿宋_GB2312"/>
                <w:color w:val="000000" w:themeColor="text1"/>
                <w:sz w:val="28"/>
                <w:szCs w:val="28"/>
                <w14:textFill>
                  <w14:solidFill>
                    <w14:schemeClr w14:val="tx1"/>
                  </w14:solidFill>
                </w14:textFill>
              </w:rPr>
              <w:t>.50</w:t>
            </w:r>
            <w:r>
              <w:rPr>
                <w:rFonts w:hint="eastAsia" w:ascii="宋体" w:hAnsi="宋体" w:eastAsia="宋体" w:cs="宋体"/>
                <w:color w:val="000000" w:themeColor="text1"/>
                <w:sz w:val="22"/>
                <w:szCs w:val="22"/>
                <w14:textFill>
                  <w14:solidFill>
                    <w14:schemeClr w14:val="tx1"/>
                  </w14:solidFill>
                </w14:textFill>
              </w:rPr>
              <w:t>%</w:t>
            </w:r>
          </w:p>
        </w:tc>
      </w:tr>
      <w:tr w14:paraId="484BB4EC">
        <w:tblPrEx>
          <w:tblCellMar>
            <w:top w:w="0" w:type="dxa"/>
            <w:left w:w="0" w:type="dxa"/>
            <w:bottom w:w="0" w:type="dxa"/>
            <w:right w:w="0" w:type="dxa"/>
          </w:tblCellMar>
        </w:tblPrEx>
        <w:trPr>
          <w:trHeight w:val="41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9EBE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营业利润</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2049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r>
              <w:rPr>
                <w:rFonts w:ascii="宋体" w:hAnsi="宋体" w:eastAsia="宋体" w:cs="宋体"/>
                <w:color w:val="000000" w:themeColor="text1"/>
                <w:sz w:val="22"/>
                <w:szCs w:val="22"/>
                <w14:textFill>
                  <w14:solidFill>
                    <w14:schemeClr w14:val="tx1"/>
                  </w14:solidFill>
                </w14:textFill>
              </w:rPr>
              <w:t>7.30</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73AA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96.57</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FDAF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r>
              <w:rPr>
                <w:rFonts w:ascii="仿宋_GB2312" w:hAnsi="仿宋_GB2312" w:eastAsia="仿宋_GB2312" w:cs="仿宋_GB2312"/>
                <w:color w:val="000000" w:themeColor="text1"/>
                <w:sz w:val="28"/>
                <w:szCs w:val="28"/>
                <w14:textFill>
                  <w14:solidFill>
                    <w14:schemeClr w14:val="tx1"/>
                  </w14:solidFill>
                </w14:textFill>
              </w:rPr>
              <w:t>1.73</w:t>
            </w:r>
            <w:r>
              <w:rPr>
                <w:rFonts w:hint="eastAsia" w:ascii="宋体" w:hAnsi="宋体" w:eastAsia="宋体" w:cs="宋体"/>
                <w:color w:val="000000" w:themeColor="text1"/>
                <w:sz w:val="22"/>
                <w:szCs w:val="22"/>
                <w14:textFill>
                  <w14:solidFill>
                    <w14:schemeClr w14:val="tx1"/>
                  </w14:solidFill>
                </w14:textFill>
              </w:rPr>
              <w:t>%</w:t>
            </w:r>
          </w:p>
        </w:tc>
      </w:tr>
      <w:tr w14:paraId="0A111782">
        <w:tblPrEx>
          <w:tblCellMar>
            <w:top w:w="0" w:type="dxa"/>
            <w:left w:w="0" w:type="dxa"/>
            <w:bottom w:w="0" w:type="dxa"/>
            <w:right w:w="0" w:type="dxa"/>
          </w:tblCellMar>
        </w:tblPrEx>
        <w:trPr>
          <w:trHeight w:val="425"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705A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营业外收支</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B3E9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w:t>
            </w:r>
            <w:r>
              <w:rPr>
                <w:rFonts w:ascii="宋体" w:hAnsi="宋体" w:eastAsia="宋体" w:cs="宋体"/>
                <w:color w:val="000000" w:themeColor="text1"/>
                <w:sz w:val="22"/>
                <w:szCs w:val="22"/>
                <w14:textFill>
                  <w14:solidFill>
                    <w14:schemeClr w14:val="tx1"/>
                  </w14:solidFill>
                </w14:textFill>
              </w:rPr>
              <w:t>0.56</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60B5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0</w:t>
            </w:r>
            <w:r>
              <w:rPr>
                <w:rFonts w:ascii="宋体" w:hAnsi="宋体" w:eastAsia="宋体" w:cs="宋体"/>
                <w:color w:val="000000" w:themeColor="text1"/>
                <w:sz w:val="22"/>
                <w:szCs w:val="22"/>
                <w14:textFill>
                  <w14:solidFill>
                    <w14:schemeClr w14:val="tx1"/>
                  </w14:solidFill>
                </w14:textFill>
              </w:rPr>
              <w:t>.06</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C8BF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kern w:val="0"/>
                <w:sz w:val="28"/>
                <w:szCs w:val="28"/>
                <w:lang w:bidi="ar"/>
                <w14:textFill>
                  <w14:solidFill>
                    <w14:schemeClr w14:val="tx1"/>
                  </w14:solidFill>
                </w14:textFill>
              </w:rPr>
              <w:t>8</w:t>
            </w:r>
            <w:r>
              <w:rPr>
                <w:rFonts w:ascii="仿宋_GB2312" w:hAnsi="仿宋_GB2312" w:eastAsia="仿宋_GB2312" w:cs="仿宋_GB2312"/>
                <w:color w:val="000000" w:themeColor="text1"/>
                <w:kern w:val="0"/>
                <w:sz w:val="28"/>
                <w:szCs w:val="28"/>
                <w:lang w:bidi="ar"/>
                <w14:textFill>
                  <w14:solidFill>
                    <w14:schemeClr w14:val="tx1"/>
                  </w14:solidFill>
                </w14:textFill>
              </w:rPr>
              <w:t>95.30</w:t>
            </w:r>
            <w:r>
              <w:rPr>
                <w:rFonts w:hint="eastAsia" w:ascii="宋体" w:hAnsi="宋体" w:eastAsia="宋体" w:cs="宋体"/>
                <w:color w:val="000000" w:themeColor="text1"/>
                <w:sz w:val="22"/>
                <w:szCs w:val="22"/>
                <w14:textFill>
                  <w14:solidFill>
                    <w14:schemeClr w14:val="tx1"/>
                  </w14:solidFill>
                </w14:textFill>
              </w:rPr>
              <w:t>%</w:t>
            </w:r>
          </w:p>
        </w:tc>
      </w:tr>
      <w:tr w14:paraId="36A12F69">
        <w:tblPrEx>
          <w:tblCellMar>
            <w:top w:w="0" w:type="dxa"/>
            <w:left w:w="0" w:type="dxa"/>
            <w:bottom w:w="0" w:type="dxa"/>
            <w:right w:w="0" w:type="dxa"/>
          </w:tblCellMar>
        </w:tblPrEx>
        <w:trPr>
          <w:trHeight w:val="455"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5942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利润总额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D948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26.74</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1E00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96.52</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A6E6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r>
              <w:rPr>
                <w:rFonts w:ascii="仿宋_GB2312" w:hAnsi="仿宋_GB2312" w:eastAsia="仿宋_GB2312" w:cs="仿宋_GB2312"/>
                <w:color w:val="000000" w:themeColor="text1"/>
                <w:sz w:val="28"/>
                <w:szCs w:val="28"/>
                <w14:textFill>
                  <w14:solidFill>
                    <w14:schemeClr w14:val="tx1"/>
                  </w14:solidFill>
                </w14:textFill>
              </w:rPr>
              <w:t>2.29</w:t>
            </w:r>
            <w:r>
              <w:rPr>
                <w:rFonts w:hint="eastAsia" w:ascii="宋体" w:hAnsi="宋体" w:eastAsia="宋体" w:cs="宋体"/>
                <w:color w:val="000000" w:themeColor="text1"/>
                <w:sz w:val="22"/>
                <w:szCs w:val="22"/>
                <w14:textFill>
                  <w14:solidFill>
                    <w14:schemeClr w14:val="tx1"/>
                  </w14:solidFill>
                </w14:textFill>
              </w:rPr>
              <w:t>%</w:t>
            </w:r>
          </w:p>
        </w:tc>
      </w:tr>
      <w:tr w14:paraId="09154B4A">
        <w:tblPrEx>
          <w:tblCellMar>
            <w:top w:w="0" w:type="dxa"/>
            <w:left w:w="0" w:type="dxa"/>
            <w:bottom w:w="0" w:type="dxa"/>
            <w:right w:w="0" w:type="dxa"/>
          </w:tblCellMar>
        </w:tblPrEx>
        <w:trPr>
          <w:trHeight w:val="455"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3982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税费总额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79AD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7</w:t>
            </w:r>
            <w:r>
              <w:rPr>
                <w:rFonts w:ascii="宋体" w:hAnsi="宋体" w:eastAsia="宋体" w:cs="宋体"/>
                <w:color w:val="000000" w:themeColor="text1"/>
                <w:sz w:val="22"/>
                <w:szCs w:val="22"/>
                <w14:textFill>
                  <w14:solidFill>
                    <w14:schemeClr w14:val="tx1"/>
                  </w14:solidFill>
                </w14:textFill>
              </w:rPr>
              <w:t>4.28</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636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152.82</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4661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w:t>
            </w:r>
            <w:r>
              <w:rPr>
                <w:rFonts w:ascii="仿宋_GB2312" w:hAnsi="仿宋_GB2312" w:eastAsia="仿宋_GB2312" w:cs="仿宋_GB2312"/>
                <w:color w:val="000000" w:themeColor="text1"/>
                <w:sz w:val="28"/>
                <w:szCs w:val="28"/>
                <w14:textFill>
                  <w14:solidFill>
                    <w14:schemeClr w14:val="tx1"/>
                  </w14:solidFill>
                </w14:textFill>
              </w:rPr>
              <w:t>1.39</w:t>
            </w:r>
            <w:r>
              <w:rPr>
                <w:rFonts w:hint="eastAsia" w:ascii="宋体" w:hAnsi="宋体" w:eastAsia="宋体" w:cs="宋体"/>
                <w:color w:val="000000" w:themeColor="text1"/>
                <w:sz w:val="22"/>
                <w:szCs w:val="22"/>
                <w14:textFill>
                  <w14:solidFill>
                    <w14:schemeClr w14:val="tx1"/>
                  </w14:solidFill>
                </w14:textFill>
              </w:rPr>
              <w:t>%</w:t>
            </w:r>
          </w:p>
        </w:tc>
      </w:tr>
      <w:tr w14:paraId="1D909F4F">
        <w:tblPrEx>
          <w:tblCellMar>
            <w:top w:w="0" w:type="dxa"/>
            <w:left w:w="0" w:type="dxa"/>
            <w:bottom w:w="0" w:type="dxa"/>
            <w:right w:w="0" w:type="dxa"/>
          </w:tblCellMar>
        </w:tblPrEx>
        <w:trPr>
          <w:trHeight w:val="47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858C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净利润</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4256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23.34</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6003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94.33</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BB79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w:t>
            </w:r>
            <w:r>
              <w:rPr>
                <w:rFonts w:ascii="仿宋_GB2312" w:hAnsi="仿宋_GB2312" w:eastAsia="仿宋_GB2312" w:cs="仿宋_GB2312"/>
                <w:color w:val="000000" w:themeColor="text1"/>
                <w:sz w:val="28"/>
                <w:szCs w:val="28"/>
                <w14:textFill>
                  <w14:solidFill>
                    <w14:schemeClr w14:val="tx1"/>
                  </w14:solidFill>
                </w14:textFill>
              </w:rPr>
              <w:t>5.26</w:t>
            </w:r>
            <w:r>
              <w:rPr>
                <w:rFonts w:hint="eastAsia" w:ascii="宋体" w:hAnsi="宋体" w:eastAsia="宋体" w:cs="宋体"/>
                <w:color w:val="000000" w:themeColor="text1"/>
                <w:sz w:val="22"/>
                <w:szCs w:val="22"/>
                <w14:textFill>
                  <w14:solidFill>
                    <w14:schemeClr w14:val="tx1"/>
                  </w14:solidFill>
                </w14:textFill>
              </w:rPr>
              <w:t>%</w:t>
            </w:r>
          </w:p>
        </w:tc>
      </w:tr>
      <w:tr w14:paraId="46D5926F">
        <w:tblPrEx>
          <w:tblCellMar>
            <w:top w:w="0" w:type="dxa"/>
            <w:left w:w="0" w:type="dxa"/>
            <w:bottom w:w="0" w:type="dxa"/>
            <w:right w:w="0" w:type="dxa"/>
          </w:tblCellMar>
        </w:tblPrEx>
        <w:trPr>
          <w:trHeight w:val="455"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2E22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营业利润率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0E0B5">
            <w:pPr>
              <w:widowControl/>
              <w:ind w:firstLine="880" w:firstLineChars="400"/>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3</w:t>
            </w:r>
            <w:r>
              <w:rPr>
                <w:rFonts w:ascii="宋体" w:hAnsi="宋体" w:eastAsia="宋体" w:cs="宋体"/>
                <w:color w:val="000000" w:themeColor="text1"/>
                <w:sz w:val="22"/>
                <w:szCs w:val="22"/>
                <w14:textFill>
                  <w14:solidFill>
                    <w14:schemeClr w14:val="tx1"/>
                  </w14:solidFill>
                </w14:textFill>
              </w:rPr>
              <w:t>.24%</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F842C">
            <w:pPr>
              <w:widowControl/>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 xml:space="preserve">        </w:t>
            </w:r>
            <w:r>
              <w:rPr>
                <w:rFonts w:ascii="宋体" w:hAnsi="宋体" w:eastAsia="宋体" w:cs="宋体"/>
                <w:color w:val="000000" w:themeColor="text1"/>
                <w:sz w:val="22"/>
                <w:szCs w:val="22"/>
                <w14:textFill>
                  <w14:solidFill>
                    <w14:schemeClr w14:val="tx1"/>
                  </w14:solidFill>
                </w14:textFill>
              </w:rPr>
              <w:t>3.75</w:t>
            </w:r>
            <w:r>
              <w:rPr>
                <w:rFonts w:hint="eastAsia" w:ascii="宋体" w:hAnsi="宋体" w:eastAsia="宋体" w:cs="宋体"/>
                <w:color w:val="000000" w:themeColor="text1"/>
                <w:sz w:val="22"/>
                <w:szCs w:val="22"/>
                <w14:textFill>
                  <w14:solidFill>
                    <w14:schemeClr w14:val="tx1"/>
                  </w14:solidFill>
                </w14:textFill>
              </w:rPr>
              <w:t>%</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D5FE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14:textFill>
                  <w14:solidFill>
                    <w14:schemeClr w14:val="tx1"/>
                  </w14:solidFill>
                </w14:textFill>
              </w:rPr>
              <w:t>3.60</w:t>
            </w:r>
            <w:r>
              <w:rPr>
                <w:rFonts w:hint="eastAsia" w:ascii="宋体" w:hAnsi="宋体" w:eastAsia="宋体" w:cs="宋体"/>
                <w:color w:val="000000" w:themeColor="text1"/>
                <w:sz w:val="22"/>
                <w:szCs w:val="22"/>
                <w14:textFill>
                  <w14:solidFill>
                    <w14:schemeClr w14:val="tx1"/>
                  </w14:solidFill>
                </w14:textFill>
              </w:rPr>
              <w:t>%</w:t>
            </w:r>
          </w:p>
        </w:tc>
      </w:tr>
      <w:tr w14:paraId="0463C720">
        <w:tblPrEx>
          <w:tblCellMar>
            <w:top w:w="0" w:type="dxa"/>
            <w:left w:w="0" w:type="dxa"/>
            <w:bottom w:w="0" w:type="dxa"/>
            <w:right w:w="0" w:type="dxa"/>
          </w:tblCellMar>
        </w:tblPrEx>
        <w:trPr>
          <w:trHeight w:val="485"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CEBA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净资产收益率</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77B8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2</w:t>
            </w:r>
            <w:r>
              <w:rPr>
                <w:rFonts w:ascii="宋体" w:hAnsi="宋体" w:eastAsia="宋体" w:cs="宋体"/>
                <w:color w:val="000000" w:themeColor="text1"/>
                <w:sz w:val="22"/>
                <w:szCs w:val="22"/>
                <w14:textFill>
                  <w14:solidFill>
                    <w14:schemeClr w14:val="tx1"/>
                  </w14:solidFill>
                </w14:textFill>
              </w:rPr>
              <w:t>6.42%</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FEF4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-135.51</w:t>
            </w:r>
            <w:r>
              <w:rPr>
                <w:rFonts w:hint="eastAsia" w:ascii="宋体" w:hAnsi="宋体" w:eastAsia="宋体" w:cs="宋体"/>
                <w:color w:val="000000" w:themeColor="text1"/>
                <w:sz w:val="22"/>
                <w:szCs w:val="22"/>
                <w14:textFill>
                  <w14:solidFill>
                    <w14:schemeClr w14:val="tx1"/>
                  </w14:solidFill>
                </w14:textFill>
              </w:rPr>
              <w:t>%</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12F6B">
            <w:pPr>
              <w:widowControl/>
              <w:ind w:firstLine="280" w:firstLineChars="100"/>
              <w:textAlignment w:val="center"/>
              <w:rPr>
                <w:rFonts w:ascii="宋体" w:hAnsi="宋体" w:eastAsia="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w:t>
            </w:r>
            <w:r>
              <w:rPr>
                <w:rFonts w:ascii="宋体" w:hAnsi="宋体" w:eastAsia="宋体" w:cs="宋体"/>
                <w:color w:val="000000" w:themeColor="text1"/>
                <w:sz w:val="22"/>
                <w:szCs w:val="22"/>
                <w14:textFill>
                  <w14:solidFill>
                    <w14:schemeClr w14:val="tx1"/>
                  </w14:solidFill>
                </w14:textFill>
              </w:rPr>
              <w:t>119.50</w:t>
            </w:r>
            <w:r>
              <w:rPr>
                <w:rFonts w:hint="eastAsia" w:ascii="宋体" w:hAnsi="宋体" w:eastAsia="宋体" w:cs="宋体"/>
                <w:color w:val="000000" w:themeColor="text1"/>
                <w:sz w:val="22"/>
                <w:szCs w:val="22"/>
                <w14:textFill>
                  <w14:solidFill>
                    <w14:schemeClr w14:val="tx1"/>
                  </w14:solidFill>
                </w14:textFill>
              </w:rPr>
              <w:t>%</w:t>
            </w:r>
          </w:p>
        </w:tc>
      </w:tr>
      <w:tr w14:paraId="36F3E20A">
        <w:tblPrEx>
          <w:tblCellMar>
            <w:top w:w="0" w:type="dxa"/>
            <w:left w:w="0" w:type="dxa"/>
            <w:bottom w:w="0" w:type="dxa"/>
            <w:right w:w="0" w:type="dxa"/>
          </w:tblCellMar>
        </w:tblPrEx>
        <w:trPr>
          <w:trHeight w:val="478"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72DF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主要指标</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564E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期末金额（万元）</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20716">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年初金额（万元）</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C85C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变动比例（%）</w:t>
            </w:r>
          </w:p>
        </w:tc>
      </w:tr>
      <w:tr w14:paraId="3A3A24D7">
        <w:tblPrEx>
          <w:tblCellMar>
            <w:top w:w="0" w:type="dxa"/>
            <w:left w:w="0" w:type="dxa"/>
            <w:bottom w:w="0" w:type="dxa"/>
            <w:right w:w="0" w:type="dxa"/>
          </w:tblCellMar>
        </w:tblPrEx>
        <w:trPr>
          <w:trHeight w:val="410"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C182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资产总额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6F9A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r>
              <w:rPr>
                <w:rFonts w:ascii="宋体" w:hAnsi="宋体" w:eastAsia="宋体" w:cs="宋体"/>
                <w:color w:val="000000" w:themeColor="text1"/>
                <w:sz w:val="22"/>
                <w:szCs w:val="22"/>
                <w14:textFill>
                  <w14:solidFill>
                    <w14:schemeClr w14:val="tx1"/>
                  </w14:solidFill>
                </w14:textFill>
              </w:rPr>
              <w:t>703.94</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3F66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2144.69</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8FBD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宋体" w:hAnsi="宋体" w:eastAsia="宋体" w:cs="宋体"/>
                <w:color w:val="000000" w:themeColor="text1"/>
                <w:sz w:val="22"/>
                <w:szCs w:val="22"/>
                <w14:textFill>
                  <w14:solidFill>
                    <w14:schemeClr w14:val="tx1"/>
                  </w14:solidFill>
                </w14:textFill>
              </w:rPr>
              <w:t>20.55</w:t>
            </w:r>
            <w:r>
              <w:rPr>
                <w:rFonts w:hint="eastAsia" w:ascii="宋体" w:hAnsi="宋体" w:eastAsia="宋体" w:cs="宋体"/>
                <w:color w:val="000000" w:themeColor="text1"/>
                <w:sz w:val="22"/>
                <w:szCs w:val="22"/>
                <w14:textFill>
                  <w14:solidFill>
                    <w14:schemeClr w14:val="tx1"/>
                  </w14:solidFill>
                </w14:textFill>
              </w:rPr>
              <w:t>%</w:t>
            </w:r>
          </w:p>
        </w:tc>
      </w:tr>
      <w:tr w14:paraId="65D76080">
        <w:tblPrEx>
          <w:tblCellMar>
            <w:top w:w="0" w:type="dxa"/>
            <w:left w:w="0" w:type="dxa"/>
            <w:bottom w:w="0" w:type="dxa"/>
            <w:right w:w="0" w:type="dxa"/>
          </w:tblCellMar>
        </w:tblPrEx>
        <w:trPr>
          <w:trHeight w:val="485"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5AB6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负债总额</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133F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r>
              <w:rPr>
                <w:rFonts w:ascii="宋体" w:hAnsi="宋体" w:eastAsia="宋体" w:cs="宋体"/>
                <w:color w:val="000000" w:themeColor="text1"/>
                <w:sz w:val="22"/>
                <w:szCs w:val="22"/>
                <w14:textFill>
                  <w14:solidFill>
                    <w14:schemeClr w14:val="tx1"/>
                  </w14:solidFill>
                </w14:textFill>
              </w:rPr>
              <w:t>593.04</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A900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2078.93</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BC49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宋体" w:hAnsi="宋体" w:eastAsia="宋体" w:cs="宋体"/>
                <w:color w:val="000000" w:themeColor="text1"/>
                <w:sz w:val="22"/>
                <w:szCs w:val="22"/>
                <w14:textFill>
                  <w14:solidFill>
                    <w14:schemeClr w14:val="tx1"/>
                  </w14:solidFill>
                </w14:textFill>
              </w:rPr>
              <w:t>23.37</w:t>
            </w:r>
            <w:r>
              <w:rPr>
                <w:rFonts w:hint="eastAsia" w:ascii="宋体" w:hAnsi="宋体" w:eastAsia="宋体" w:cs="宋体"/>
                <w:color w:val="000000" w:themeColor="text1"/>
                <w:sz w:val="22"/>
                <w:szCs w:val="22"/>
                <w14:textFill>
                  <w14:solidFill>
                    <w14:schemeClr w14:val="tx1"/>
                  </w14:solidFill>
                </w14:textFill>
              </w:rPr>
              <w:t>%</w:t>
            </w:r>
          </w:p>
        </w:tc>
      </w:tr>
      <w:tr w14:paraId="65E9494C">
        <w:tblPrEx>
          <w:tblCellMar>
            <w:top w:w="0" w:type="dxa"/>
            <w:left w:w="0" w:type="dxa"/>
            <w:bottom w:w="0" w:type="dxa"/>
            <w:right w:w="0" w:type="dxa"/>
          </w:tblCellMar>
        </w:tblPrEx>
        <w:trPr>
          <w:trHeight w:val="465" w:hRule="atLeast"/>
        </w:trPr>
        <w:tc>
          <w:tcPr>
            <w:tcW w:w="2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0AD23">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14:textFill>
                  <w14:solidFill>
                    <w14:schemeClr w14:val="tx1"/>
                  </w14:solidFill>
                </w14:textFill>
              </w:rPr>
              <w:t>所有者权益</w:t>
            </w:r>
          </w:p>
        </w:tc>
        <w:tc>
          <w:tcPr>
            <w:tcW w:w="2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34A6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1</w:t>
            </w:r>
            <w:r>
              <w:rPr>
                <w:rFonts w:ascii="宋体" w:hAnsi="宋体" w:eastAsia="宋体" w:cs="宋体"/>
                <w:color w:val="000000" w:themeColor="text1"/>
                <w:sz w:val="22"/>
                <w:szCs w:val="22"/>
                <w14:textFill>
                  <w14:solidFill>
                    <w14:schemeClr w14:val="tx1"/>
                  </w14:solidFill>
                </w14:textFill>
              </w:rPr>
              <w:t>10.9</w:t>
            </w:r>
          </w:p>
        </w:tc>
        <w:tc>
          <w:tcPr>
            <w:tcW w:w="22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75FE1">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ascii="宋体" w:hAnsi="宋体" w:eastAsia="宋体" w:cs="宋体"/>
                <w:color w:val="000000" w:themeColor="text1"/>
                <w:sz w:val="22"/>
                <w:szCs w:val="22"/>
                <w14:textFill>
                  <w14:solidFill>
                    <w14:schemeClr w14:val="tx1"/>
                  </w14:solidFill>
                </w14:textFill>
              </w:rPr>
              <w:t>65.76</w:t>
            </w:r>
          </w:p>
        </w:tc>
        <w:tc>
          <w:tcPr>
            <w:tcW w:w="1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1536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仿宋_GB2312" w:hAnsi="仿宋_GB2312" w:eastAsia="仿宋_GB2312" w:cs="仿宋_GB2312"/>
                <w:color w:val="000000" w:themeColor="text1"/>
                <w:kern w:val="0"/>
                <w:sz w:val="28"/>
                <w:szCs w:val="28"/>
                <w:lang w:bidi="ar"/>
                <w14:textFill>
                  <w14:solidFill>
                    <w14:schemeClr w14:val="tx1"/>
                  </w14:solidFill>
                </w14:textFill>
              </w:rPr>
              <w:t>↑</w:t>
            </w:r>
            <w:r>
              <w:rPr>
                <w:rFonts w:ascii="宋体" w:hAnsi="宋体" w:eastAsia="宋体" w:cs="宋体"/>
                <w:color w:val="000000" w:themeColor="text1"/>
                <w:sz w:val="22"/>
                <w:szCs w:val="22"/>
                <w14:textFill>
                  <w14:solidFill>
                    <w14:schemeClr w14:val="tx1"/>
                  </w14:solidFill>
                </w14:textFill>
              </w:rPr>
              <w:t>68.64</w:t>
            </w:r>
            <w:r>
              <w:rPr>
                <w:rFonts w:hint="eastAsia" w:ascii="宋体" w:hAnsi="宋体" w:eastAsia="宋体" w:cs="宋体"/>
                <w:color w:val="000000" w:themeColor="text1"/>
                <w:sz w:val="22"/>
                <w:szCs w:val="22"/>
                <w14:textFill>
                  <w14:solidFill>
                    <w14:schemeClr w14:val="tx1"/>
                  </w14:solidFill>
                </w14:textFill>
              </w:rPr>
              <w:t>%</w:t>
            </w:r>
          </w:p>
        </w:tc>
      </w:tr>
    </w:tbl>
    <w:p w14:paraId="46B86083">
      <w:pPr>
        <w:pStyle w:val="7"/>
        <w:adjustRightInd w:val="0"/>
        <w:snapToGrid w:val="0"/>
        <w:spacing w:line="54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以上均为财务报表数据。</w:t>
      </w:r>
    </w:p>
    <w:p w14:paraId="0DF79F3D">
      <w:pPr>
        <w:adjustRightInd w:val="0"/>
        <w:snapToGrid w:val="0"/>
        <w:spacing w:line="560" w:lineRule="exact"/>
        <w:ind w:firstLine="640" w:firstLineChars="200"/>
        <w:rPr>
          <w:rFonts w:ascii="仿宋_GB2312" w:eastAsia="仿宋_GB2312" w:cs="黑体"/>
          <w:color w:val="000000" w:themeColor="text1"/>
          <w:sz w:val="32"/>
          <w:szCs w:val="32"/>
          <w14:textFill>
            <w14:solidFill>
              <w14:schemeClr w14:val="tx1"/>
            </w14:solidFill>
          </w14:textFill>
        </w:rPr>
      </w:pPr>
      <w:r>
        <w:rPr>
          <w:rFonts w:hint="eastAsia" w:ascii="仿宋_GB2312" w:eastAsia="仿宋_GB2312" w:cs="黑体"/>
          <w:color w:val="000000" w:themeColor="text1"/>
          <w:sz w:val="32"/>
          <w:szCs w:val="32"/>
          <w14:textFill>
            <w14:solidFill>
              <w14:schemeClr w14:val="tx1"/>
            </w14:solidFill>
          </w14:textFill>
        </w:rPr>
        <w:t>枣庄市顺翔科技发展有限公司2024年上半年无重要会计政策变更、重要会计估计变更、前期会计差错更正事项。</w:t>
      </w:r>
    </w:p>
    <w:p w14:paraId="6815B314">
      <w:pPr>
        <w:pStyle w:val="2"/>
        <w:numPr>
          <w:ilvl w:val="0"/>
          <w:numId w:val="1"/>
        </w:numPr>
        <w:adjustRightInd w:val="0"/>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公司治理及管理架构</w:t>
      </w:r>
    </w:p>
    <w:p w14:paraId="09FBFDF8">
      <w:pPr>
        <w:pStyle w:val="2"/>
        <w:adjustRightInd w:val="0"/>
        <w:spacing w:line="560" w:lineRule="exact"/>
        <w:rPr>
          <w:rFonts w:ascii="黑体" w:hAnsi="黑体" w:eastAsia="黑体" w:cs="黑体"/>
          <w:sz w:val="32"/>
          <w:szCs w:val="32"/>
        </w:rPr>
      </w:pPr>
    </w:p>
    <w:p w14:paraId="0E332948">
      <w:pPr>
        <w:adjustRightInd w:val="0"/>
        <w:snapToGrid w:val="0"/>
        <w:spacing w:line="240" w:lineRule="atLeast"/>
      </w:pPr>
      <w:r>
        <w:drawing>
          <wp:inline distT="0" distB="0" distL="114300" distR="114300">
            <wp:extent cx="5272405" cy="3649980"/>
            <wp:effectExtent l="0" t="0" r="444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2405" cy="3649980"/>
                    </a:xfrm>
                    <a:prstGeom prst="rect">
                      <a:avLst/>
                    </a:prstGeom>
                    <a:noFill/>
                    <a:ln>
                      <a:noFill/>
                    </a:ln>
                  </pic:spPr>
                </pic:pic>
              </a:graphicData>
            </a:graphic>
          </wp:inline>
        </w:drawing>
      </w:r>
    </w:p>
    <w:p w14:paraId="207FB941">
      <w:pPr>
        <w:pStyle w:val="2"/>
      </w:pPr>
    </w:p>
    <w:p w14:paraId="6309BE5F">
      <w:pPr>
        <w:pStyle w:val="2"/>
      </w:pPr>
    </w:p>
    <w:p w14:paraId="5D1B6508">
      <w:pPr>
        <w:pStyle w:val="2"/>
      </w:pPr>
    </w:p>
    <w:p w14:paraId="055B577B">
      <w:pPr>
        <w:pStyle w:val="2"/>
      </w:pPr>
    </w:p>
    <w:p w14:paraId="25CFA3C6">
      <w:pPr>
        <w:pStyle w:val="2"/>
      </w:pPr>
    </w:p>
    <w:p w14:paraId="20AA09DE">
      <w:pPr>
        <w:pStyle w:val="2"/>
      </w:pPr>
    </w:p>
    <w:p w14:paraId="56D66F36">
      <w:pPr>
        <w:pStyle w:val="2"/>
        <w:spacing w:line="64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枣庄市顺翔科技发展有限公司</w:t>
      </w:r>
    </w:p>
    <w:p w14:paraId="3577ECA3">
      <w:pPr>
        <w:pStyle w:val="2"/>
        <w:spacing w:line="6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2F24A">
    <w:pPr>
      <w:pStyle w:val="2"/>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544FD4C">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03F35"/>
    <w:multiLevelType w:val="singleLevel"/>
    <w:tmpl w:val="BD803F3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NmMDQwMGRjMjFmYWQ4OTlkNGRiMzAzNmY1NDlkNWQifQ=="/>
  </w:docVars>
  <w:rsids>
    <w:rsidRoot w:val="00172A27"/>
    <w:rsid w:val="000770E0"/>
    <w:rsid w:val="00172A27"/>
    <w:rsid w:val="00195F98"/>
    <w:rsid w:val="001C6504"/>
    <w:rsid w:val="001F5B79"/>
    <w:rsid w:val="00223556"/>
    <w:rsid w:val="00321F39"/>
    <w:rsid w:val="00346088"/>
    <w:rsid w:val="003723B6"/>
    <w:rsid w:val="003723C6"/>
    <w:rsid w:val="00405348"/>
    <w:rsid w:val="0048587C"/>
    <w:rsid w:val="004D76BA"/>
    <w:rsid w:val="00505CBE"/>
    <w:rsid w:val="00545D9F"/>
    <w:rsid w:val="005E17B3"/>
    <w:rsid w:val="007932F0"/>
    <w:rsid w:val="007F497F"/>
    <w:rsid w:val="008E6E9F"/>
    <w:rsid w:val="00915E5F"/>
    <w:rsid w:val="00971131"/>
    <w:rsid w:val="00A23666"/>
    <w:rsid w:val="00A543EA"/>
    <w:rsid w:val="00AB6E0C"/>
    <w:rsid w:val="00AE4DED"/>
    <w:rsid w:val="00B02454"/>
    <w:rsid w:val="00B86E2F"/>
    <w:rsid w:val="00BB45C6"/>
    <w:rsid w:val="00BD5B77"/>
    <w:rsid w:val="00C04601"/>
    <w:rsid w:val="00C104B6"/>
    <w:rsid w:val="00C11E57"/>
    <w:rsid w:val="00C20C6E"/>
    <w:rsid w:val="00C629E8"/>
    <w:rsid w:val="00C70BE1"/>
    <w:rsid w:val="00CC24F4"/>
    <w:rsid w:val="00CC4A37"/>
    <w:rsid w:val="00D245D8"/>
    <w:rsid w:val="00D86198"/>
    <w:rsid w:val="00E9376F"/>
    <w:rsid w:val="00EF77E6"/>
    <w:rsid w:val="00F12CFB"/>
    <w:rsid w:val="00F36E2B"/>
    <w:rsid w:val="00F50525"/>
    <w:rsid w:val="00FE06B0"/>
    <w:rsid w:val="01E933CB"/>
    <w:rsid w:val="05921B50"/>
    <w:rsid w:val="07747441"/>
    <w:rsid w:val="087856BA"/>
    <w:rsid w:val="089F1C5C"/>
    <w:rsid w:val="0AAE7B33"/>
    <w:rsid w:val="0B0B5F38"/>
    <w:rsid w:val="0D652487"/>
    <w:rsid w:val="0D77390F"/>
    <w:rsid w:val="0E2E5EC6"/>
    <w:rsid w:val="0EB201E7"/>
    <w:rsid w:val="10AC70CF"/>
    <w:rsid w:val="13CA1519"/>
    <w:rsid w:val="148A5EC5"/>
    <w:rsid w:val="14B61F01"/>
    <w:rsid w:val="15B8435D"/>
    <w:rsid w:val="169535D9"/>
    <w:rsid w:val="16B047E6"/>
    <w:rsid w:val="16D40C0D"/>
    <w:rsid w:val="174C5191"/>
    <w:rsid w:val="190F0738"/>
    <w:rsid w:val="19D9145F"/>
    <w:rsid w:val="1A062EB3"/>
    <w:rsid w:val="1C075210"/>
    <w:rsid w:val="22284889"/>
    <w:rsid w:val="22A33E51"/>
    <w:rsid w:val="23FE4D12"/>
    <w:rsid w:val="2B230073"/>
    <w:rsid w:val="2D9D410D"/>
    <w:rsid w:val="2E860A87"/>
    <w:rsid w:val="312A655A"/>
    <w:rsid w:val="31393487"/>
    <w:rsid w:val="32E554B1"/>
    <w:rsid w:val="33376F6D"/>
    <w:rsid w:val="33610935"/>
    <w:rsid w:val="35E109DF"/>
    <w:rsid w:val="37946B91"/>
    <w:rsid w:val="389600D6"/>
    <w:rsid w:val="38BD4DCE"/>
    <w:rsid w:val="3A921620"/>
    <w:rsid w:val="3A9D5BC2"/>
    <w:rsid w:val="3AAE1E60"/>
    <w:rsid w:val="3BED6AFC"/>
    <w:rsid w:val="3C9A5CBB"/>
    <w:rsid w:val="3E5C76CC"/>
    <w:rsid w:val="3F0A0326"/>
    <w:rsid w:val="3FF351E3"/>
    <w:rsid w:val="41D87EEA"/>
    <w:rsid w:val="44135090"/>
    <w:rsid w:val="444F1C40"/>
    <w:rsid w:val="4602472D"/>
    <w:rsid w:val="460F3276"/>
    <w:rsid w:val="482C715B"/>
    <w:rsid w:val="48994BE2"/>
    <w:rsid w:val="48B71A0C"/>
    <w:rsid w:val="48FC615B"/>
    <w:rsid w:val="49C84FEB"/>
    <w:rsid w:val="4C440ADA"/>
    <w:rsid w:val="4D8E53C8"/>
    <w:rsid w:val="4E127DA7"/>
    <w:rsid w:val="4F840831"/>
    <w:rsid w:val="4FB35587"/>
    <w:rsid w:val="503F0014"/>
    <w:rsid w:val="5166133F"/>
    <w:rsid w:val="55D44961"/>
    <w:rsid w:val="578469D8"/>
    <w:rsid w:val="58200D84"/>
    <w:rsid w:val="58F34DE5"/>
    <w:rsid w:val="59994F7B"/>
    <w:rsid w:val="5A047F39"/>
    <w:rsid w:val="5AEE74A6"/>
    <w:rsid w:val="5BB76F80"/>
    <w:rsid w:val="5C0572C8"/>
    <w:rsid w:val="5DB76275"/>
    <w:rsid w:val="5E711851"/>
    <w:rsid w:val="605204D7"/>
    <w:rsid w:val="627363E9"/>
    <w:rsid w:val="62FB4F8F"/>
    <w:rsid w:val="642A0005"/>
    <w:rsid w:val="64EE3E34"/>
    <w:rsid w:val="65F558E6"/>
    <w:rsid w:val="6659611C"/>
    <w:rsid w:val="691914FC"/>
    <w:rsid w:val="6BA543F7"/>
    <w:rsid w:val="6C433171"/>
    <w:rsid w:val="6DD8201C"/>
    <w:rsid w:val="6E5A5E4D"/>
    <w:rsid w:val="704E20F8"/>
    <w:rsid w:val="71171FA8"/>
    <w:rsid w:val="71F65166"/>
    <w:rsid w:val="72822D1F"/>
    <w:rsid w:val="72F23A6C"/>
    <w:rsid w:val="74C12990"/>
    <w:rsid w:val="763E4625"/>
    <w:rsid w:val="766C4B38"/>
    <w:rsid w:val="766F7807"/>
    <w:rsid w:val="77D71165"/>
    <w:rsid w:val="77F907C5"/>
    <w:rsid w:val="78C57641"/>
    <w:rsid w:val="79585C3C"/>
    <w:rsid w:val="7DAC3686"/>
    <w:rsid w:val="7E3F4EDD"/>
    <w:rsid w:val="7EAA15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qFormat="1" w:unhideWhenUsed="0" w:uiPriority="0" w:semiHidden="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Note Heading"/>
    <w:basedOn w:val="1"/>
    <w:next w:val="1"/>
    <w:qFormat/>
    <w:uiPriority w:val="0"/>
    <w:pPr>
      <w:jc w:val="center"/>
    </w:pPr>
  </w:style>
  <w:style w:type="paragraph" w:styleId="5">
    <w:name w:val="Body Text"/>
    <w:basedOn w:val="1"/>
    <w:qFormat/>
    <w:uiPriority w:val="0"/>
    <w:pPr>
      <w:tabs>
        <w:tab w:val="left" w:pos="720"/>
        <w:tab w:val="left" w:pos="1884"/>
      </w:tabs>
      <w:spacing w:after="120"/>
    </w:pPr>
    <w:rPr>
      <w:rFonts w:eastAsia="Calibri"/>
      <w:kern w:val="1"/>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wordWrap w:val="0"/>
      <w:jc w:val="left"/>
    </w:pPr>
    <w:rPr>
      <w:rFonts w:cs="Times New Roman"/>
      <w:kern w:val="0"/>
      <w:sz w:val="24"/>
    </w:rPr>
  </w:style>
  <w:style w:type="paragraph" w:styleId="8">
    <w:name w:val="Body Text First Indent"/>
    <w:basedOn w:val="5"/>
    <w:qFormat/>
    <w:uiPriority w:val="0"/>
    <w:pPr>
      <w:tabs>
        <w:tab w:val="left" w:pos="0"/>
        <w:tab w:val="left" w:pos="628"/>
      </w:tabs>
      <w:ind w:left="70" w:firstLine="468"/>
    </w:pPr>
    <w:rPr>
      <w:position w:val="-13"/>
      <w:szCs w:val="2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222222"/>
      <w:u w:val="none"/>
    </w:rPr>
  </w:style>
  <w:style w:type="character" w:styleId="13">
    <w:name w:val="Hyperlink"/>
    <w:basedOn w:val="11"/>
    <w:qFormat/>
    <w:uiPriority w:val="0"/>
    <w:rPr>
      <w:color w:val="222222"/>
      <w:u w:val="none"/>
    </w:rPr>
  </w:style>
  <w:style w:type="character" w:customStyle="1" w:styleId="14">
    <w:name w:val="time4"/>
    <w:basedOn w:val="11"/>
    <w:qFormat/>
    <w:uiPriority w:val="0"/>
    <w:rPr>
      <w:color w:val="88888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EC05B0-1C7C-493E-9487-4CBD843B3F1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1427</Words>
  <Characters>1722</Characters>
  <Lines>13</Lines>
  <Paragraphs>3</Paragraphs>
  <TotalTime>92</TotalTime>
  <ScaleCrop>false</ScaleCrop>
  <LinksUpToDate>false</LinksUpToDate>
  <CharactersWithSpaces>1770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2021-11-04T02:58:00Z</dcterms:created>
  <dc:creator>Lenovo</dc:creator>
  <cp:lastModifiedBy>不离不弃</cp:lastModifiedBy>
  <cp:lastPrinted>2024-12-06T03:56:46Z</cp:lastPrinted>
  <dcterms:modified xsi:type="dcterms:W3CDTF">2024-12-06T04:47:31Z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CADA5664C7FA4FF4A5C615BD87A1170C</vt:lpwstr>
  </property>
  <property fmtid="{D5CDD505-2E9C-101B-9397-08002B2CF9AE}" pid="4" name="5B77E7CEEC58BC6AFAE8886BEB80DBEB">
    <vt:lpwstr>otCYQxs9Dbw2bUEn/Soxv9pYAoWsCRIsU8+gIbxzzmNcJN13+qHIPyWmbF9hFzPHyi2m8DLwi54E5OVVM5pJ0yGmgAiYTaR6oYUdYZxdjep6I9xviFUFZ9aTScfBW9OG6y9ojJXRETvpqA7BIUxtGUxvZQ/sMPonTuZbYuoGDtkPGkF5HBxKpRKEdR2clqXmqMARCZmIrzMySV8LtckMvcMfB6mCTOsT0C5aESiyXJm5tbSpKMM9TAfx8yEDVi+</vt:lpwstr>
  </property>
</Properties>
</file>