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7F6A">
      <w:pPr>
        <w:spacing w:line="560" w:lineRule="exact"/>
        <w:jc w:val="center"/>
        <w:rPr>
          <w:rFonts w:ascii="方正小标宋简体" w:hAnsi="方正小标宋简体" w:eastAsia="方正小标宋简体" w:cs="方正小标宋简体"/>
          <w:color w:val="000000" w:themeColor="text1"/>
          <w:sz w:val="44"/>
          <w:szCs w:val="44"/>
        </w:rPr>
      </w:pPr>
    </w:p>
    <w:p w14:paraId="2A739A3D">
      <w:pPr>
        <w:spacing w:line="560" w:lineRule="exact"/>
        <w:jc w:val="center"/>
        <w:rPr>
          <w:rFonts w:ascii="方正小标宋简体" w:hAnsi="方正小标宋简体" w:eastAsia="方正小标宋简体" w:cs="方正小标宋简体"/>
          <w:color w:val="000000" w:themeColor="text1"/>
          <w:sz w:val="44"/>
          <w:szCs w:val="44"/>
        </w:rPr>
      </w:pPr>
    </w:p>
    <w:p w14:paraId="5EFBF79D">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准格尔旗金正泰煤炭有限责任公司</w:t>
      </w:r>
    </w:p>
    <w:p w14:paraId="1BEC528B">
      <w:pPr>
        <w:spacing w:line="560" w:lineRule="exact"/>
        <w:jc w:val="center"/>
        <w:rPr>
          <w:rFonts w:ascii="方正小标宋简体" w:hAnsi="方正小标宋简体" w:eastAsia="方正小标宋简体" w:cs="方正小标宋简体"/>
          <w:color w:val="000000" w:themeColor="text1"/>
          <w:sz w:val="32"/>
          <w:szCs w:val="32"/>
        </w:rPr>
      </w:pPr>
      <w:r>
        <w:rPr>
          <w:rFonts w:hint="eastAsia" w:ascii="方正小标宋简体" w:hAnsi="方正小标宋简体" w:eastAsia="方正小标宋简体" w:cs="方正小标宋简体"/>
          <w:color w:val="000000" w:themeColor="text1"/>
          <w:sz w:val="44"/>
          <w:szCs w:val="44"/>
        </w:rPr>
        <w:t>202</w:t>
      </w:r>
      <w:r>
        <w:rPr>
          <w:rFonts w:hint="eastAsia" w:ascii="方正小标宋简体" w:hAnsi="方正小标宋简体" w:eastAsia="方正小标宋简体" w:cs="方正小标宋简体"/>
          <w:color w:val="000000" w:themeColor="text1"/>
          <w:sz w:val="44"/>
          <w:szCs w:val="44"/>
          <w:lang w:val="en-US" w:eastAsia="zh-CN"/>
        </w:rPr>
        <w:t>3</w:t>
      </w:r>
      <w:r>
        <w:rPr>
          <w:rFonts w:hint="eastAsia" w:ascii="方正小标宋简体" w:hAnsi="方正小标宋简体" w:eastAsia="方正小标宋简体" w:cs="方正小标宋简体"/>
          <w:color w:val="000000" w:themeColor="text1"/>
          <w:sz w:val="44"/>
          <w:szCs w:val="44"/>
        </w:rPr>
        <w:t>年财务等重大信息公告</w:t>
      </w:r>
    </w:p>
    <w:p w14:paraId="3B865ED8">
      <w:pPr>
        <w:spacing w:line="640" w:lineRule="exact"/>
        <w:ind w:firstLine="420" w:firstLineChars="200"/>
        <w:rPr>
          <w:color w:val="000000" w:themeColor="text1"/>
        </w:rPr>
      </w:pPr>
    </w:p>
    <w:p w14:paraId="0754324B">
      <w:pPr>
        <w:spacing w:line="64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重要提示</w:t>
      </w:r>
    </w:p>
    <w:p w14:paraId="70672479">
      <w:pPr>
        <w:spacing w:line="640" w:lineRule="exact"/>
        <w:ind w:firstLine="640" w:firstLineChars="200"/>
        <w:rPr>
          <w:rFonts w:ascii="黑体" w:hAnsi="黑体" w:eastAsia="黑体" w:cs="黑体"/>
          <w:color w:val="000000" w:themeColor="text1"/>
          <w:sz w:val="32"/>
          <w:szCs w:val="32"/>
        </w:rPr>
      </w:pPr>
    </w:p>
    <w:p w14:paraId="63CE255A">
      <w:pPr>
        <w:spacing w:line="64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本公司董事会及全体董事保证本公告内容不存在任何虚假记载、误导性陈述或者重大遗漏，并对其内容的真实性、准确性和完整性承担个别及连带责任。</w:t>
      </w:r>
    </w:p>
    <w:p w14:paraId="660610F3">
      <w:pPr>
        <w:spacing w:line="600" w:lineRule="exact"/>
        <w:ind w:firstLine="640" w:firstLineChars="200"/>
        <w:rPr>
          <w:rFonts w:hint="eastAsia" w:ascii="黑体" w:hAnsi="黑体" w:eastAsia="黑体" w:cs="黑体"/>
          <w:color w:val="000000" w:themeColor="text1"/>
          <w:sz w:val="32"/>
          <w:szCs w:val="32"/>
        </w:rPr>
        <w:sectPr>
          <w:pgSz w:w="11906" w:h="16838"/>
          <w:pgMar w:top="1440" w:right="1800" w:bottom="1440" w:left="1800" w:header="851" w:footer="992" w:gutter="0"/>
          <w:cols w:space="425" w:num="1"/>
          <w:docGrid w:type="lines" w:linePitch="312" w:charSpace="0"/>
        </w:sectPr>
      </w:pPr>
    </w:p>
    <w:p w14:paraId="6354C08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一、公司基本情况</w:t>
      </w:r>
    </w:p>
    <w:p w14:paraId="65AA0EA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1.统一社会信用代码：911506227013559394</w:t>
      </w:r>
    </w:p>
    <w:p w14:paraId="7309A8E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2.企业名称：准格尔旗金正泰煤炭有限责任公司</w:t>
      </w:r>
    </w:p>
    <w:p w14:paraId="43A7D2B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3.法定代表人：</w:t>
      </w:r>
      <w:r>
        <w:rPr>
          <w:rFonts w:hint="eastAsia" w:ascii="仿宋_GB2312" w:hAnsi="仿宋_GB2312" w:eastAsia="仿宋_GB2312" w:cs="仿宋_GB2312"/>
          <w:color w:val="000000" w:themeColor="text1"/>
          <w:sz w:val="32"/>
          <w:szCs w:val="32"/>
          <w:lang w:val="en-US" w:eastAsia="zh-CN"/>
        </w:rPr>
        <w:t>王旭光</w:t>
      </w:r>
    </w:p>
    <w:p w14:paraId="1011AD8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4.类型：其他有限责任公司</w:t>
      </w:r>
    </w:p>
    <w:p w14:paraId="0CED575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5.成立日期：2006年12月13日</w:t>
      </w:r>
    </w:p>
    <w:p w14:paraId="13F1F9F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6.注册资本：4000万人民币</w:t>
      </w:r>
    </w:p>
    <w:p w14:paraId="14E88B0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7.营业期限自：2006年12月13日至长期</w:t>
      </w:r>
    </w:p>
    <w:p w14:paraId="58131DD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8.登记机关：准格尔旗市场监督管理局</w:t>
      </w:r>
    </w:p>
    <w:p w14:paraId="76A8F84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9.登记状态：在营（开业）企业</w:t>
      </w:r>
    </w:p>
    <w:p w14:paraId="0B8DEF4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10.住所：内蒙古自治区鄂尔多斯市准格尔旗薛家湾镇牛光圪旦村</w:t>
      </w:r>
    </w:p>
    <w:p w14:paraId="74F615D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11.邮政编码：010300</w:t>
      </w:r>
    </w:p>
    <w:p w14:paraId="7D5DFB4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12.电子信箱</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jztbgs@163.com</w:t>
      </w:r>
    </w:p>
    <w:p w14:paraId="5816A26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13.经营范围：煤炭开采、选矿、煤炭洗选、煤炭及制品销售、道路货物运输</w:t>
      </w:r>
    </w:p>
    <w:p w14:paraId="4164C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rPr>
        <w:t>14.公司简介</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bCs/>
          <w:color w:val="000000" w:themeColor="text1"/>
          <w:sz w:val="32"/>
          <w:szCs w:val="32"/>
        </w:rPr>
        <w:t>金正泰公司由山东能源枣庄矿业（集团）有限责任公司投资建设、控股（枣庄矿业（集团）有限责任公司占股75%，枣庄联创实业有限责任公司占股25%），井田面积9.58</w:t>
      </w:r>
      <w:r>
        <w:rPr>
          <w:rFonts w:hint="eastAsia" w:ascii="仿宋_GB2312" w:hAnsi="仿宋_GB2312" w:eastAsia="仿宋_GB2312" w:cs="仿宋_GB2312"/>
          <w:color w:val="000000" w:themeColor="text1"/>
          <w:sz w:val="32"/>
          <w:szCs w:val="32"/>
        </w:rPr>
        <w:t>平方公里</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color w:val="000000" w:themeColor="text1"/>
          <w:sz w:val="32"/>
          <w:szCs w:val="32"/>
        </w:rPr>
        <w:t>资源储量7126万吨</w:t>
      </w:r>
      <w:r>
        <w:rPr>
          <w:rFonts w:hint="eastAsia" w:ascii="仿宋_GB2312" w:hAnsi="仿宋_GB2312" w:eastAsia="仿宋_GB2312" w:cs="仿宋_GB2312"/>
          <w:bCs/>
          <w:color w:val="000000" w:themeColor="text1"/>
          <w:sz w:val="32"/>
          <w:szCs w:val="32"/>
        </w:rPr>
        <w:t>，于2009年11月开工建设，</w:t>
      </w:r>
      <w:r>
        <w:rPr>
          <w:rFonts w:hint="eastAsia" w:ascii="仿宋_GB2312" w:hAnsi="仿宋_GB2312" w:eastAsia="仿宋_GB2312" w:cs="仿宋_GB2312"/>
          <w:color w:val="000000" w:themeColor="text1"/>
          <w:sz w:val="32"/>
          <w:szCs w:val="32"/>
        </w:rPr>
        <w:t>2011年1月通过综合验收，设计生产能力120万吨/年，核定生产能力300万吨/年</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2021年9月生产能力核增至500万吨/年，现证照齐全，合法有效。主采</w:t>
      </w:r>
      <w:r>
        <w:rPr>
          <w:rFonts w:hint="eastAsia" w:ascii="仿宋_GB2312" w:hAnsi="仿宋_GB2312" w:eastAsia="仿宋_GB2312" w:cs="仿宋_GB2312"/>
          <w:bCs/>
          <w:color w:val="000000" w:themeColor="text1"/>
          <w:sz w:val="32"/>
          <w:szCs w:val="32"/>
        </w:rPr>
        <w:t>6号和9号煤层，煤层平均厚度分别为14.65米、4.3米，</w:t>
      </w:r>
      <w:r>
        <w:rPr>
          <w:rFonts w:hint="eastAsia" w:ascii="仿宋_GB2312" w:hAnsi="仿宋_GB2312" w:eastAsia="仿宋_GB2312" w:cs="仿宋_GB2312"/>
          <w:color w:val="000000" w:themeColor="text1"/>
          <w:sz w:val="32"/>
          <w:szCs w:val="32"/>
        </w:rPr>
        <w:t>煤种为中灰、低硫、长焰煤，主供周边及呼市附近的主要电力企业。</w:t>
      </w:r>
    </w:p>
    <w:p w14:paraId="02FBCB7C">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年金正泰公司党政</w:t>
      </w:r>
      <w:r>
        <w:rPr>
          <w:rFonts w:hint="eastAsia" w:ascii="仿宋_GB2312" w:hAnsi="仿宋_GB2312" w:eastAsia="仿宋_GB2312" w:cs="仿宋_GB2312"/>
          <w:color w:val="000000" w:themeColor="text1"/>
          <w:sz w:val="32"/>
          <w:szCs w:val="32"/>
          <w:lang w:val="en-US" w:eastAsia="zh-CN"/>
        </w:rPr>
        <w:t>班子</w:t>
      </w:r>
      <w:r>
        <w:rPr>
          <w:rFonts w:hint="eastAsia" w:ascii="仿宋_GB2312" w:hAnsi="仿宋_GB2312" w:eastAsia="仿宋_GB2312" w:cs="仿宋_GB2312"/>
          <w:color w:val="000000" w:themeColor="text1"/>
          <w:sz w:val="32"/>
          <w:szCs w:val="32"/>
        </w:rPr>
        <w:t>以高境界定位、高标准要求、高效率执行、高绩效考核的工作理念，以定目标、定标准、定时间、定责任、定措施、定考核“六定工作法”，强化制度管人、机制管事，突出制度立矿、制度管矿、从严治矿的管理理念，聚焦安全生产、经营销售、</w:t>
      </w:r>
      <w:r>
        <w:rPr>
          <w:rFonts w:hint="eastAsia" w:ascii="仿宋_GB2312" w:hAnsi="仿宋_GB2312" w:eastAsia="仿宋_GB2312" w:cs="仿宋_GB2312"/>
          <w:color w:val="000000" w:themeColor="text1"/>
          <w:sz w:val="32"/>
          <w:szCs w:val="32"/>
          <w:lang w:val="en-US" w:eastAsia="zh-CN"/>
        </w:rPr>
        <w:t>环保管控、</w:t>
      </w:r>
      <w:r>
        <w:rPr>
          <w:rFonts w:hint="eastAsia" w:ascii="仿宋_GB2312" w:hAnsi="仿宋_GB2312" w:eastAsia="仿宋_GB2312" w:cs="仿宋_GB2312"/>
          <w:color w:val="000000" w:themeColor="text1"/>
          <w:sz w:val="32"/>
          <w:szCs w:val="32"/>
        </w:rPr>
        <w:t>绿色矿山</w:t>
      </w:r>
      <w:r>
        <w:rPr>
          <w:rFonts w:hint="eastAsia" w:ascii="仿宋_GB2312" w:hAnsi="仿宋_GB2312" w:eastAsia="仿宋_GB2312" w:cs="仿宋_GB2312"/>
          <w:color w:val="000000" w:themeColor="text1"/>
          <w:sz w:val="32"/>
          <w:szCs w:val="32"/>
          <w:lang w:val="en-US" w:eastAsia="zh-CN"/>
        </w:rPr>
        <w:t>及智能化矿山建设</w:t>
      </w:r>
      <w:r>
        <w:rPr>
          <w:rFonts w:hint="eastAsia" w:ascii="仿宋_GB2312" w:hAnsi="仿宋_GB2312" w:eastAsia="仿宋_GB2312" w:cs="仿宋_GB2312"/>
          <w:color w:val="000000" w:themeColor="text1"/>
          <w:sz w:val="32"/>
          <w:szCs w:val="32"/>
        </w:rPr>
        <w:t>、党建民生</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选煤厂建设</w:t>
      </w:r>
      <w:r>
        <w:rPr>
          <w:rFonts w:hint="eastAsia" w:ascii="仿宋_GB2312" w:hAnsi="仿宋_GB2312" w:eastAsia="仿宋_GB2312" w:cs="仿宋_GB2312"/>
          <w:color w:val="000000" w:themeColor="text1"/>
          <w:sz w:val="32"/>
          <w:szCs w:val="32"/>
        </w:rPr>
        <w:t>等重点工作，</w:t>
      </w:r>
      <w:r>
        <w:rPr>
          <w:rFonts w:hint="eastAsia" w:ascii="仿宋_GB2312" w:hAnsi="仿宋_GB2312" w:eastAsia="仿宋_GB2312" w:cs="仿宋_GB2312"/>
          <w:color w:val="000000" w:themeColor="text1"/>
          <w:sz w:val="32"/>
          <w:szCs w:val="32"/>
          <w:lang w:val="en-US" w:eastAsia="zh-CN"/>
        </w:rPr>
        <w:t>重推动、严执行，</w:t>
      </w:r>
      <w:r>
        <w:rPr>
          <w:rFonts w:hint="eastAsia" w:ascii="仿宋_GB2312" w:hAnsi="仿宋_GB2312" w:eastAsia="仿宋_GB2312" w:cs="仿宋_GB2312"/>
          <w:color w:val="000000" w:themeColor="text1"/>
          <w:sz w:val="32"/>
          <w:szCs w:val="32"/>
        </w:rPr>
        <w:t>始终把安全生产放在“高于一切、重于一切、先于一切、决定一切”的位置来谋划，算好</w:t>
      </w:r>
      <w:r>
        <w:rPr>
          <w:rFonts w:hint="eastAsia" w:ascii="仿宋_GB2312" w:hAnsi="仿宋_GB2312" w:eastAsia="仿宋_GB2312" w:cs="仿宋_GB2312"/>
          <w:color w:val="000000" w:themeColor="text1"/>
          <w:sz w:val="32"/>
          <w:szCs w:val="32"/>
          <w:lang w:eastAsia="zh-CN"/>
        </w:rPr>
        <w:t>了</w:t>
      </w:r>
      <w:r>
        <w:rPr>
          <w:rFonts w:hint="eastAsia" w:ascii="仿宋_GB2312" w:hAnsi="仿宋_GB2312" w:eastAsia="仿宋_GB2312" w:cs="仿宋_GB2312"/>
          <w:color w:val="000000" w:themeColor="text1"/>
          <w:sz w:val="32"/>
          <w:szCs w:val="32"/>
        </w:rPr>
        <w:t>安全环保的政治账、经济账、长远账、科学账，真正实现</w:t>
      </w:r>
      <w:r>
        <w:rPr>
          <w:rFonts w:hint="eastAsia" w:ascii="仿宋_GB2312" w:hAnsi="仿宋_GB2312" w:eastAsia="仿宋_GB2312" w:cs="仿宋_GB2312"/>
          <w:color w:val="000000" w:themeColor="text1"/>
          <w:sz w:val="32"/>
          <w:szCs w:val="32"/>
          <w:lang w:val="en-US" w:eastAsia="zh-CN"/>
        </w:rPr>
        <w:t>公司</w:t>
      </w:r>
      <w:r>
        <w:rPr>
          <w:rFonts w:hint="eastAsia" w:ascii="仿宋_GB2312" w:hAnsi="仿宋_GB2312" w:eastAsia="仿宋_GB2312" w:cs="仿宋_GB2312"/>
          <w:color w:val="000000" w:themeColor="text1"/>
          <w:sz w:val="32"/>
          <w:szCs w:val="32"/>
        </w:rPr>
        <w:t>高质量可持续发展，为奋力建设智慧枣矿、本安枣矿、优质枣矿、活力枣矿、人文枣矿、富美枣矿增砖添瓦，贡献金正泰力量。</w:t>
      </w:r>
    </w:p>
    <w:p w14:paraId="34826F24">
      <w:pPr>
        <w:spacing w:line="5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二、公司治理及管理架构</w:t>
      </w:r>
    </w:p>
    <w:p w14:paraId="339651F6">
      <w:pPr>
        <w:spacing w:line="500" w:lineRule="exact"/>
        <w:rPr>
          <w:rFonts w:ascii="黑体" w:hAnsi="黑体" w:eastAsia="黑体" w:cs="黑体"/>
          <w:color w:val="000000" w:themeColor="text1"/>
          <w:sz w:val="32"/>
          <w:szCs w:val="32"/>
        </w:rPr>
      </w:pPr>
      <w:r>
        <w:rPr>
          <w:color w:val="000000" w:themeColor="text1"/>
          <w:sz w:val="32"/>
        </w:rPr>
        <w:pict>
          <v:shape id="_x0000_s2053" o:spid="_x0000_s2053" o:spt="202" type="#_x0000_t202" style="position:absolute;left:0pt;margin-left:-48.25pt;margin-top:13.05pt;height:454.7pt;width:551.1pt;z-index:251660288;mso-width-relative:page;mso-height-relative:page;" filled="f" stroked="f" coordsize="21600,21600">
            <v:path/>
            <v:fill on="f" focussize="0,0"/>
            <v:stroke on="f"/>
            <v:imagedata o:title=""/>
            <o:lock v:ext="edit" aspectratio="f"/>
            <v:textbox>
              <w:txbxContent>
                <w:p w14:paraId="7897363A">
                  <w:pPr>
                    <w:rPr>
                      <w:rFonts w:hint="eastAsia" w:eastAsiaTheme="minorEastAsia"/>
                      <w:lang w:eastAsia="zh-CN"/>
                    </w:rPr>
                  </w:pPr>
                  <w:r>
                    <w:rPr>
                      <w:rFonts w:hint="eastAsia" w:eastAsiaTheme="minorEastAsia"/>
                      <w:lang w:eastAsia="zh-CN"/>
                    </w:rPr>
                    <w:drawing>
                      <wp:inline distT="0" distB="0" distL="114300" distR="114300">
                        <wp:extent cx="6815455" cy="3982720"/>
                        <wp:effectExtent l="0" t="0" r="4445" b="17780"/>
                        <wp:docPr id="2" name="图片 2" descr="组织机构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织机构图纸"/>
                                <pic:cNvPicPr>
                                  <a:picLocks noChangeAspect="1"/>
                                </pic:cNvPicPr>
                              </pic:nvPicPr>
                              <pic:blipFill>
                                <a:blip r:embed="rId5"/>
                                <a:stretch>
                                  <a:fillRect/>
                                </a:stretch>
                              </pic:blipFill>
                              <pic:spPr>
                                <a:xfrm>
                                  <a:off x="0" y="0"/>
                                  <a:ext cx="6815455" cy="3982720"/>
                                </a:xfrm>
                                <a:prstGeom prst="rect">
                                  <a:avLst/>
                                </a:prstGeom>
                              </pic:spPr>
                            </pic:pic>
                          </a:graphicData>
                        </a:graphic>
                      </wp:inline>
                    </w:drawing>
                  </w:r>
                </w:p>
              </w:txbxContent>
            </v:textbox>
          </v:shape>
        </w:pict>
      </w:r>
    </w:p>
    <w:p w14:paraId="7913C28A">
      <w:pPr>
        <w:spacing w:line="500" w:lineRule="exact"/>
        <w:ind w:firstLine="640" w:firstLineChars="200"/>
        <w:rPr>
          <w:rFonts w:ascii="黑体" w:hAnsi="黑体" w:eastAsia="黑体" w:cs="黑体"/>
          <w:color w:val="000000" w:themeColor="text1"/>
          <w:sz w:val="32"/>
          <w:szCs w:val="32"/>
        </w:rPr>
      </w:pPr>
    </w:p>
    <w:p w14:paraId="4A2F954A">
      <w:pPr>
        <w:spacing w:line="500" w:lineRule="exact"/>
        <w:ind w:firstLine="640" w:firstLineChars="200"/>
        <w:rPr>
          <w:rFonts w:ascii="黑体" w:hAnsi="黑体" w:eastAsia="黑体" w:cs="黑体"/>
          <w:color w:val="000000" w:themeColor="text1"/>
          <w:sz w:val="32"/>
          <w:szCs w:val="32"/>
        </w:rPr>
      </w:pPr>
    </w:p>
    <w:p w14:paraId="1D82D4DF">
      <w:pPr>
        <w:spacing w:line="500" w:lineRule="exact"/>
        <w:ind w:firstLine="640" w:firstLineChars="200"/>
        <w:rPr>
          <w:rFonts w:ascii="黑体" w:hAnsi="黑体" w:eastAsia="黑体" w:cs="黑体"/>
          <w:color w:val="000000" w:themeColor="text1"/>
          <w:sz w:val="32"/>
          <w:szCs w:val="32"/>
        </w:rPr>
      </w:pPr>
    </w:p>
    <w:p w14:paraId="736E2BF3">
      <w:pPr>
        <w:spacing w:line="500" w:lineRule="exact"/>
        <w:ind w:firstLine="640" w:firstLineChars="200"/>
        <w:rPr>
          <w:rFonts w:ascii="黑体" w:hAnsi="黑体" w:eastAsia="黑体" w:cs="黑体"/>
          <w:color w:val="000000" w:themeColor="text1"/>
          <w:sz w:val="32"/>
          <w:szCs w:val="32"/>
        </w:rPr>
      </w:pPr>
    </w:p>
    <w:p w14:paraId="14BC56A7">
      <w:pPr>
        <w:spacing w:line="500" w:lineRule="exact"/>
        <w:ind w:firstLine="640" w:firstLineChars="200"/>
        <w:rPr>
          <w:rFonts w:ascii="黑体" w:hAnsi="黑体" w:eastAsia="黑体" w:cs="黑体"/>
          <w:color w:val="000000" w:themeColor="text1"/>
          <w:sz w:val="32"/>
          <w:szCs w:val="32"/>
        </w:rPr>
      </w:pPr>
    </w:p>
    <w:p w14:paraId="36BAF182">
      <w:pPr>
        <w:spacing w:line="500" w:lineRule="exact"/>
        <w:rPr>
          <w:rFonts w:ascii="黑体" w:hAnsi="黑体" w:eastAsia="黑体" w:cs="黑体"/>
          <w:color w:val="000000" w:themeColor="text1"/>
          <w:sz w:val="32"/>
          <w:szCs w:val="32"/>
        </w:rPr>
      </w:pPr>
    </w:p>
    <w:p w14:paraId="67198893">
      <w:pPr>
        <w:spacing w:line="500" w:lineRule="exact"/>
        <w:rPr>
          <w:rFonts w:ascii="黑体" w:hAnsi="黑体" w:eastAsia="黑体" w:cs="黑体"/>
          <w:color w:val="000000" w:themeColor="text1"/>
          <w:sz w:val="32"/>
          <w:szCs w:val="32"/>
        </w:rPr>
      </w:pPr>
    </w:p>
    <w:p w14:paraId="12FAD566">
      <w:pPr>
        <w:spacing w:line="500" w:lineRule="exact"/>
        <w:rPr>
          <w:rFonts w:ascii="黑体" w:hAnsi="黑体" w:eastAsia="黑体" w:cs="黑体"/>
          <w:color w:val="000000" w:themeColor="text1"/>
          <w:sz w:val="32"/>
          <w:szCs w:val="32"/>
        </w:rPr>
      </w:pPr>
    </w:p>
    <w:p w14:paraId="700FA0A0">
      <w:pPr>
        <w:spacing w:line="500" w:lineRule="exact"/>
        <w:rPr>
          <w:rFonts w:ascii="黑体" w:hAnsi="黑体" w:eastAsia="黑体" w:cs="黑体"/>
          <w:color w:val="000000" w:themeColor="text1"/>
          <w:sz w:val="32"/>
          <w:szCs w:val="32"/>
        </w:rPr>
      </w:pPr>
    </w:p>
    <w:p w14:paraId="3380D90D">
      <w:pPr>
        <w:spacing w:line="500" w:lineRule="exact"/>
        <w:ind w:firstLine="640" w:firstLineChars="200"/>
        <w:rPr>
          <w:rFonts w:ascii="黑体" w:hAnsi="黑体" w:eastAsia="黑体" w:cs="黑体"/>
          <w:color w:val="000000" w:themeColor="text1"/>
          <w:sz w:val="32"/>
          <w:szCs w:val="32"/>
        </w:rPr>
      </w:pPr>
    </w:p>
    <w:p w14:paraId="05DB9729">
      <w:pPr>
        <w:spacing w:line="500" w:lineRule="exact"/>
        <w:ind w:firstLine="640" w:firstLineChars="200"/>
        <w:rPr>
          <w:rFonts w:ascii="黑体" w:hAnsi="黑体" w:eastAsia="黑体" w:cs="黑体"/>
          <w:color w:val="000000" w:themeColor="text1"/>
          <w:sz w:val="32"/>
          <w:szCs w:val="32"/>
        </w:rPr>
      </w:pPr>
    </w:p>
    <w:p w14:paraId="729B962A">
      <w:pPr>
        <w:spacing w:line="5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三、通过产权市场转让企业产权和企业增资等情况</w:t>
      </w:r>
    </w:p>
    <w:p w14:paraId="64BAA3DF">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w:t>
      </w:r>
    </w:p>
    <w:p w14:paraId="65D6FB10">
      <w:pPr>
        <w:spacing w:line="500" w:lineRule="exact"/>
        <w:ind w:firstLine="640" w:firstLineChars="20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四、主要会计数据和财务指标</w:t>
      </w:r>
    </w:p>
    <w:p w14:paraId="6D5BC7B1">
      <w:pPr>
        <w:pStyle w:val="9"/>
        <w:numPr>
          <w:ilvl w:val="0"/>
          <w:numId w:val="0"/>
        </w:numPr>
        <w:wordWrap/>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lang w:val="en-US" w:eastAsia="zh-CN" w:bidi="ar-SA"/>
        </w:rPr>
        <w:t>1.</w:t>
      </w:r>
      <w:bookmarkStart w:id="0" w:name="_GoBack"/>
      <w:bookmarkEnd w:id="0"/>
      <w:r>
        <w:rPr>
          <w:rFonts w:hint="eastAsia" w:ascii="仿宋_GB2312" w:hAnsi="仿宋_GB2312" w:eastAsia="仿宋_GB2312" w:cs="仿宋_GB2312"/>
          <w:color w:val="000000" w:themeColor="text1"/>
          <w:sz w:val="32"/>
          <w:szCs w:val="32"/>
        </w:rPr>
        <w:t>主要会计数据和财务数据。</w:t>
      </w:r>
    </w:p>
    <w:tbl>
      <w:tblPr>
        <w:tblStyle w:val="11"/>
        <w:tblW w:w="8668" w:type="dxa"/>
        <w:tblInd w:w="93" w:type="dxa"/>
        <w:tblLayout w:type="autofit"/>
        <w:tblCellMar>
          <w:top w:w="0" w:type="dxa"/>
          <w:left w:w="108" w:type="dxa"/>
          <w:bottom w:w="0" w:type="dxa"/>
          <w:right w:w="108" w:type="dxa"/>
        </w:tblCellMar>
      </w:tblPr>
      <w:tblGrid>
        <w:gridCol w:w="1881"/>
        <w:gridCol w:w="2250"/>
        <w:gridCol w:w="2287"/>
        <w:gridCol w:w="2250"/>
      </w:tblGrid>
      <w:tr w14:paraId="29D11D35">
        <w:tblPrEx>
          <w:tblCellMar>
            <w:top w:w="0" w:type="dxa"/>
            <w:left w:w="108" w:type="dxa"/>
            <w:bottom w:w="0" w:type="dxa"/>
            <w:right w:w="108" w:type="dxa"/>
          </w:tblCellMar>
        </w:tblPrEx>
        <w:trPr>
          <w:trHeight w:val="585" w:hRule="atLeast"/>
        </w:trPr>
        <w:tc>
          <w:tcPr>
            <w:tcW w:w="1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F8A27">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主要指标</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574A0">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本期金额（万元）</w:t>
            </w:r>
          </w:p>
        </w:tc>
        <w:tc>
          <w:tcPr>
            <w:tcW w:w="22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4B48E">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上期金额（万元）</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9C613">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变动比例（%）</w:t>
            </w:r>
          </w:p>
        </w:tc>
      </w:tr>
      <w:tr w14:paraId="501951B1">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0921834D">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营业收入</w:t>
            </w:r>
          </w:p>
        </w:tc>
        <w:tc>
          <w:tcPr>
            <w:tcW w:w="2250" w:type="dxa"/>
            <w:tcBorders>
              <w:top w:val="nil"/>
              <w:left w:val="nil"/>
              <w:bottom w:val="single" w:color="000000" w:sz="8" w:space="0"/>
              <w:right w:val="single" w:color="000000" w:sz="8" w:space="0"/>
            </w:tcBorders>
            <w:shd w:val="clear" w:color="auto" w:fill="auto"/>
            <w:vAlign w:val="center"/>
          </w:tcPr>
          <w:p w14:paraId="6572E570">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210881.66</w:t>
            </w:r>
          </w:p>
        </w:tc>
        <w:tc>
          <w:tcPr>
            <w:tcW w:w="2287" w:type="dxa"/>
            <w:tcBorders>
              <w:top w:val="nil"/>
              <w:left w:val="nil"/>
              <w:bottom w:val="single" w:color="000000" w:sz="8" w:space="0"/>
              <w:right w:val="single" w:color="000000" w:sz="8" w:space="0"/>
            </w:tcBorders>
            <w:shd w:val="clear" w:color="auto" w:fill="auto"/>
            <w:vAlign w:val="center"/>
          </w:tcPr>
          <w:p w14:paraId="67A86784">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150036.09</w:t>
            </w:r>
          </w:p>
        </w:tc>
        <w:tc>
          <w:tcPr>
            <w:tcW w:w="2250" w:type="dxa"/>
            <w:tcBorders>
              <w:top w:val="nil"/>
              <w:left w:val="nil"/>
              <w:bottom w:val="single" w:color="000000" w:sz="8" w:space="0"/>
              <w:right w:val="single" w:color="000000" w:sz="8" w:space="0"/>
            </w:tcBorders>
            <w:shd w:val="clear" w:color="auto" w:fill="auto"/>
            <w:vAlign w:val="center"/>
          </w:tcPr>
          <w:p w14:paraId="29626E3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41%</w:t>
            </w:r>
          </w:p>
        </w:tc>
      </w:tr>
      <w:tr w14:paraId="4CE7922E">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42A82317">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营业成本</w:t>
            </w:r>
          </w:p>
        </w:tc>
        <w:tc>
          <w:tcPr>
            <w:tcW w:w="2250" w:type="dxa"/>
            <w:tcBorders>
              <w:top w:val="nil"/>
              <w:left w:val="nil"/>
              <w:bottom w:val="single" w:color="000000" w:sz="8" w:space="0"/>
              <w:right w:val="single" w:color="000000" w:sz="8" w:space="0"/>
            </w:tcBorders>
            <w:shd w:val="clear" w:color="auto" w:fill="auto"/>
            <w:vAlign w:val="center"/>
          </w:tcPr>
          <w:p w14:paraId="6271D43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84444.14</w:t>
            </w:r>
          </w:p>
        </w:tc>
        <w:tc>
          <w:tcPr>
            <w:tcW w:w="2287" w:type="dxa"/>
            <w:tcBorders>
              <w:top w:val="nil"/>
              <w:left w:val="nil"/>
              <w:bottom w:val="single" w:color="000000" w:sz="8" w:space="0"/>
              <w:right w:val="single" w:color="000000" w:sz="8" w:space="0"/>
            </w:tcBorders>
            <w:shd w:val="clear" w:color="auto" w:fill="auto"/>
            <w:vAlign w:val="center"/>
          </w:tcPr>
          <w:p w14:paraId="150F7644">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43581.90</w:t>
            </w:r>
          </w:p>
        </w:tc>
        <w:tc>
          <w:tcPr>
            <w:tcW w:w="2250" w:type="dxa"/>
            <w:tcBorders>
              <w:top w:val="nil"/>
              <w:left w:val="nil"/>
              <w:bottom w:val="single" w:color="000000" w:sz="8" w:space="0"/>
              <w:right w:val="single" w:color="000000" w:sz="8" w:space="0"/>
            </w:tcBorders>
            <w:shd w:val="clear" w:color="auto" w:fill="auto"/>
            <w:vAlign w:val="center"/>
          </w:tcPr>
          <w:p w14:paraId="19619EC4">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94%</w:t>
            </w:r>
          </w:p>
        </w:tc>
      </w:tr>
      <w:tr w14:paraId="54006372">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5DCA907B">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销售费用</w:t>
            </w:r>
          </w:p>
        </w:tc>
        <w:tc>
          <w:tcPr>
            <w:tcW w:w="2250" w:type="dxa"/>
            <w:tcBorders>
              <w:top w:val="nil"/>
              <w:left w:val="nil"/>
              <w:bottom w:val="single" w:color="000000" w:sz="8" w:space="0"/>
              <w:right w:val="single" w:color="000000" w:sz="8" w:space="0"/>
            </w:tcBorders>
            <w:shd w:val="clear" w:color="auto" w:fill="auto"/>
            <w:vAlign w:val="center"/>
          </w:tcPr>
          <w:p w14:paraId="138F655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49.74</w:t>
            </w:r>
          </w:p>
        </w:tc>
        <w:tc>
          <w:tcPr>
            <w:tcW w:w="2287" w:type="dxa"/>
            <w:tcBorders>
              <w:top w:val="nil"/>
              <w:left w:val="nil"/>
              <w:bottom w:val="single" w:color="000000" w:sz="8" w:space="0"/>
              <w:right w:val="single" w:color="000000" w:sz="8" w:space="0"/>
            </w:tcBorders>
            <w:shd w:val="clear" w:color="auto" w:fill="auto"/>
            <w:vAlign w:val="center"/>
          </w:tcPr>
          <w:p w14:paraId="67200D17">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11375.73</w:t>
            </w:r>
          </w:p>
        </w:tc>
        <w:tc>
          <w:tcPr>
            <w:tcW w:w="2250" w:type="dxa"/>
            <w:tcBorders>
              <w:top w:val="nil"/>
              <w:left w:val="nil"/>
              <w:bottom w:val="single" w:color="000000" w:sz="8" w:space="0"/>
              <w:right w:val="single" w:color="000000" w:sz="8" w:space="0"/>
            </w:tcBorders>
            <w:shd w:val="clear" w:color="auto" w:fill="auto"/>
            <w:vAlign w:val="center"/>
          </w:tcPr>
          <w:p w14:paraId="75D32FD8">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-100%</w:t>
            </w:r>
          </w:p>
        </w:tc>
      </w:tr>
      <w:tr w14:paraId="6D827B25">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620F27DD">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管理费用</w:t>
            </w:r>
          </w:p>
        </w:tc>
        <w:tc>
          <w:tcPr>
            <w:tcW w:w="2250" w:type="dxa"/>
            <w:tcBorders>
              <w:top w:val="nil"/>
              <w:left w:val="nil"/>
              <w:bottom w:val="single" w:color="000000" w:sz="8" w:space="0"/>
              <w:right w:val="single" w:color="000000" w:sz="8" w:space="0"/>
            </w:tcBorders>
            <w:shd w:val="clear" w:color="auto" w:fill="auto"/>
            <w:vAlign w:val="center"/>
          </w:tcPr>
          <w:p w14:paraId="430A5D7B">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7498.07</w:t>
            </w:r>
          </w:p>
        </w:tc>
        <w:tc>
          <w:tcPr>
            <w:tcW w:w="2287" w:type="dxa"/>
            <w:tcBorders>
              <w:top w:val="nil"/>
              <w:left w:val="nil"/>
              <w:bottom w:val="single" w:color="000000" w:sz="8" w:space="0"/>
              <w:right w:val="single" w:color="000000" w:sz="8" w:space="0"/>
            </w:tcBorders>
            <w:shd w:val="clear" w:color="auto" w:fill="auto"/>
            <w:vAlign w:val="center"/>
          </w:tcPr>
          <w:p w14:paraId="66639C23">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6589.62</w:t>
            </w:r>
          </w:p>
        </w:tc>
        <w:tc>
          <w:tcPr>
            <w:tcW w:w="2250" w:type="dxa"/>
            <w:tcBorders>
              <w:top w:val="nil"/>
              <w:left w:val="nil"/>
              <w:bottom w:val="single" w:color="000000" w:sz="8" w:space="0"/>
              <w:right w:val="single" w:color="000000" w:sz="8" w:space="0"/>
            </w:tcBorders>
            <w:shd w:val="clear" w:color="auto" w:fill="auto"/>
            <w:vAlign w:val="center"/>
          </w:tcPr>
          <w:p w14:paraId="1B4CAB28">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14%</w:t>
            </w:r>
          </w:p>
        </w:tc>
      </w:tr>
      <w:tr w14:paraId="51C6310C">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66B09D07">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研发费用</w:t>
            </w:r>
          </w:p>
        </w:tc>
        <w:tc>
          <w:tcPr>
            <w:tcW w:w="2250" w:type="dxa"/>
            <w:tcBorders>
              <w:top w:val="nil"/>
              <w:left w:val="nil"/>
              <w:bottom w:val="single" w:color="000000" w:sz="8" w:space="0"/>
              <w:right w:val="single" w:color="000000" w:sz="8" w:space="0"/>
            </w:tcBorders>
            <w:shd w:val="clear" w:color="auto" w:fill="auto"/>
            <w:vAlign w:val="center"/>
          </w:tcPr>
          <w:p w14:paraId="674AF40F">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6639.38</w:t>
            </w:r>
          </w:p>
        </w:tc>
        <w:tc>
          <w:tcPr>
            <w:tcW w:w="2287" w:type="dxa"/>
            <w:tcBorders>
              <w:top w:val="nil"/>
              <w:left w:val="nil"/>
              <w:bottom w:val="single" w:color="000000" w:sz="8" w:space="0"/>
              <w:right w:val="single" w:color="000000" w:sz="8" w:space="0"/>
            </w:tcBorders>
            <w:shd w:val="clear" w:color="auto" w:fill="auto"/>
            <w:vAlign w:val="center"/>
          </w:tcPr>
          <w:p w14:paraId="5B11829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1860.23</w:t>
            </w:r>
          </w:p>
        </w:tc>
        <w:tc>
          <w:tcPr>
            <w:tcW w:w="2250" w:type="dxa"/>
            <w:tcBorders>
              <w:top w:val="nil"/>
              <w:left w:val="nil"/>
              <w:bottom w:val="single" w:color="000000" w:sz="8" w:space="0"/>
              <w:right w:val="single" w:color="000000" w:sz="8" w:space="0"/>
            </w:tcBorders>
            <w:shd w:val="clear" w:color="auto" w:fill="auto"/>
            <w:vAlign w:val="center"/>
          </w:tcPr>
          <w:p w14:paraId="5B4CA46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257%</w:t>
            </w:r>
          </w:p>
        </w:tc>
      </w:tr>
      <w:tr w14:paraId="263F2D16">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56C5E097">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财务费用</w:t>
            </w:r>
          </w:p>
        </w:tc>
        <w:tc>
          <w:tcPr>
            <w:tcW w:w="2250" w:type="dxa"/>
            <w:tcBorders>
              <w:top w:val="nil"/>
              <w:left w:val="nil"/>
              <w:bottom w:val="single" w:color="000000" w:sz="8" w:space="0"/>
              <w:right w:val="single" w:color="000000" w:sz="8" w:space="0"/>
            </w:tcBorders>
            <w:shd w:val="clear" w:color="auto" w:fill="auto"/>
            <w:vAlign w:val="center"/>
          </w:tcPr>
          <w:p w14:paraId="074150DD">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-878.40</w:t>
            </w:r>
          </w:p>
        </w:tc>
        <w:tc>
          <w:tcPr>
            <w:tcW w:w="2287" w:type="dxa"/>
            <w:tcBorders>
              <w:top w:val="nil"/>
              <w:left w:val="nil"/>
              <w:bottom w:val="single" w:color="000000" w:sz="8" w:space="0"/>
              <w:right w:val="single" w:color="000000" w:sz="8" w:space="0"/>
            </w:tcBorders>
            <w:shd w:val="clear" w:color="auto" w:fill="auto"/>
            <w:vAlign w:val="center"/>
          </w:tcPr>
          <w:p w14:paraId="1FDC6CBA">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682.93</w:t>
            </w:r>
          </w:p>
        </w:tc>
        <w:tc>
          <w:tcPr>
            <w:tcW w:w="2250" w:type="dxa"/>
            <w:tcBorders>
              <w:top w:val="nil"/>
              <w:left w:val="nil"/>
              <w:bottom w:val="single" w:color="000000" w:sz="8" w:space="0"/>
              <w:right w:val="single" w:color="000000" w:sz="8" w:space="0"/>
            </w:tcBorders>
            <w:shd w:val="clear" w:color="auto" w:fill="auto"/>
            <w:vAlign w:val="center"/>
          </w:tcPr>
          <w:p w14:paraId="668A04B8">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-229%</w:t>
            </w:r>
          </w:p>
        </w:tc>
      </w:tr>
      <w:tr w14:paraId="1708169D">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3AF6E60B">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营业利润</w:t>
            </w:r>
          </w:p>
        </w:tc>
        <w:tc>
          <w:tcPr>
            <w:tcW w:w="2250" w:type="dxa"/>
            <w:tcBorders>
              <w:top w:val="nil"/>
              <w:left w:val="nil"/>
              <w:bottom w:val="single" w:color="000000" w:sz="8" w:space="0"/>
              <w:right w:val="single" w:color="000000" w:sz="8" w:space="0"/>
            </w:tcBorders>
            <w:shd w:val="clear" w:color="auto" w:fill="auto"/>
            <w:vAlign w:val="center"/>
          </w:tcPr>
          <w:p w14:paraId="2E86D45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88905.91</w:t>
            </w:r>
          </w:p>
        </w:tc>
        <w:tc>
          <w:tcPr>
            <w:tcW w:w="2287" w:type="dxa"/>
            <w:tcBorders>
              <w:top w:val="nil"/>
              <w:left w:val="nil"/>
              <w:bottom w:val="single" w:color="000000" w:sz="8" w:space="0"/>
              <w:right w:val="single" w:color="000000" w:sz="8" w:space="0"/>
            </w:tcBorders>
            <w:shd w:val="clear" w:color="auto" w:fill="auto"/>
            <w:vAlign w:val="center"/>
          </w:tcPr>
          <w:p w14:paraId="6FC0BCD6">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71311.90</w:t>
            </w:r>
          </w:p>
        </w:tc>
        <w:tc>
          <w:tcPr>
            <w:tcW w:w="2250" w:type="dxa"/>
            <w:tcBorders>
              <w:top w:val="nil"/>
              <w:left w:val="nil"/>
              <w:bottom w:val="single" w:color="000000" w:sz="8" w:space="0"/>
              <w:right w:val="single" w:color="000000" w:sz="8" w:space="0"/>
            </w:tcBorders>
            <w:shd w:val="clear" w:color="auto" w:fill="auto"/>
            <w:vAlign w:val="center"/>
          </w:tcPr>
          <w:p w14:paraId="7D4EEEC3">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25%</w:t>
            </w:r>
          </w:p>
        </w:tc>
      </w:tr>
      <w:tr w14:paraId="6D23CF0A">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6043BC7C">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投资收益</w:t>
            </w:r>
          </w:p>
        </w:tc>
        <w:tc>
          <w:tcPr>
            <w:tcW w:w="2250" w:type="dxa"/>
            <w:tcBorders>
              <w:top w:val="nil"/>
              <w:left w:val="nil"/>
              <w:bottom w:val="single" w:color="000000" w:sz="8" w:space="0"/>
              <w:right w:val="single" w:color="000000" w:sz="8" w:space="0"/>
            </w:tcBorders>
            <w:shd w:val="clear" w:color="auto" w:fill="auto"/>
            <w:vAlign w:val="center"/>
          </w:tcPr>
          <w:p w14:paraId="53FABDE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0.00</w:t>
            </w:r>
          </w:p>
        </w:tc>
        <w:tc>
          <w:tcPr>
            <w:tcW w:w="2287" w:type="dxa"/>
            <w:tcBorders>
              <w:top w:val="nil"/>
              <w:left w:val="nil"/>
              <w:bottom w:val="single" w:color="000000" w:sz="8" w:space="0"/>
              <w:right w:val="single" w:color="000000" w:sz="8" w:space="0"/>
            </w:tcBorders>
            <w:shd w:val="clear" w:color="auto" w:fill="auto"/>
            <w:vAlign w:val="center"/>
          </w:tcPr>
          <w:p w14:paraId="40FFB50B">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0.00</w:t>
            </w:r>
          </w:p>
        </w:tc>
        <w:tc>
          <w:tcPr>
            <w:tcW w:w="2250" w:type="dxa"/>
            <w:tcBorders>
              <w:top w:val="nil"/>
              <w:left w:val="nil"/>
              <w:bottom w:val="single" w:color="000000" w:sz="8" w:space="0"/>
              <w:right w:val="single" w:color="000000" w:sz="8" w:space="0"/>
            </w:tcBorders>
            <w:shd w:val="clear" w:color="auto" w:fill="auto"/>
            <w:vAlign w:val="center"/>
          </w:tcPr>
          <w:p w14:paraId="60193B0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0%</w:t>
            </w:r>
          </w:p>
        </w:tc>
      </w:tr>
      <w:tr w14:paraId="74E5E611">
        <w:tblPrEx>
          <w:tblCellMar>
            <w:top w:w="0" w:type="dxa"/>
            <w:left w:w="108" w:type="dxa"/>
            <w:bottom w:w="0" w:type="dxa"/>
            <w:right w:w="108" w:type="dxa"/>
          </w:tblCellMar>
        </w:tblPrEx>
        <w:trPr>
          <w:trHeight w:val="585"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33A3CB38">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营业外收支</w:t>
            </w:r>
          </w:p>
        </w:tc>
        <w:tc>
          <w:tcPr>
            <w:tcW w:w="2250" w:type="dxa"/>
            <w:tcBorders>
              <w:top w:val="nil"/>
              <w:left w:val="nil"/>
              <w:bottom w:val="single" w:color="000000" w:sz="8" w:space="0"/>
              <w:right w:val="single" w:color="000000" w:sz="8" w:space="0"/>
            </w:tcBorders>
            <w:shd w:val="clear" w:color="auto" w:fill="auto"/>
            <w:vAlign w:val="center"/>
          </w:tcPr>
          <w:p w14:paraId="4F51DD2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sz w:val="24"/>
              </w:rPr>
              <w:t>68.63</w:t>
            </w:r>
          </w:p>
        </w:tc>
        <w:tc>
          <w:tcPr>
            <w:tcW w:w="2287" w:type="dxa"/>
            <w:tcBorders>
              <w:top w:val="nil"/>
              <w:left w:val="nil"/>
              <w:bottom w:val="single" w:color="000000" w:sz="8" w:space="0"/>
              <w:right w:val="single" w:color="000000" w:sz="8" w:space="0"/>
            </w:tcBorders>
            <w:shd w:val="clear" w:color="auto" w:fill="auto"/>
            <w:vAlign w:val="center"/>
          </w:tcPr>
          <w:p w14:paraId="71EDA98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-186.17</w:t>
            </w:r>
          </w:p>
        </w:tc>
        <w:tc>
          <w:tcPr>
            <w:tcW w:w="2250" w:type="dxa"/>
            <w:tcBorders>
              <w:top w:val="nil"/>
              <w:left w:val="nil"/>
              <w:bottom w:val="single" w:color="000000" w:sz="8" w:space="0"/>
              <w:right w:val="single" w:color="000000" w:sz="8" w:space="0"/>
            </w:tcBorders>
            <w:shd w:val="clear" w:color="auto" w:fill="auto"/>
            <w:vAlign w:val="center"/>
          </w:tcPr>
          <w:p w14:paraId="1165B346">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137%</w:t>
            </w:r>
          </w:p>
        </w:tc>
      </w:tr>
      <w:tr w14:paraId="6EAC12DC">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1556D35C">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利润总额</w:t>
            </w:r>
          </w:p>
        </w:tc>
        <w:tc>
          <w:tcPr>
            <w:tcW w:w="2250" w:type="dxa"/>
            <w:tcBorders>
              <w:top w:val="nil"/>
              <w:left w:val="nil"/>
              <w:bottom w:val="single" w:color="000000" w:sz="8" w:space="0"/>
              <w:right w:val="single" w:color="000000" w:sz="8" w:space="0"/>
            </w:tcBorders>
            <w:shd w:val="clear" w:color="auto" w:fill="auto"/>
            <w:vAlign w:val="center"/>
          </w:tcPr>
          <w:p w14:paraId="518BE69C">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88974.53</w:t>
            </w:r>
          </w:p>
        </w:tc>
        <w:tc>
          <w:tcPr>
            <w:tcW w:w="2287" w:type="dxa"/>
            <w:tcBorders>
              <w:top w:val="nil"/>
              <w:left w:val="nil"/>
              <w:bottom w:val="single" w:color="000000" w:sz="8" w:space="0"/>
              <w:right w:val="single" w:color="000000" w:sz="8" w:space="0"/>
            </w:tcBorders>
            <w:shd w:val="clear" w:color="auto" w:fill="auto"/>
            <w:vAlign w:val="center"/>
          </w:tcPr>
          <w:p w14:paraId="6D3436E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71125.73</w:t>
            </w:r>
          </w:p>
        </w:tc>
        <w:tc>
          <w:tcPr>
            <w:tcW w:w="2250" w:type="dxa"/>
            <w:tcBorders>
              <w:top w:val="nil"/>
              <w:left w:val="nil"/>
              <w:bottom w:val="single" w:color="000000" w:sz="8" w:space="0"/>
              <w:right w:val="single" w:color="000000" w:sz="8" w:space="0"/>
            </w:tcBorders>
            <w:shd w:val="clear" w:color="auto" w:fill="auto"/>
            <w:vAlign w:val="center"/>
          </w:tcPr>
          <w:p w14:paraId="7E4BAC36">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25%</w:t>
            </w:r>
          </w:p>
        </w:tc>
      </w:tr>
      <w:tr w14:paraId="0743B1BE">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2116F679">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税费总额</w:t>
            </w:r>
          </w:p>
        </w:tc>
        <w:tc>
          <w:tcPr>
            <w:tcW w:w="2250" w:type="dxa"/>
            <w:tcBorders>
              <w:top w:val="nil"/>
              <w:left w:val="nil"/>
              <w:bottom w:val="single" w:color="000000" w:sz="8" w:space="0"/>
              <w:right w:val="single" w:color="000000" w:sz="8" w:space="0"/>
            </w:tcBorders>
            <w:shd w:val="clear" w:color="auto" w:fill="auto"/>
            <w:vAlign w:val="center"/>
          </w:tcPr>
          <w:p w14:paraId="0C2FB35E">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sz w:val="24"/>
              </w:rPr>
              <w:t>24401.73</w:t>
            </w:r>
          </w:p>
        </w:tc>
        <w:tc>
          <w:tcPr>
            <w:tcW w:w="2287" w:type="dxa"/>
            <w:tcBorders>
              <w:top w:val="nil"/>
              <w:left w:val="nil"/>
              <w:bottom w:val="single" w:color="000000" w:sz="8" w:space="0"/>
              <w:right w:val="single" w:color="000000" w:sz="8" w:space="0"/>
            </w:tcBorders>
            <w:shd w:val="clear" w:color="auto" w:fill="auto"/>
            <w:vAlign w:val="center"/>
          </w:tcPr>
          <w:p w14:paraId="59D96931">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sz w:val="24"/>
              </w:rPr>
              <w:t>14444.51</w:t>
            </w:r>
          </w:p>
        </w:tc>
        <w:tc>
          <w:tcPr>
            <w:tcW w:w="2250" w:type="dxa"/>
            <w:tcBorders>
              <w:top w:val="nil"/>
              <w:left w:val="nil"/>
              <w:bottom w:val="single" w:color="000000" w:sz="8" w:space="0"/>
              <w:right w:val="single" w:color="000000" w:sz="8" w:space="0"/>
            </w:tcBorders>
            <w:shd w:val="clear" w:color="auto" w:fill="auto"/>
            <w:vAlign w:val="center"/>
          </w:tcPr>
          <w:p w14:paraId="306DDB73">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69%</w:t>
            </w:r>
          </w:p>
        </w:tc>
      </w:tr>
      <w:tr w14:paraId="2FCB6E36">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24544ED1">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净利润</w:t>
            </w:r>
          </w:p>
        </w:tc>
        <w:tc>
          <w:tcPr>
            <w:tcW w:w="2250" w:type="dxa"/>
            <w:tcBorders>
              <w:top w:val="nil"/>
              <w:left w:val="nil"/>
              <w:bottom w:val="single" w:color="000000" w:sz="8" w:space="0"/>
              <w:right w:val="single" w:color="000000" w:sz="8" w:space="0"/>
            </w:tcBorders>
            <w:shd w:val="clear" w:color="auto" w:fill="auto"/>
            <w:vAlign w:val="center"/>
          </w:tcPr>
          <w:p w14:paraId="62C1808E">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77048.00</w:t>
            </w:r>
          </w:p>
        </w:tc>
        <w:tc>
          <w:tcPr>
            <w:tcW w:w="2287" w:type="dxa"/>
            <w:tcBorders>
              <w:top w:val="nil"/>
              <w:left w:val="nil"/>
              <w:bottom w:val="single" w:color="000000" w:sz="8" w:space="0"/>
              <w:right w:val="single" w:color="000000" w:sz="8" w:space="0"/>
            </w:tcBorders>
            <w:shd w:val="clear" w:color="auto" w:fill="auto"/>
            <w:vAlign w:val="center"/>
          </w:tcPr>
          <w:p w14:paraId="6CC57ED7">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61066.06</w:t>
            </w:r>
          </w:p>
        </w:tc>
        <w:tc>
          <w:tcPr>
            <w:tcW w:w="2250" w:type="dxa"/>
            <w:tcBorders>
              <w:top w:val="nil"/>
              <w:left w:val="nil"/>
              <w:bottom w:val="single" w:color="000000" w:sz="8" w:space="0"/>
              <w:right w:val="single" w:color="000000" w:sz="8" w:space="0"/>
            </w:tcBorders>
            <w:shd w:val="clear" w:color="auto" w:fill="auto"/>
            <w:vAlign w:val="center"/>
          </w:tcPr>
          <w:p w14:paraId="0811A428">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26%</w:t>
            </w:r>
          </w:p>
        </w:tc>
      </w:tr>
      <w:tr w14:paraId="2D28ABD5">
        <w:tblPrEx>
          <w:tblCellMar>
            <w:top w:w="0" w:type="dxa"/>
            <w:left w:w="108" w:type="dxa"/>
            <w:bottom w:w="0" w:type="dxa"/>
            <w:right w:w="108" w:type="dxa"/>
          </w:tblCellMar>
        </w:tblPrEx>
        <w:trPr>
          <w:trHeight w:val="57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34E5B666">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营业利润率</w:t>
            </w:r>
          </w:p>
        </w:tc>
        <w:tc>
          <w:tcPr>
            <w:tcW w:w="2250" w:type="dxa"/>
            <w:tcBorders>
              <w:top w:val="nil"/>
              <w:left w:val="nil"/>
              <w:bottom w:val="single" w:color="000000" w:sz="8" w:space="0"/>
              <w:right w:val="single" w:color="000000" w:sz="8" w:space="0"/>
            </w:tcBorders>
            <w:shd w:val="clear" w:color="auto" w:fill="auto"/>
            <w:vAlign w:val="center"/>
          </w:tcPr>
          <w:p w14:paraId="3F70D452">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42%</w:t>
            </w:r>
          </w:p>
        </w:tc>
        <w:tc>
          <w:tcPr>
            <w:tcW w:w="2287" w:type="dxa"/>
            <w:tcBorders>
              <w:top w:val="nil"/>
              <w:left w:val="nil"/>
              <w:bottom w:val="single" w:color="000000" w:sz="8" w:space="0"/>
              <w:right w:val="single" w:color="000000" w:sz="8" w:space="0"/>
            </w:tcBorders>
            <w:shd w:val="clear" w:color="auto" w:fill="auto"/>
            <w:vAlign w:val="center"/>
          </w:tcPr>
          <w:p w14:paraId="01F5CE3F">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48%</w:t>
            </w:r>
          </w:p>
        </w:tc>
        <w:tc>
          <w:tcPr>
            <w:tcW w:w="2250" w:type="dxa"/>
            <w:tcBorders>
              <w:top w:val="nil"/>
              <w:left w:val="nil"/>
              <w:bottom w:val="single" w:color="000000" w:sz="8" w:space="0"/>
              <w:right w:val="single" w:color="000000" w:sz="8" w:space="0"/>
            </w:tcBorders>
            <w:shd w:val="clear" w:color="auto" w:fill="auto"/>
            <w:vAlign w:val="center"/>
          </w:tcPr>
          <w:p w14:paraId="20C6BCA8">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-11%</w:t>
            </w:r>
          </w:p>
        </w:tc>
      </w:tr>
      <w:tr w14:paraId="12787FCD">
        <w:tblPrEx>
          <w:tblCellMar>
            <w:top w:w="0" w:type="dxa"/>
            <w:left w:w="108" w:type="dxa"/>
            <w:bottom w:w="0" w:type="dxa"/>
            <w:right w:w="108" w:type="dxa"/>
          </w:tblCellMar>
        </w:tblPrEx>
        <w:trPr>
          <w:trHeight w:val="57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6D4BC565">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净资产收益率</w:t>
            </w:r>
          </w:p>
        </w:tc>
        <w:tc>
          <w:tcPr>
            <w:tcW w:w="2250" w:type="dxa"/>
            <w:tcBorders>
              <w:top w:val="nil"/>
              <w:left w:val="nil"/>
              <w:bottom w:val="single" w:color="000000" w:sz="8" w:space="0"/>
              <w:right w:val="single" w:color="000000" w:sz="8" w:space="0"/>
            </w:tcBorders>
            <w:shd w:val="clear" w:color="auto" w:fill="auto"/>
            <w:vAlign w:val="center"/>
          </w:tcPr>
          <w:p w14:paraId="10C7BB32">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66%</w:t>
            </w:r>
          </w:p>
        </w:tc>
        <w:tc>
          <w:tcPr>
            <w:tcW w:w="2287" w:type="dxa"/>
            <w:tcBorders>
              <w:top w:val="nil"/>
              <w:left w:val="nil"/>
              <w:bottom w:val="single" w:color="000000" w:sz="8" w:space="0"/>
              <w:right w:val="single" w:color="000000" w:sz="8" w:space="0"/>
            </w:tcBorders>
            <w:shd w:val="clear" w:color="auto" w:fill="auto"/>
            <w:vAlign w:val="center"/>
          </w:tcPr>
          <w:p w14:paraId="7C017D75">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91%</w:t>
            </w:r>
          </w:p>
        </w:tc>
        <w:tc>
          <w:tcPr>
            <w:tcW w:w="2250" w:type="dxa"/>
            <w:tcBorders>
              <w:top w:val="nil"/>
              <w:left w:val="nil"/>
              <w:bottom w:val="single" w:color="000000" w:sz="8" w:space="0"/>
              <w:right w:val="single" w:color="000000" w:sz="8" w:space="0"/>
            </w:tcBorders>
            <w:shd w:val="clear" w:color="auto" w:fill="auto"/>
            <w:vAlign w:val="center"/>
          </w:tcPr>
          <w:p w14:paraId="59AEB113">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-28%</w:t>
            </w:r>
          </w:p>
        </w:tc>
      </w:tr>
      <w:tr w14:paraId="763BBD09">
        <w:tblPrEx>
          <w:tblCellMar>
            <w:top w:w="0" w:type="dxa"/>
            <w:left w:w="108" w:type="dxa"/>
            <w:bottom w:w="0" w:type="dxa"/>
            <w:right w:w="108" w:type="dxa"/>
          </w:tblCellMar>
        </w:tblPrEx>
        <w:trPr>
          <w:trHeight w:val="525"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4CF42496">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主要指标</w:t>
            </w:r>
          </w:p>
        </w:tc>
        <w:tc>
          <w:tcPr>
            <w:tcW w:w="2250" w:type="dxa"/>
            <w:tcBorders>
              <w:top w:val="nil"/>
              <w:left w:val="nil"/>
              <w:bottom w:val="single" w:color="000000" w:sz="8" w:space="0"/>
              <w:right w:val="single" w:color="000000" w:sz="8" w:space="0"/>
            </w:tcBorders>
            <w:shd w:val="clear" w:color="auto" w:fill="auto"/>
            <w:vAlign w:val="center"/>
          </w:tcPr>
          <w:p w14:paraId="469AE95C">
            <w:pPr>
              <w:widowControl/>
              <w:jc w:val="center"/>
              <w:textAlignment w:val="center"/>
              <w:rPr>
                <w:rFonts w:hint="eastAsia" w:ascii="仿宋_GB2312" w:hAnsi="宋体" w:eastAsia="仿宋_GB2312" w:cs="仿宋_GB2312"/>
                <w:color w:val="000000" w:themeColor="text1"/>
                <w:szCs w:val="21"/>
              </w:rPr>
            </w:pPr>
            <w:r>
              <w:rPr>
                <w:rFonts w:hint="eastAsia" w:ascii="仿宋_GB2312" w:hAnsi="宋体" w:eastAsia="仿宋_GB2312" w:cs="仿宋_GB2312"/>
                <w:color w:val="000000" w:themeColor="text1"/>
                <w:kern w:val="0"/>
                <w:szCs w:val="21"/>
                <w:lang w:bidi="ar"/>
              </w:rPr>
              <w:t>期末金额（万元）</w:t>
            </w:r>
          </w:p>
        </w:tc>
        <w:tc>
          <w:tcPr>
            <w:tcW w:w="2287" w:type="dxa"/>
            <w:tcBorders>
              <w:top w:val="nil"/>
              <w:left w:val="nil"/>
              <w:bottom w:val="single" w:color="000000" w:sz="8" w:space="0"/>
              <w:right w:val="single" w:color="000000" w:sz="8" w:space="0"/>
            </w:tcBorders>
            <w:shd w:val="clear" w:color="auto" w:fill="auto"/>
            <w:vAlign w:val="center"/>
          </w:tcPr>
          <w:p w14:paraId="5219A967">
            <w:pPr>
              <w:widowControl/>
              <w:jc w:val="center"/>
              <w:textAlignment w:val="center"/>
              <w:rPr>
                <w:rFonts w:hint="eastAsia" w:ascii="仿宋_GB2312" w:hAnsi="宋体" w:eastAsia="仿宋_GB2312" w:cs="仿宋_GB2312"/>
                <w:color w:val="000000" w:themeColor="text1"/>
                <w:szCs w:val="21"/>
              </w:rPr>
            </w:pPr>
            <w:r>
              <w:rPr>
                <w:rFonts w:hint="eastAsia" w:ascii="仿宋_GB2312" w:hAnsi="宋体" w:eastAsia="仿宋_GB2312" w:cs="仿宋_GB2312"/>
                <w:color w:val="000000" w:themeColor="text1"/>
                <w:kern w:val="0"/>
                <w:szCs w:val="21"/>
                <w:lang w:bidi="ar"/>
              </w:rPr>
              <w:t>年初金额（万元）</w:t>
            </w:r>
          </w:p>
        </w:tc>
        <w:tc>
          <w:tcPr>
            <w:tcW w:w="2250" w:type="dxa"/>
            <w:tcBorders>
              <w:top w:val="nil"/>
              <w:left w:val="nil"/>
              <w:bottom w:val="single" w:color="000000" w:sz="8" w:space="0"/>
              <w:right w:val="single" w:color="000000" w:sz="8" w:space="0"/>
            </w:tcBorders>
            <w:shd w:val="clear" w:color="auto" w:fill="auto"/>
            <w:vAlign w:val="center"/>
          </w:tcPr>
          <w:p w14:paraId="2F9D9954">
            <w:pPr>
              <w:widowControl/>
              <w:jc w:val="center"/>
              <w:textAlignment w:val="center"/>
              <w:rPr>
                <w:rFonts w:hint="eastAsia" w:ascii="仿宋_GB2312" w:hAnsi="宋体" w:eastAsia="仿宋_GB2312" w:cs="仿宋_GB2312"/>
                <w:color w:val="000000" w:themeColor="text1"/>
                <w:szCs w:val="21"/>
              </w:rPr>
            </w:pPr>
            <w:r>
              <w:rPr>
                <w:rFonts w:hint="eastAsia" w:ascii="仿宋_GB2312" w:hAnsi="宋体" w:eastAsia="仿宋_GB2312" w:cs="仿宋_GB2312"/>
                <w:color w:val="000000" w:themeColor="text1"/>
                <w:kern w:val="0"/>
                <w:szCs w:val="21"/>
                <w:lang w:bidi="ar"/>
              </w:rPr>
              <w:t>变动比例（%）</w:t>
            </w:r>
          </w:p>
        </w:tc>
      </w:tr>
      <w:tr w14:paraId="384FD9E9">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52038C89">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资产总额</w:t>
            </w:r>
          </w:p>
        </w:tc>
        <w:tc>
          <w:tcPr>
            <w:tcW w:w="2250" w:type="dxa"/>
            <w:tcBorders>
              <w:top w:val="nil"/>
              <w:left w:val="nil"/>
              <w:bottom w:val="single" w:color="000000" w:sz="8" w:space="0"/>
              <w:right w:val="single" w:color="000000" w:sz="8" w:space="0"/>
            </w:tcBorders>
            <w:shd w:val="clear" w:color="auto" w:fill="auto"/>
            <w:vAlign w:val="center"/>
          </w:tcPr>
          <w:p w14:paraId="1C425BEC">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171992.53</w:t>
            </w:r>
          </w:p>
        </w:tc>
        <w:tc>
          <w:tcPr>
            <w:tcW w:w="2287" w:type="dxa"/>
            <w:tcBorders>
              <w:top w:val="nil"/>
              <w:left w:val="nil"/>
              <w:bottom w:val="single" w:color="000000" w:sz="8" w:space="0"/>
              <w:right w:val="single" w:color="000000" w:sz="8" w:space="0"/>
            </w:tcBorders>
            <w:shd w:val="clear" w:color="auto" w:fill="auto"/>
            <w:vAlign w:val="center"/>
          </w:tcPr>
          <w:p w14:paraId="1CFBB32F">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121104.66</w:t>
            </w:r>
          </w:p>
        </w:tc>
        <w:tc>
          <w:tcPr>
            <w:tcW w:w="2250" w:type="dxa"/>
            <w:tcBorders>
              <w:top w:val="nil"/>
              <w:left w:val="nil"/>
              <w:bottom w:val="single" w:color="000000" w:sz="8" w:space="0"/>
              <w:right w:val="single" w:color="000000" w:sz="8" w:space="0"/>
            </w:tcBorders>
            <w:shd w:val="clear" w:color="auto" w:fill="auto"/>
            <w:vAlign w:val="center"/>
          </w:tcPr>
          <w:p w14:paraId="280E12CD">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42%</w:t>
            </w:r>
          </w:p>
        </w:tc>
      </w:tr>
      <w:tr w14:paraId="7C93A8EF">
        <w:tblPrEx>
          <w:tblCellMar>
            <w:top w:w="0" w:type="dxa"/>
            <w:left w:w="108" w:type="dxa"/>
            <w:bottom w:w="0" w:type="dxa"/>
            <w:right w:w="108" w:type="dxa"/>
          </w:tblCellMar>
        </w:tblPrEx>
        <w:trPr>
          <w:trHeight w:val="300"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3880FDFA">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负债总额</w:t>
            </w:r>
          </w:p>
        </w:tc>
        <w:tc>
          <w:tcPr>
            <w:tcW w:w="2250" w:type="dxa"/>
            <w:tcBorders>
              <w:top w:val="nil"/>
              <w:left w:val="nil"/>
              <w:bottom w:val="single" w:color="000000" w:sz="8" w:space="0"/>
              <w:right w:val="single" w:color="000000" w:sz="8" w:space="0"/>
            </w:tcBorders>
            <w:shd w:val="clear" w:color="auto" w:fill="auto"/>
            <w:vAlign w:val="center"/>
          </w:tcPr>
          <w:p w14:paraId="2732289E">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32137.64</w:t>
            </w:r>
          </w:p>
        </w:tc>
        <w:tc>
          <w:tcPr>
            <w:tcW w:w="2287" w:type="dxa"/>
            <w:tcBorders>
              <w:top w:val="nil"/>
              <w:left w:val="nil"/>
              <w:bottom w:val="single" w:color="000000" w:sz="8" w:space="0"/>
              <w:right w:val="single" w:color="000000" w:sz="8" w:space="0"/>
            </w:tcBorders>
            <w:shd w:val="clear" w:color="auto" w:fill="auto"/>
            <w:vAlign w:val="center"/>
          </w:tcPr>
          <w:p w14:paraId="30E6C822">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26149.03</w:t>
            </w:r>
          </w:p>
        </w:tc>
        <w:tc>
          <w:tcPr>
            <w:tcW w:w="2250" w:type="dxa"/>
            <w:tcBorders>
              <w:top w:val="nil"/>
              <w:left w:val="nil"/>
              <w:bottom w:val="single" w:color="000000" w:sz="8" w:space="0"/>
              <w:right w:val="single" w:color="000000" w:sz="8" w:space="0"/>
            </w:tcBorders>
            <w:shd w:val="clear" w:color="auto" w:fill="auto"/>
            <w:vAlign w:val="center"/>
          </w:tcPr>
          <w:p w14:paraId="2AFCFF5E">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23%</w:t>
            </w:r>
          </w:p>
        </w:tc>
      </w:tr>
      <w:tr w14:paraId="272B7388">
        <w:tblPrEx>
          <w:tblCellMar>
            <w:top w:w="0" w:type="dxa"/>
            <w:left w:w="108" w:type="dxa"/>
            <w:bottom w:w="0" w:type="dxa"/>
            <w:right w:w="108" w:type="dxa"/>
          </w:tblCellMar>
        </w:tblPrEx>
        <w:trPr>
          <w:trHeight w:val="585" w:hRule="atLeast"/>
        </w:trPr>
        <w:tc>
          <w:tcPr>
            <w:tcW w:w="1881" w:type="dxa"/>
            <w:tcBorders>
              <w:top w:val="nil"/>
              <w:left w:val="single" w:color="000000" w:sz="8" w:space="0"/>
              <w:bottom w:val="single" w:color="000000" w:sz="8" w:space="0"/>
              <w:right w:val="single" w:color="000000" w:sz="8" w:space="0"/>
            </w:tcBorders>
            <w:shd w:val="clear" w:color="auto" w:fill="auto"/>
            <w:vAlign w:val="center"/>
          </w:tcPr>
          <w:p w14:paraId="4E6FE9A3">
            <w:pPr>
              <w:widowControl/>
              <w:jc w:val="center"/>
              <w:textAlignment w:val="top"/>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所有者权益</w:t>
            </w:r>
          </w:p>
        </w:tc>
        <w:tc>
          <w:tcPr>
            <w:tcW w:w="2250" w:type="dxa"/>
            <w:tcBorders>
              <w:top w:val="nil"/>
              <w:left w:val="nil"/>
              <w:bottom w:val="single" w:color="000000" w:sz="8" w:space="0"/>
              <w:right w:val="single" w:color="000000" w:sz="8" w:space="0"/>
            </w:tcBorders>
            <w:shd w:val="clear" w:color="auto" w:fill="auto"/>
            <w:vAlign w:val="center"/>
          </w:tcPr>
          <w:p w14:paraId="7E230AC0">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139854.90</w:t>
            </w:r>
          </w:p>
        </w:tc>
        <w:tc>
          <w:tcPr>
            <w:tcW w:w="2287" w:type="dxa"/>
            <w:tcBorders>
              <w:top w:val="nil"/>
              <w:left w:val="nil"/>
              <w:bottom w:val="single" w:color="000000" w:sz="8" w:space="0"/>
              <w:right w:val="single" w:color="000000" w:sz="8" w:space="0"/>
            </w:tcBorders>
            <w:shd w:val="clear" w:color="auto" w:fill="auto"/>
            <w:vAlign w:val="center"/>
          </w:tcPr>
          <w:p w14:paraId="2BBDDF9B">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94955.63</w:t>
            </w:r>
          </w:p>
        </w:tc>
        <w:tc>
          <w:tcPr>
            <w:tcW w:w="2250" w:type="dxa"/>
            <w:tcBorders>
              <w:top w:val="nil"/>
              <w:left w:val="nil"/>
              <w:bottom w:val="single" w:color="000000" w:sz="8" w:space="0"/>
              <w:right w:val="single" w:color="000000" w:sz="8" w:space="0"/>
            </w:tcBorders>
            <w:shd w:val="clear" w:color="auto" w:fill="auto"/>
            <w:vAlign w:val="center"/>
          </w:tcPr>
          <w:p w14:paraId="1DB60EA9">
            <w:pPr>
              <w:widowControl/>
              <w:jc w:val="center"/>
              <w:textAlignment w:val="center"/>
              <w:rPr>
                <w:rFonts w:hint="eastAsia" w:ascii="仿宋_GB2312" w:hAnsi="宋体" w:eastAsia="仿宋_GB2312" w:cs="仿宋_GB2312"/>
                <w:color w:val="000000" w:themeColor="text1"/>
                <w:sz w:val="24"/>
              </w:rPr>
            </w:pPr>
            <w:r>
              <w:rPr>
                <w:rFonts w:hint="eastAsia" w:ascii="仿宋_GB2312" w:hAnsi="宋体" w:eastAsia="仿宋_GB2312" w:cs="仿宋_GB2312"/>
                <w:color w:val="000000" w:themeColor="text1"/>
                <w:kern w:val="0"/>
                <w:sz w:val="24"/>
                <w:lang w:bidi="ar"/>
              </w:rPr>
              <w:t>47%</w:t>
            </w:r>
          </w:p>
        </w:tc>
      </w:tr>
    </w:tbl>
    <w:p w14:paraId="19BDB050">
      <w:pPr>
        <w:pStyle w:val="9"/>
        <w:wordWrap/>
        <w:spacing w:line="500" w:lineRule="exact"/>
        <w:rPr>
          <w:rFonts w:hint="eastAsia" w:ascii="仿宋_GB2312" w:hAnsi="仿宋_GB2312" w:eastAsia="仿宋_GB2312" w:cs="仿宋_GB2312"/>
          <w:color w:val="000000" w:themeColor="text1"/>
          <w:sz w:val="32"/>
          <w:szCs w:val="32"/>
        </w:rPr>
      </w:pPr>
    </w:p>
    <w:p w14:paraId="3391716A">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2.金正泰公司2023年无重要会计政策变更、重要会计估计变更、前期会计差错更正事项。</w:t>
      </w:r>
    </w:p>
    <w:p w14:paraId="71055AC2">
      <w:pPr>
        <w:adjustRightInd w:val="0"/>
        <w:snapToGrid w:val="0"/>
        <w:spacing w:line="560" w:lineRule="exact"/>
        <w:ind w:firstLine="640" w:firstLineChars="20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五、审计报告摘要</w:t>
      </w:r>
    </w:p>
    <w:p w14:paraId="4949D81C">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致同会计师事务所（特殊普通合伙）审计我公司财务报表，包括2023年12月31日资产负债表，2023年度利润表、现金流量表、所有者权益变动表以及相关财务报表附注后，认为财务报表在所有重大方面按照企业会计准则的规定编制，公允反映了我公司2023年12月31日财务状况以及2023年度经营成果和现金流量，出具了标准无保留意见审计报告。</w:t>
      </w:r>
    </w:p>
    <w:p w14:paraId="3F0C90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六</w:t>
      </w:r>
      <w:r>
        <w:rPr>
          <w:rFonts w:hint="eastAsia" w:ascii="黑体" w:hAnsi="黑体" w:eastAsia="黑体" w:cs="黑体"/>
          <w:color w:val="000000" w:themeColor="text1"/>
          <w:sz w:val="32"/>
          <w:szCs w:val="32"/>
        </w:rPr>
        <w:t>、董事会报告摘要</w:t>
      </w:r>
    </w:p>
    <w:p w14:paraId="00AF1BC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0"/>
          <w:sz w:val="32"/>
          <w:szCs w:val="32"/>
        </w:rPr>
        <w:t>（一）组织建设情况。</w:t>
      </w:r>
      <w:r>
        <w:rPr>
          <w:rFonts w:hint="eastAsia" w:ascii="仿宋_GB2312" w:hAnsi="仿宋_GB2312" w:eastAsia="仿宋_GB2312" w:cs="仿宋_GB2312"/>
          <w:color w:val="000000" w:themeColor="text1"/>
          <w:sz w:val="32"/>
          <w:szCs w:val="32"/>
        </w:rPr>
        <w:t>准格尔旗金正泰煤炭有限责任公司</w:t>
      </w:r>
      <w:r>
        <w:rPr>
          <w:rFonts w:hint="eastAsia" w:ascii="仿宋_GB2312" w:hAnsi="仿宋_GB2312" w:eastAsia="仿宋_GB2312" w:cs="仿宋_GB2312"/>
          <w:color w:val="000000" w:themeColor="text1"/>
          <w:kern w:val="0"/>
          <w:sz w:val="32"/>
          <w:szCs w:val="32"/>
        </w:rPr>
        <w:t>董事会由5名董事组成，分别为</w:t>
      </w:r>
      <w:r>
        <w:rPr>
          <w:rFonts w:hint="eastAsia" w:ascii="仿宋_GB2312" w:hAnsi="仿宋_GB2312" w:eastAsia="仿宋_GB2312" w:cs="仿宋_GB2312"/>
          <w:color w:val="000000" w:themeColor="text1"/>
          <w:sz w:val="32"/>
          <w:szCs w:val="32"/>
        </w:rPr>
        <w:t>董事长</w:t>
      </w:r>
      <w:r>
        <w:rPr>
          <w:rFonts w:hint="eastAsia" w:ascii="仿宋_GB2312" w:hAnsi="仿宋_GB2312" w:eastAsia="仿宋_GB2312" w:cs="仿宋_GB2312"/>
          <w:color w:val="000000" w:themeColor="text1"/>
          <w:sz w:val="32"/>
          <w:szCs w:val="32"/>
          <w:lang w:val="en-US" w:eastAsia="zh-CN"/>
        </w:rPr>
        <w:t>王旭光</w:t>
      </w:r>
      <w:r>
        <w:rPr>
          <w:rFonts w:hint="eastAsia" w:ascii="仿宋_GB2312" w:hAnsi="仿宋_GB2312" w:eastAsia="仿宋_GB2312" w:cs="仿宋_GB2312"/>
          <w:color w:val="000000" w:themeColor="text1"/>
          <w:sz w:val="32"/>
          <w:szCs w:val="32"/>
        </w:rPr>
        <w:t>、董事汪鹰、董事</w:t>
      </w:r>
      <w:r>
        <w:rPr>
          <w:rFonts w:hint="eastAsia" w:ascii="仿宋_GB2312" w:hAnsi="仿宋_GB2312" w:eastAsia="仿宋_GB2312" w:cs="仿宋_GB2312"/>
          <w:color w:val="000000" w:themeColor="text1"/>
          <w:sz w:val="32"/>
          <w:szCs w:val="32"/>
          <w:lang w:val="en-US" w:eastAsia="zh-CN"/>
        </w:rPr>
        <w:t>张金钟</w:t>
      </w:r>
      <w:r>
        <w:rPr>
          <w:rFonts w:hint="eastAsia" w:ascii="仿宋_GB2312" w:hAnsi="仿宋_GB2312" w:eastAsia="仿宋_GB2312" w:cs="仿宋_GB2312"/>
          <w:color w:val="000000" w:themeColor="text1"/>
          <w:sz w:val="32"/>
          <w:szCs w:val="32"/>
        </w:rPr>
        <w:t>、董事马涛、董事李衍磊</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sz w:val="32"/>
          <w:szCs w:val="32"/>
        </w:rPr>
        <w:t>公司董事会机构设置了董事会办公室，配备1名董事会秘书、1名专职协助人员，协助董事长负责公司治理制度建设、董事会日常运作等工作；董事会设置专门委员会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战略发展委员会、薪酬与考核委员会、提名委员会、审计委员会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明确了具体责任、工作，为重大决策提供咨询建议，决策把关，不断强化公司治理。</w:t>
      </w:r>
    </w:p>
    <w:p w14:paraId="68C38CD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0"/>
          <w:sz w:val="32"/>
          <w:szCs w:val="32"/>
        </w:rPr>
        <w:t>（二）制度建设情况。</w:t>
      </w:r>
      <w:r>
        <w:rPr>
          <w:rFonts w:hint="eastAsia" w:ascii="仿宋_GB2312" w:hAnsi="仿宋_GB2312" w:eastAsia="仿宋_GB2312" w:cs="仿宋_GB2312"/>
          <w:color w:val="000000" w:themeColor="text1"/>
          <w:kern w:val="0"/>
          <w:sz w:val="32"/>
          <w:szCs w:val="32"/>
        </w:rPr>
        <w:t>金正泰公司董事会各项制度健全完善，并严格按照</w:t>
      </w:r>
      <w:r>
        <w:rPr>
          <w:rFonts w:hint="eastAsia" w:ascii="仿宋_GB2312" w:hAnsi="仿宋_GB2312" w:eastAsia="仿宋_GB2312" w:cs="仿宋_GB2312"/>
          <w:color w:val="000000" w:themeColor="text1"/>
          <w:kern w:val="0"/>
          <w:sz w:val="32"/>
          <w:szCs w:val="32"/>
          <w:lang w:val="en-US" w:eastAsia="zh-CN"/>
        </w:rPr>
        <w:t>集团公司相关文件制度、</w:t>
      </w:r>
      <w:r>
        <w:rPr>
          <w:rFonts w:hint="eastAsia" w:ascii="仿宋_GB2312" w:hAnsi="仿宋_GB2312" w:eastAsia="仿宋_GB2312" w:cs="仿宋_GB2312"/>
          <w:color w:val="000000" w:themeColor="text1"/>
          <w:kern w:val="0"/>
          <w:sz w:val="32"/>
          <w:szCs w:val="32"/>
        </w:rPr>
        <w:t>《公司章程》要求召开董事会。为规范董事会运作，</w:t>
      </w:r>
      <w:r>
        <w:rPr>
          <w:rFonts w:hint="eastAsia" w:ascii="仿宋_GB2312" w:hAnsi="仿宋_GB2312" w:eastAsia="仿宋_GB2312" w:cs="仿宋_GB2312"/>
          <w:color w:val="000000" w:themeColor="text1"/>
          <w:kern w:val="0"/>
          <w:sz w:val="32"/>
          <w:szCs w:val="32"/>
          <w:lang w:val="en-US" w:eastAsia="zh-CN"/>
        </w:rPr>
        <w:t>进一步完善了</w:t>
      </w:r>
      <w:r>
        <w:rPr>
          <w:rFonts w:hint="eastAsia" w:ascii="仿宋_GB2312" w:hAnsi="仿宋_GB2312" w:eastAsia="仿宋_GB2312" w:cs="仿宋_GB2312"/>
          <w:color w:val="000000" w:themeColor="text1"/>
          <w:kern w:val="0"/>
          <w:sz w:val="32"/>
          <w:szCs w:val="32"/>
        </w:rPr>
        <w:t>《中共准格尔旗金正泰煤炭有限责任公司委员会关于进一步规范“三重一大”事项决策流程的通知》</w:t>
      </w:r>
      <w:r>
        <w:rPr>
          <w:rFonts w:hint="eastAsia" w:ascii="仿宋_GB2312" w:hAnsi="仿宋_GB2312" w:eastAsia="仿宋_GB2312" w:cs="仿宋_GB2312"/>
          <w:color w:val="000000" w:themeColor="text1"/>
          <w:kern w:val="0"/>
          <w:sz w:val="32"/>
          <w:szCs w:val="32"/>
          <w:lang w:val="en-US" w:eastAsia="zh-CN"/>
        </w:rPr>
        <w:t>等文件</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sz w:val="32"/>
          <w:szCs w:val="32"/>
        </w:rPr>
        <w:t>明确了“三重一大”事项决策范围，理顺了决策流程，提高了决策水平，防范了决策风险，有效</w:t>
      </w:r>
      <w:r>
        <w:rPr>
          <w:rFonts w:hint="eastAsia" w:ascii="仿宋_GB2312" w:hAnsi="仿宋_GB2312" w:eastAsia="仿宋_GB2312" w:cs="仿宋_GB2312"/>
          <w:color w:val="000000" w:themeColor="text1"/>
          <w:kern w:val="0"/>
          <w:sz w:val="32"/>
          <w:szCs w:val="32"/>
        </w:rPr>
        <w:t>保障了股东权益。</w:t>
      </w:r>
    </w:p>
    <w:p w14:paraId="081E203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0"/>
          <w:sz w:val="32"/>
          <w:szCs w:val="32"/>
        </w:rPr>
        <w:t>（三）董事会运作情况。</w:t>
      </w:r>
    </w:p>
    <w:p w14:paraId="323C4E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pacing w:val="-2"/>
          <w:kern w:val="21"/>
          <w:sz w:val="32"/>
          <w:szCs w:val="32"/>
          <w:lang w:val="en-US" w:eastAsia="zh-CN"/>
        </w:rPr>
      </w:pPr>
      <w:r>
        <w:rPr>
          <w:rFonts w:hint="eastAsia" w:ascii="仿宋_GB2312" w:hAnsi="仿宋_GB2312" w:eastAsia="仿宋_GB2312" w:cs="仿宋_GB2312"/>
          <w:color w:val="000000" w:themeColor="text1"/>
          <w:kern w:val="0"/>
          <w:sz w:val="32"/>
          <w:szCs w:val="32"/>
        </w:rPr>
        <w:t>金正泰公司董事会严格按照《公司章程》以及枣矿集团要求，</w:t>
      </w:r>
      <w:r>
        <w:rPr>
          <w:rFonts w:hint="eastAsia" w:ascii="仿宋_GB2312" w:hAnsi="仿宋_GB2312" w:eastAsia="仿宋_GB2312" w:cs="仿宋_GB2312"/>
          <w:color w:val="000000" w:themeColor="text1"/>
          <w:sz w:val="32"/>
          <w:szCs w:val="32"/>
        </w:rPr>
        <w:t>统筹做好了公司董事会的落实执行，做到程序规范，制度健全、结构科学、运行高效，</w:t>
      </w:r>
      <w:r>
        <w:rPr>
          <w:rFonts w:hint="eastAsia" w:ascii="仿宋_GB2312" w:hAnsi="仿宋_GB2312" w:eastAsia="仿宋_GB2312" w:cs="仿宋_GB2312"/>
          <w:color w:val="000000" w:themeColor="text1"/>
          <w:kern w:val="0"/>
          <w:sz w:val="32"/>
          <w:szCs w:val="32"/>
        </w:rPr>
        <w:t>持续提升企业管控能力。202</w:t>
      </w:r>
      <w:r>
        <w:rPr>
          <w:rFonts w:hint="eastAsia" w:ascii="仿宋_GB2312" w:hAnsi="仿宋_GB2312" w:eastAsia="仿宋_GB2312" w:cs="仿宋_GB2312"/>
          <w:color w:val="000000" w:themeColor="text1"/>
          <w:kern w:val="0"/>
          <w:sz w:val="32"/>
          <w:szCs w:val="32"/>
          <w:lang w:val="en-US" w:eastAsia="zh-CN"/>
        </w:rPr>
        <w:t>3</w:t>
      </w:r>
      <w:r>
        <w:rPr>
          <w:rFonts w:hint="eastAsia" w:ascii="仿宋_GB2312" w:hAnsi="仿宋_GB2312" w:eastAsia="仿宋_GB2312" w:cs="仿宋_GB2312"/>
          <w:color w:val="000000" w:themeColor="text1"/>
          <w:kern w:val="0"/>
          <w:sz w:val="32"/>
          <w:szCs w:val="32"/>
        </w:rPr>
        <w:t>年金正泰公司累计召开董事会会议</w:t>
      </w:r>
      <w:r>
        <w:rPr>
          <w:rFonts w:hint="eastAsia" w:ascii="仿宋_GB2312" w:hAnsi="仿宋_GB2312" w:eastAsia="仿宋_GB2312" w:cs="仿宋_GB2312"/>
          <w:color w:val="000000" w:themeColor="text1"/>
          <w:kern w:val="0"/>
          <w:sz w:val="32"/>
          <w:szCs w:val="32"/>
          <w:lang w:val="en-US" w:eastAsia="zh-CN"/>
        </w:rPr>
        <w:t>10</w:t>
      </w:r>
      <w:r>
        <w:rPr>
          <w:rFonts w:hint="eastAsia" w:ascii="仿宋_GB2312" w:hAnsi="仿宋_GB2312" w:eastAsia="仿宋_GB2312" w:cs="仿宋_GB2312"/>
          <w:color w:val="000000" w:themeColor="text1"/>
          <w:kern w:val="0"/>
          <w:sz w:val="32"/>
          <w:szCs w:val="32"/>
        </w:rPr>
        <w:t>次，形成决议</w:t>
      </w:r>
      <w:r>
        <w:rPr>
          <w:rFonts w:hint="eastAsia" w:ascii="仿宋_GB2312" w:hAnsi="仿宋_GB2312" w:eastAsia="仿宋_GB2312" w:cs="仿宋_GB2312"/>
          <w:color w:val="000000" w:themeColor="text1"/>
          <w:kern w:val="0"/>
          <w:sz w:val="32"/>
          <w:szCs w:val="32"/>
          <w:lang w:val="en-US" w:eastAsia="zh-CN"/>
        </w:rPr>
        <w:t>10</w:t>
      </w:r>
      <w:r>
        <w:rPr>
          <w:rFonts w:hint="eastAsia" w:ascii="仿宋_GB2312" w:hAnsi="仿宋_GB2312" w:eastAsia="仿宋_GB2312" w:cs="仿宋_GB2312"/>
          <w:color w:val="000000" w:themeColor="text1"/>
          <w:kern w:val="0"/>
          <w:sz w:val="32"/>
          <w:szCs w:val="32"/>
        </w:rPr>
        <w:t>项</w:t>
      </w:r>
      <w:r>
        <w:rPr>
          <w:rFonts w:hint="eastAsia" w:ascii="仿宋_GB2312" w:hAnsi="仿宋_GB2312" w:eastAsia="仿宋_GB2312" w:cs="仿宋_GB2312"/>
          <w:color w:val="000000" w:themeColor="text1"/>
          <w:kern w:val="0"/>
          <w:sz w:val="32"/>
          <w:szCs w:val="32"/>
          <w:lang w:val="en-US" w:eastAsia="zh-CN"/>
        </w:rPr>
        <w:t>，</w:t>
      </w:r>
      <w:r>
        <w:rPr>
          <w:rFonts w:hint="eastAsia" w:ascii="仿宋_GB2312" w:hAnsi="仿宋_GB2312" w:eastAsia="仿宋_GB2312" w:cs="仿宋_GB2312"/>
          <w:color w:val="000000" w:themeColor="text1"/>
          <w:kern w:val="0"/>
          <w:sz w:val="32"/>
          <w:szCs w:val="32"/>
        </w:rPr>
        <w:t>各项决议</w:t>
      </w:r>
      <w:r>
        <w:rPr>
          <w:rFonts w:hint="eastAsia" w:ascii="仿宋_GB2312" w:hAnsi="仿宋_GB2312" w:eastAsia="仿宋_GB2312" w:cs="仿宋_GB2312"/>
          <w:color w:val="000000" w:themeColor="text1"/>
          <w:kern w:val="0"/>
          <w:sz w:val="32"/>
          <w:szCs w:val="32"/>
          <w:lang w:val="en-US" w:eastAsia="zh-CN"/>
        </w:rPr>
        <w:t>都严格</w:t>
      </w:r>
      <w:r>
        <w:rPr>
          <w:rFonts w:hint="eastAsia" w:ascii="仿宋_GB2312" w:hAnsi="仿宋_GB2312" w:eastAsia="仿宋_GB2312" w:cs="仿宋_GB2312"/>
          <w:color w:val="000000" w:themeColor="text1"/>
          <w:kern w:val="0"/>
          <w:sz w:val="32"/>
          <w:szCs w:val="32"/>
        </w:rPr>
        <w:t>按制度、按程序、按要求进行落实，形成了各负其责、协调运转、科学高效的现代企业法人治理结构体系。根据董事会决策情况，形成重点工作落实清单和完成时限，</w:t>
      </w:r>
      <w:r>
        <w:rPr>
          <w:rFonts w:hint="eastAsia" w:ascii="仿宋_GB2312" w:hAnsi="仿宋_GB2312" w:eastAsia="仿宋_GB2312" w:cs="仿宋_GB2312"/>
          <w:color w:val="000000" w:themeColor="text1"/>
          <w:kern w:val="0"/>
          <w:sz w:val="32"/>
          <w:szCs w:val="32"/>
          <w:lang w:val="en-US" w:eastAsia="zh-CN"/>
        </w:rPr>
        <w:t>严格执行《董事会会议跟踪落实及后评价制度》，</w:t>
      </w:r>
      <w:r>
        <w:rPr>
          <w:rFonts w:hint="eastAsia" w:ascii="仿宋_GB2312" w:hAnsi="仿宋_GB2312" w:eastAsia="仿宋_GB2312" w:cs="仿宋_GB2312"/>
          <w:color w:val="000000" w:themeColor="text1"/>
          <w:kern w:val="0"/>
          <w:sz w:val="32"/>
          <w:szCs w:val="32"/>
        </w:rPr>
        <w:t>确保董事会各项决策部署落地实施。</w:t>
      </w:r>
    </w:p>
    <w:p w14:paraId="003107F2">
      <w:pPr>
        <w:keepNext w:val="0"/>
        <w:keepLines w:val="0"/>
        <w:pageBreakBefore w:val="0"/>
        <w:kinsoku/>
        <w:wordWrap/>
        <w:overflowPunct/>
        <w:topLinePunct w:val="0"/>
        <w:autoSpaceDE/>
        <w:autoSpaceDN/>
        <w:bidi w:val="0"/>
        <w:adjustRightInd/>
        <w:spacing w:line="560" w:lineRule="exact"/>
        <w:ind w:left="0" w:leftChars="0" w:firstLine="640" w:firstLineChars="200"/>
        <w:contextualSpacing/>
        <w:jc w:val="both"/>
        <w:textAlignment w:val="auto"/>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七、</w:t>
      </w:r>
      <w:r>
        <w:rPr>
          <w:rFonts w:hint="eastAsia" w:ascii="黑体" w:hAnsi="黑体" w:eastAsia="黑体" w:cs="黑体"/>
          <w:b w:val="0"/>
          <w:bCs w:val="0"/>
          <w:color w:val="000000" w:themeColor="text1"/>
          <w:sz w:val="32"/>
          <w:szCs w:val="32"/>
        </w:rPr>
        <w:t>绿色矿山建设</w:t>
      </w:r>
      <w:r>
        <w:rPr>
          <w:rFonts w:hint="eastAsia" w:ascii="黑体" w:hAnsi="黑体" w:eastAsia="黑体" w:cs="黑体"/>
          <w:b w:val="0"/>
          <w:bCs w:val="0"/>
          <w:color w:val="000000" w:themeColor="text1"/>
          <w:sz w:val="32"/>
          <w:szCs w:val="32"/>
          <w:lang w:val="en-US" w:eastAsia="zh-CN"/>
        </w:rPr>
        <w:t>报告摘要</w:t>
      </w:r>
    </w:p>
    <w:p w14:paraId="14723691">
      <w:pPr>
        <w:pStyle w:val="19"/>
        <w:keepNext w:val="0"/>
        <w:keepLines w:val="0"/>
        <w:pageBreakBefore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b w:val="0"/>
          <w:bCs w:val="0"/>
          <w:color w:val="000000" w:themeColor="text1"/>
          <w:kern w:val="0"/>
          <w:sz w:val="32"/>
          <w:szCs w:val="32"/>
          <w:lang w:val="en-US" w:eastAsia="zh-CN" w:bidi="ar-SA"/>
        </w:rPr>
      </w:pPr>
      <w:r>
        <w:rPr>
          <w:rFonts w:hint="eastAsia" w:ascii="仿宋_GB2312" w:hAnsi="仿宋_GB2312" w:eastAsia="仿宋_GB2312" w:cs="仿宋_GB2312"/>
          <w:color w:val="000000" w:themeColor="text1"/>
          <w:spacing w:val="-2"/>
          <w:kern w:val="21"/>
          <w:sz w:val="32"/>
          <w:szCs w:val="32"/>
        </w:rPr>
        <w:t>始终践行绿水青山就是金山银山理念，不断强化环保管控，加大生态恢复投入，企业绿色发展理念日益深入。</w:t>
      </w:r>
      <w:r>
        <w:rPr>
          <w:rFonts w:hint="eastAsia" w:ascii="仿宋_GB2312" w:hAnsi="仿宋_GB2312" w:eastAsia="仿宋_GB2312" w:cs="仿宋_GB2312"/>
          <w:b/>
          <w:bCs/>
          <w:color w:val="000000" w:themeColor="text1"/>
          <w:spacing w:val="-2"/>
          <w:kern w:val="21"/>
          <w:sz w:val="32"/>
          <w:szCs w:val="32"/>
          <w:lang w:val="en-US" w:eastAsia="zh-CN"/>
        </w:rPr>
        <w:t>一是</w:t>
      </w:r>
      <w:r>
        <w:rPr>
          <w:rFonts w:hint="eastAsia" w:ascii="仿宋_GB2312" w:hAnsi="仿宋_GB2312" w:eastAsia="仿宋_GB2312" w:cs="仿宋_GB2312"/>
          <w:b/>
          <w:bCs/>
          <w:color w:val="000000" w:themeColor="text1"/>
          <w:spacing w:val="-2"/>
          <w:kern w:val="21"/>
          <w:sz w:val="32"/>
          <w:szCs w:val="32"/>
        </w:rPr>
        <w:t>提高政治站位，防控环保风险</w:t>
      </w:r>
      <w:r>
        <w:rPr>
          <w:rFonts w:hint="eastAsia" w:ascii="仿宋_GB2312" w:hAnsi="仿宋_GB2312" w:eastAsia="仿宋_GB2312" w:cs="仿宋_GB2312"/>
          <w:b/>
          <w:bCs/>
          <w:color w:val="000000" w:themeColor="text1"/>
          <w:spacing w:val="-2"/>
          <w:kern w:val="21"/>
          <w:sz w:val="32"/>
          <w:szCs w:val="32"/>
          <w:lang w:eastAsia="zh-CN"/>
        </w:rPr>
        <w:t>，</w:t>
      </w:r>
      <w:r>
        <w:rPr>
          <w:rFonts w:hint="eastAsia" w:ascii="仿宋_GB2312" w:hAnsi="仿宋_GB2312" w:eastAsia="仿宋_GB2312" w:cs="仿宋_GB2312"/>
          <w:b/>
          <w:bCs/>
          <w:color w:val="000000" w:themeColor="text1"/>
          <w:spacing w:val="-2"/>
          <w:kern w:val="21"/>
          <w:sz w:val="32"/>
          <w:szCs w:val="32"/>
        </w:rPr>
        <w:t>严守环保底线</w:t>
      </w:r>
      <w:r>
        <w:rPr>
          <w:rFonts w:hint="eastAsia" w:ascii="仿宋_GB2312" w:hAnsi="仿宋_GB2312" w:eastAsia="仿宋_GB2312" w:cs="仿宋_GB2312"/>
          <w:b/>
          <w:bCs/>
          <w:color w:val="000000" w:themeColor="text1"/>
          <w:spacing w:val="-2"/>
          <w:kern w:val="21"/>
          <w:sz w:val="32"/>
          <w:szCs w:val="32"/>
          <w:lang w:eastAsia="zh-CN"/>
        </w:rPr>
        <w:t>。</w:t>
      </w:r>
      <w:r>
        <w:rPr>
          <w:rFonts w:hint="eastAsia" w:ascii="仿宋_GB2312" w:hAnsi="仿宋_GB2312" w:eastAsia="仿宋_GB2312" w:cs="仿宋_GB2312"/>
          <w:color w:val="000000" w:themeColor="text1"/>
          <w:spacing w:val="-2"/>
          <w:kern w:val="21"/>
          <w:sz w:val="32"/>
          <w:szCs w:val="32"/>
        </w:rPr>
        <w:t>科学把握环保态势，提高政治站位和环保意识，</w:t>
      </w:r>
      <w:r>
        <w:rPr>
          <w:rFonts w:hint="eastAsia" w:ascii="仿宋_GB2312" w:hAnsi="仿宋_GB2312" w:eastAsia="仿宋_GB2312" w:cs="仿宋_GB2312"/>
          <w:color w:val="000000" w:themeColor="text1"/>
          <w:spacing w:val="-2"/>
          <w:kern w:val="21"/>
          <w:sz w:val="32"/>
          <w:szCs w:val="32"/>
        </w:rPr>
        <w:fldChar w:fldCharType="begin"/>
      </w:r>
      <w:r>
        <w:rPr>
          <w:rFonts w:hint="eastAsia" w:ascii="仿宋_GB2312" w:hAnsi="仿宋_GB2312" w:eastAsia="仿宋_GB2312" w:cs="仿宋_GB2312"/>
          <w:color w:val="000000" w:themeColor="text1"/>
          <w:spacing w:val="-2"/>
          <w:kern w:val="21"/>
          <w:sz w:val="32"/>
          <w:szCs w:val="32"/>
        </w:rPr>
        <w:instrText xml:space="preserve"> HYPERLINK "https://www.so.com/link?m=bysFo4RHShynAjmPesxgJa6c1aUuceGiO26lo4I/fR/t06eGP7ZokHK7fPruE7OUYPoBbrVuxFkpvEhBPk/GWMsJkp/hQWvOJOaeYPo//LUMytbgA8KWA0es4IEkRDuuZ0GC7SKwqYm7f0xDU5t8JiDx9830wWBgmqr5xYTCi7OP41VV4L/2XrBOnbGmBR2+BCV5VW1ChSebJuptnXEzLRk15cPKtkEs5masLc4B/e24pp3S3CSTrHY4yztpXmmMYcx+rF6UeCkPfgrdZEJQP76sOWd2g2jnsM8L5SPn874W0rLh/ROMaHZIzYTc4QrKg7MSZiT9hiDVDaefT4FHL35/X/4poXcdiLgUjQNbw6QPSqEC7XTEqGX2EwPh7cBLzDOtTUA==" \t "https://www.so.com/_blank" </w:instrText>
      </w:r>
      <w:r>
        <w:rPr>
          <w:rFonts w:hint="eastAsia" w:ascii="仿宋_GB2312" w:hAnsi="仿宋_GB2312" w:eastAsia="仿宋_GB2312" w:cs="仿宋_GB2312"/>
          <w:color w:val="000000" w:themeColor="text1"/>
          <w:spacing w:val="-2"/>
          <w:kern w:val="21"/>
          <w:sz w:val="32"/>
          <w:szCs w:val="32"/>
        </w:rPr>
        <w:fldChar w:fldCharType="separate"/>
      </w:r>
      <w:r>
        <w:rPr>
          <w:rFonts w:hint="eastAsia" w:ascii="仿宋_GB2312" w:hAnsi="仿宋_GB2312" w:eastAsia="仿宋_GB2312" w:cs="仿宋_GB2312"/>
          <w:color w:val="000000" w:themeColor="text1"/>
          <w:spacing w:val="-2"/>
          <w:kern w:val="21"/>
          <w:sz w:val="32"/>
          <w:szCs w:val="32"/>
        </w:rPr>
        <w:t>加强环境风险防控措施，严守环保管控底线</w:t>
      </w:r>
      <w:r>
        <w:rPr>
          <w:rFonts w:hint="eastAsia" w:ascii="仿宋_GB2312" w:hAnsi="仿宋_GB2312" w:eastAsia="仿宋_GB2312" w:cs="仿宋_GB2312"/>
          <w:color w:val="000000" w:themeColor="text1"/>
          <w:spacing w:val="-2"/>
          <w:kern w:val="21"/>
          <w:sz w:val="32"/>
          <w:szCs w:val="32"/>
        </w:rPr>
        <w:fldChar w:fldCharType="end"/>
      </w:r>
      <w:r>
        <w:rPr>
          <w:rFonts w:hint="eastAsia" w:ascii="仿宋_GB2312" w:hAnsi="仿宋_GB2312" w:eastAsia="仿宋_GB2312" w:cs="仿宋_GB2312"/>
          <w:color w:val="000000" w:themeColor="text1"/>
          <w:spacing w:val="-2"/>
          <w:kern w:val="21"/>
          <w:sz w:val="32"/>
          <w:szCs w:val="32"/>
        </w:rPr>
        <w:t>，将生态环保工作放到与安全同等重要的突出位置，聚焦</w:t>
      </w:r>
      <w:r>
        <w:rPr>
          <w:rFonts w:hint="eastAsia" w:ascii="仿宋_GB2312" w:hAnsi="仿宋_GB2312" w:eastAsia="仿宋_GB2312" w:cs="仿宋_GB2312"/>
          <w:color w:val="000000" w:themeColor="text1"/>
          <w:spacing w:val="-2"/>
          <w:kern w:val="21"/>
          <w:sz w:val="32"/>
          <w:szCs w:val="32"/>
          <w:lang w:eastAsia="zh-CN"/>
        </w:rPr>
        <w:t>环保</w:t>
      </w:r>
      <w:r>
        <w:rPr>
          <w:rFonts w:hint="eastAsia" w:ascii="仿宋_GB2312" w:hAnsi="仿宋_GB2312" w:eastAsia="仿宋_GB2312" w:cs="仿宋_GB2312"/>
          <w:color w:val="000000" w:themeColor="text1"/>
          <w:spacing w:val="-2"/>
          <w:kern w:val="21"/>
          <w:sz w:val="32"/>
          <w:szCs w:val="32"/>
        </w:rPr>
        <w:t>风险</w:t>
      </w:r>
      <w:r>
        <w:rPr>
          <w:rFonts w:hint="eastAsia" w:ascii="仿宋_GB2312" w:hAnsi="仿宋_GB2312" w:eastAsia="仿宋_GB2312" w:cs="仿宋_GB2312"/>
          <w:color w:val="000000" w:themeColor="text1"/>
          <w:spacing w:val="-2"/>
          <w:kern w:val="21"/>
          <w:sz w:val="32"/>
          <w:szCs w:val="32"/>
          <w:lang w:eastAsia="zh-CN"/>
        </w:rPr>
        <w:t>防控结点</w:t>
      </w:r>
      <w:r>
        <w:rPr>
          <w:rFonts w:hint="eastAsia" w:ascii="仿宋_GB2312" w:hAnsi="仿宋_GB2312" w:eastAsia="仿宋_GB2312" w:cs="仿宋_GB2312"/>
          <w:color w:val="000000" w:themeColor="text1"/>
          <w:spacing w:val="-2"/>
          <w:kern w:val="21"/>
          <w:sz w:val="32"/>
          <w:szCs w:val="32"/>
        </w:rPr>
        <w:t>、关键环节、重点区域，每周四</w:t>
      </w:r>
      <w:r>
        <w:rPr>
          <w:rFonts w:hint="eastAsia" w:ascii="仿宋_GB2312" w:hAnsi="仿宋_GB2312" w:eastAsia="仿宋_GB2312" w:cs="仿宋_GB2312"/>
          <w:color w:val="000000" w:themeColor="text1"/>
          <w:spacing w:val="-2"/>
          <w:kern w:val="21"/>
          <w:sz w:val="32"/>
          <w:szCs w:val="32"/>
          <w:lang w:val="en-US" w:eastAsia="zh-CN"/>
        </w:rPr>
        <w:t>持续</w:t>
      </w:r>
      <w:r>
        <w:rPr>
          <w:rFonts w:hint="eastAsia" w:ascii="仿宋_GB2312" w:hAnsi="仿宋_GB2312" w:eastAsia="仿宋_GB2312" w:cs="仿宋_GB2312"/>
          <w:color w:val="000000" w:themeColor="text1"/>
          <w:spacing w:val="-2"/>
          <w:kern w:val="21"/>
          <w:sz w:val="32"/>
          <w:szCs w:val="32"/>
        </w:rPr>
        <w:t>深入开展风险防控和隐患排查整治工作，并对检查中发现的问题制定方案、落实整改，形成自查自纠台</w:t>
      </w:r>
      <w:r>
        <w:rPr>
          <w:rFonts w:hint="eastAsia" w:ascii="仿宋_GB2312" w:hAnsi="仿宋_GB2312" w:eastAsia="仿宋_GB2312" w:cs="仿宋_GB2312"/>
          <w:color w:val="000000" w:themeColor="text1"/>
          <w:spacing w:val="-2"/>
          <w:kern w:val="21"/>
          <w:sz w:val="32"/>
          <w:szCs w:val="32"/>
          <w:lang w:eastAsia="zh-CN"/>
        </w:rPr>
        <w:t>账</w:t>
      </w:r>
      <w:r>
        <w:rPr>
          <w:rFonts w:hint="eastAsia" w:ascii="仿宋_GB2312" w:hAnsi="仿宋_GB2312" w:eastAsia="仿宋_GB2312" w:cs="仿宋_GB2312"/>
          <w:color w:val="000000" w:themeColor="text1"/>
          <w:spacing w:val="-2"/>
          <w:kern w:val="21"/>
          <w:sz w:val="32"/>
          <w:szCs w:val="32"/>
        </w:rPr>
        <w:t>，明确责任人、整改期限、整改要求、复查整改情况</w:t>
      </w:r>
      <w:r>
        <w:rPr>
          <w:rFonts w:hint="eastAsia" w:ascii="仿宋_GB2312" w:hAnsi="仿宋_GB2312" w:eastAsia="仿宋_GB2312" w:cs="仿宋_GB2312"/>
          <w:color w:val="000000" w:themeColor="text1"/>
          <w:spacing w:val="-2"/>
          <w:kern w:val="21"/>
          <w:sz w:val="32"/>
          <w:szCs w:val="32"/>
          <w:lang w:eastAsia="zh-CN"/>
        </w:rPr>
        <w:t>，</w:t>
      </w:r>
      <w:r>
        <w:rPr>
          <w:rFonts w:hint="eastAsia" w:ascii="仿宋_GB2312" w:hAnsi="仿宋_GB2312" w:eastAsia="仿宋_GB2312" w:cs="仿宋_GB2312"/>
          <w:color w:val="000000" w:themeColor="text1"/>
          <w:spacing w:val="-2"/>
          <w:kern w:val="21"/>
          <w:sz w:val="32"/>
          <w:szCs w:val="32"/>
        </w:rPr>
        <w:t>实行重点督导、连续督查、问责问效，确保环保规章制度及管控标准落到实处。</w:t>
      </w:r>
      <w:r>
        <w:rPr>
          <w:rFonts w:hint="eastAsia" w:ascii="仿宋_GB2312" w:hAnsi="仿宋_GB2312" w:eastAsia="仿宋_GB2312" w:cs="仿宋_GB2312"/>
          <w:b/>
          <w:bCs/>
          <w:color w:val="000000" w:themeColor="text1"/>
          <w:sz w:val="32"/>
          <w:szCs w:val="32"/>
          <w:lang w:val="en-US" w:eastAsia="zh-CN"/>
        </w:rPr>
        <w:t>二是</w:t>
      </w:r>
      <w:r>
        <w:rPr>
          <w:rFonts w:hint="eastAsia" w:ascii="仿宋_GB2312" w:hAnsi="仿宋_GB2312" w:eastAsia="仿宋_GB2312" w:cs="仿宋_GB2312"/>
          <w:b/>
          <w:bCs/>
          <w:color w:val="000000" w:themeColor="text1"/>
          <w:sz w:val="32"/>
          <w:szCs w:val="32"/>
        </w:rPr>
        <w:t>加大环境保护宣传力度，组织召开专题培训会议</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组织召开环境保护文件贯彻学习会议、环保</w:t>
      </w:r>
      <w:r>
        <w:rPr>
          <w:rFonts w:hint="eastAsia" w:ascii="仿宋_GB2312" w:hAnsi="仿宋_GB2312" w:eastAsia="仿宋_GB2312" w:cs="仿宋_GB2312"/>
          <w:b w:val="0"/>
          <w:bCs w:val="0"/>
          <w:color w:val="000000" w:themeColor="text1"/>
          <w:sz w:val="32"/>
          <w:szCs w:val="32"/>
          <w:lang w:eastAsia="zh-CN"/>
        </w:rPr>
        <w:t>法律</w:t>
      </w:r>
      <w:r>
        <w:rPr>
          <w:rFonts w:hint="eastAsia" w:ascii="仿宋_GB2312" w:hAnsi="仿宋_GB2312" w:eastAsia="仿宋_GB2312" w:cs="仿宋_GB2312"/>
          <w:b w:val="0"/>
          <w:bCs w:val="0"/>
          <w:color w:val="000000" w:themeColor="text1"/>
          <w:sz w:val="32"/>
          <w:szCs w:val="32"/>
        </w:rPr>
        <w:t>法规解析、环保制度要求规范、危废固废规范处置等专题培训会议、动员会议，分析形势变化，防控环保风险，把控环保底线，聚力破解环保制约，推进绿色安全生产</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通过悬挂标语横幅、制作宣传牌板、召开培训会议等多种方式形式，切实强化了全员环保意识，提高了全员责任心。</w:t>
      </w:r>
      <w:r>
        <w:rPr>
          <w:rFonts w:hint="eastAsia" w:ascii="仿宋_GB2312" w:hAnsi="仿宋_GB2312" w:eastAsia="仿宋_GB2312" w:cs="仿宋_GB2312"/>
          <w:b/>
          <w:bCs/>
          <w:color w:val="000000" w:themeColor="text1"/>
          <w:sz w:val="32"/>
          <w:szCs w:val="32"/>
          <w:lang w:val="en-US" w:eastAsia="zh-CN"/>
        </w:rPr>
        <w:t>三是严格做好绿色矿山建设工作。</w:t>
      </w:r>
      <w:r>
        <w:rPr>
          <w:rFonts w:hint="eastAsia" w:ascii="仿宋_GB2312" w:hAnsi="仿宋_GB2312" w:eastAsia="仿宋_GB2312" w:cs="仿宋_GB2312"/>
          <w:b w:val="0"/>
          <w:bCs w:val="0"/>
          <w:color w:val="000000" w:themeColor="text1"/>
          <w:kern w:val="0"/>
          <w:sz w:val="32"/>
          <w:szCs w:val="32"/>
          <w:lang w:val="en-US" w:eastAsia="zh-CN" w:bidi="ar-SA"/>
        </w:rPr>
        <w:t>按照准旗政府绿色矿山领导小组要求，对排土场到界坡面进行四季常绿提升改造，分期向集团公司业务部室报批项目实施方案（每期不超400万，集团公司批准实施），严格执行集团公司招投标管理、内部协同等相关文件要求，按程序完成项目备案、协同、实施，完成西外排土场到界坡面四季常绿提升改造约12公顷，种植云杉约4.4万株。根据西外排土场扩容范围的到界坡面、平盘形成情况，拟定复垦治理方案并推进项目备案实施，完成西外排土场扩容区域到界坡面沙柳网格治理约18公顷。配合筹建办公室，积极推进西外排土场科技基地建设项目。</w:t>
      </w:r>
    </w:p>
    <w:p w14:paraId="348F3AD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八</w:t>
      </w:r>
      <w:r>
        <w:rPr>
          <w:rFonts w:hint="eastAsia" w:ascii="黑体" w:hAnsi="黑体" w:eastAsia="黑体" w:cs="黑体"/>
          <w:color w:val="000000" w:themeColor="text1"/>
          <w:sz w:val="32"/>
          <w:szCs w:val="32"/>
        </w:rPr>
        <w:t>、年度内发生的重大事项及对企业的影响</w:t>
      </w:r>
    </w:p>
    <w:p w14:paraId="5D531FB6">
      <w:pPr>
        <w:pStyle w:val="20"/>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1.</w:t>
      </w:r>
      <w:r>
        <w:rPr>
          <w:rFonts w:hint="eastAsia" w:ascii="仿宋_GB2312" w:hAnsi="仿宋_GB2312" w:eastAsia="仿宋_GB2312" w:cs="仿宋_GB2312"/>
          <w:b/>
          <w:bCs/>
          <w:color w:val="000000" w:themeColor="text1"/>
          <w:kern w:val="1"/>
          <w:sz w:val="32"/>
          <w:szCs w:val="32"/>
          <w:highlight w:val="none"/>
          <w:vertAlign w:val="baseline"/>
          <w:lang w:val="en-US" w:eastAsia="zh-CN" w:bidi="ar-SA"/>
        </w:rPr>
        <w:t>完成</w:t>
      </w:r>
      <w:r>
        <w:rPr>
          <w:rFonts w:hint="eastAsia" w:ascii="仿宋_GB2312" w:hAnsi="仿宋_GB2312" w:eastAsia="仿宋_GB2312" w:cs="仿宋_GB2312"/>
          <w:b/>
          <w:bCs/>
          <w:color w:val="000000" w:themeColor="text1"/>
          <w:kern w:val="1"/>
          <w:sz w:val="32"/>
          <w:szCs w:val="32"/>
          <w:highlight w:val="none"/>
          <w:vertAlign w:val="baseline"/>
          <w:lang w:val="en-US" w:eastAsia="zh-CN" w:bidi="ar-SA"/>
        </w:rPr>
        <w:t>《采矿许可证》核增生产能力5.00Mt/a登记更新。</w:t>
      </w:r>
      <w:r>
        <w:rPr>
          <w:rFonts w:hint="eastAsia" w:ascii="仿宋_GB2312" w:hAnsi="仿宋_GB2312" w:eastAsia="仿宋_GB2312" w:cs="仿宋_GB2312"/>
          <w:b w:val="0"/>
          <w:bCs w:val="0"/>
          <w:color w:val="000000" w:themeColor="text1"/>
          <w:kern w:val="1"/>
          <w:sz w:val="32"/>
          <w:szCs w:val="32"/>
          <w:highlight w:val="none"/>
          <w:vertAlign w:val="baseline"/>
          <w:lang w:val="en-US" w:eastAsia="zh-CN" w:bidi="ar-SA"/>
        </w:rPr>
        <w:t>金正泰公司核增专班积极对接自然资源部门，按照内蒙古自治区自然资源厅2023年7月26日下发的《关于转发〈自然资源部关于进一步完善矿产资源勘查开采登记管理的通知&gt;并做好有关工作的通知》（内自然资字〔2023〕397号）文件精神，准备相关支撑性资料后申报至鄂尔多斯市自然资源局受理采矿证生产能力变更业务，鄂尔多斯市自然资源局于8月23日将金正泰公司采矿许可证生产规模由120万吨/年更新至500万吨/年，严格保障公司依法合规生产。</w:t>
      </w:r>
    </w:p>
    <w:p w14:paraId="6BE2870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2.核增产能（5.0Mt/a）项目环境影响评价工作</w:t>
      </w:r>
      <w:r>
        <w:rPr>
          <w:rFonts w:hint="eastAsia" w:ascii="仿宋_GB2312" w:hAnsi="仿宋_GB2312" w:eastAsia="仿宋_GB2312" w:cs="仿宋_GB2312"/>
          <w:b w:val="0"/>
          <w:bCs w:val="0"/>
          <w:color w:val="000000" w:themeColor="text1"/>
          <w:sz w:val="32"/>
          <w:szCs w:val="32"/>
          <w:lang w:val="en-US" w:eastAsia="zh-CN"/>
        </w:rPr>
        <w:t>。金正泰公司积极联系内蒙古自治区生态环境厅，协调</w:t>
      </w:r>
      <w:r>
        <w:rPr>
          <w:rFonts w:hint="eastAsia" w:ascii="仿宋_GB2312" w:hAnsi="仿宋_GB2312" w:eastAsia="仿宋_GB2312" w:cs="仿宋_GB2312"/>
          <w:b w:val="0"/>
          <w:bCs w:val="0"/>
          <w:color w:val="000000" w:themeColor="text1"/>
          <w:kern w:val="1"/>
          <w:sz w:val="32"/>
          <w:szCs w:val="32"/>
          <w:highlight w:val="none"/>
          <w:vertAlign w:val="baseline"/>
          <w:lang w:val="en-US" w:eastAsia="zh-CN" w:bidi="ar-SA"/>
        </w:rPr>
        <w:t>组织自治区环科院专家组于2023年2月13日对金正泰公司500万吨/年产能核增项目环评报告开展预审并出具预审意见。</w:t>
      </w:r>
      <w:r>
        <w:rPr>
          <w:rFonts w:hint="eastAsia" w:ascii="仿宋_GB2312" w:hAnsi="仿宋_GB2312" w:eastAsia="仿宋_GB2312" w:cs="仿宋_GB2312"/>
          <w:b w:val="0"/>
          <w:bCs w:val="0"/>
          <w:color w:val="000000" w:themeColor="text1"/>
          <w:sz w:val="32"/>
          <w:szCs w:val="32"/>
          <w:lang w:val="en-US" w:eastAsia="zh-CN"/>
        </w:rPr>
        <w:t>金正泰公司会同项目环评编制单位，结合环科院专家组审查意见及现阶段5.0Mt/a项目运行状态以及最新执行的环保评价标准、《准格尔矿区规划环评报告书》等相关要求，对环评报告</w:t>
      </w:r>
      <w:r>
        <w:rPr>
          <w:rFonts w:hint="eastAsia" w:ascii="仿宋_GB2312" w:hAnsi="仿宋_GB2312" w:eastAsia="仿宋_GB2312" w:cs="仿宋_GB2312"/>
          <w:b w:val="0"/>
          <w:bCs w:val="0"/>
          <w:color w:val="000000" w:themeColor="text1"/>
          <w:sz w:val="32"/>
          <w:szCs w:val="32"/>
          <w:shd w:val="clear" w:color="auto" w:fill="auto"/>
          <w:lang w:val="en-US" w:eastAsia="zh-CN"/>
        </w:rPr>
        <w:t>内容</w:t>
      </w:r>
      <w:r>
        <w:rPr>
          <w:rFonts w:hint="eastAsia" w:ascii="仿宋_GB2312" w:hAnsi="仿宋_GB2312" w:eastAsia="仿宋_GB2312" w:cs="仿宋_GB2312"/>
          <w:b w:val="0"/>
          <w:bCs w:val="0"/>
          <w:color w:val="000000" w:themeColor="text1"/>
          <w:sz w:val="32"/>
          <w:szCs w:val="32"/>
          <w:lang w:val="en-US" w:eastAsia="zh-CN"/>
        </w:rPr>
        <w:t>进一步优化完善。同时，</w:t>
      </w:r>
      <w:r>
        <w:rPr>
          <w:rFonts w:hint="eastAsia" w:ascii="仿宋_GB2312" w:hAnsi="仿宋_GB2312" w:eastAsia="仿宋_GB2312" w:cs="仿宋_GB2312"/>
          <w:b w:val="0"/>
          <w:bCs w:val="0"/>
          <w:color w:val="000000" w:themeColor="text1"/>
          <w:sz w:val="32"/>
          <w:szCs w:val="32"/>
          <w:shd w:val="clear" w:color="auto" w:fill="auto"/>
          <w:lang w:val="en-US" w:eastAsia="zh-CN"/>
        </w:rPr>
        <w:t>根据自治区环评专家指导意见，向准旗林草局、自然资源局、生态环境局上报了公益林、基本草原、生态保护区、生态红线、基本农田、水源地函询确认请示，并取得相关回函文件，持续落实好各项重点工作，推动公司发展</w:t>
      </w:r>
      <w:r>
        <w:rPr>
          <w:rFonts w:hint="eastAsia" w:ascii="仿宋_GB2312" w:hAnsi="仿宋_GB2312" w:eastAsia="仿宋_GB2312" w:cs="仿宋_GB2312"/>
          <w:b w:val="0"/>
          <w:bCs w:val="0"/>
          <w:color w:val="000000" w:themeColor="text1"/>
          <w:sz w:val="32"/>
          <w:szCs w:val="32"/>
          <w:lang w:val="en-US" w:eastAsia="zh-CN"/>
        </w:rPr>
        <w:t>。</w:t>
      </w:r>
    </w:p>
    <w:p w14:paraId="22318CBB">
      <w:pPr>
        <w:keepNext w:val="0"/>
        <w:keepLines w:val="0"/>
        <w:pageBreakBefore w:val="0"/>
        <w:kinsoku/>
        <w:wordWrap/>
        <w:overflowPunct/>
        <w:topLinePunct w:val="0"/>
        <w:autoSpaceDE/>
        <w:autoSpaceDN/>
        <w:bidi w:val="0"/>
        <w:spacing w:line="560" w:lineRule="exact"/>
        <w:ind w:firstLine="643" w:firstLineChars="200"/>
        <w:textAlignment w:val="auto"/>
        <w:rPr>
          <w:rFonts w:hint="eastAsia"/>
          <w:color w:val="000000" w:themeColor="text1"/>
          <w:lang w:val="en-US" w:eastAsia="zh-CN"/>
        </w:rPr>
      </w:pPr>
      <w:r>
        <w:rPr>
          <w:rFonts w:hint="eastAsia" w:ascii="仿宋_GB2312" w:hAnsi="仿宋_GB2312" w:eastAsia="仿宋_GB2312" w:cs="仿宋_GB2312"/>
          <w:b/>
          <w:bCs/>
          <w:color w:val="000000" w:themeColor="text1"/>
          <w:sz w:val="32"/>
          <w:szCs w:val="32"/>
          <w:lang w:val="en-US" w:eastAsia="zh-CN"/>
        </w:rPr>
        <w:t>3.完成国土先行使用土地审批手续。</w:t>
      </w:r>
      <w:r>
        <w:rPr>
          <w:rFonts w:hint="eastAsia" w:ascii="仿宋_GB2312" w:hAnsi="仿宋_GB2312" w:eastAsia="仿宋_GB2312" w:cs="仿宋_GB2312"/>
          <w:color w:val="000000" w:themeColor="text1"/>
          <w:sz w:val="32"/>
          <w:szCs w:val="32"/>
          <w:lang w:val="en-US" w:eastAsia="zh-CN"/>
        </w:rPr>
        <w:t>2023年完成了二采区接续用地项目</w:t>
      </w:r>
      <w:r>
        <w:rPr>
          <w:rStyle w:val="14"/>
          <w:rFonts w:hint="eastAsia" w:ascii="仿宋_GB2312" w:hAnsi="仿宋_GB2312" w:eastAsia="仿宋_GB2312" w:cs="仿宋_GB2312"/>
          <w:b w:val="0"/>
          <w:bCs/>
          <w:color w:val="000000" w:themeColor="text1"/>
          <w:sz w:val="32"/>
          <w:szCs w:val="32"/>
          <w:lang w:val="en-US" w:eastAsia="zh-CN"/>
        </w:rPr>
        <w:t>124.6895公顷</w:t>
      </w:r>
      <w:r>
        <w:rPr>
          <w:rFonts w:hint="eastAsia" w:ascii="仿宋_GB2312" w:hAnsi="仿宋_GB2312" w:eastAsia="仿宋_GB2312" w:cs="仿宋_GB2312"/>
          <w:color w:val="000000" w:themeColor="text1"/>
          <w:sz w:val="32"/>
          <w:szCs w:val="32"/>
          <w:lang w:val="en-US" w:eastAsia="zh-CN"/>
        </w:rPr>
        <w:t>及西外排土场</w:t>
      </w:r>
      <w:r>
        <w:rPr>
          <w:rStyle w:val="14"/>
          <w:rFonts w:hint="eastAsia" w:ascii="仿宋_GB2312" w:hAnsi="仿宋_GB2312" w:eastAsia="仿宋_GB2312" w:cs="仿宋_GB2312"/>
          <w:b w:val="0"/>
          <w:bCs/>
          <w:color w:val="000000" w:themeColor="text1"/>
          <w:sz w:val="32"/>
          <w:szCs w:val="32"/>
          <w:lang w:val="en-US" w:eastAsia="zh-CN"/>
        </w:rPr>
        <w:t>扩容项目67.1646公顷</w:t>
      </w:r>
      <w:r>
        <w:rPr>
          <w:rFonts w:hint="eastAsia" w:ascii="仿宋_GB2312" w:hAnsi="仿宋_GB2312" w:eastAsia="仿宋_GB2312" w:cs="仿宋_GB2312"/>
          <w:color w:val="000000" w:themeColor="text1"/>
          <w:sz w:val="32"/>
          <w:szCs w:val="32"/>
          <w:lang w:val="en-US" w:eastAsia="zh-CN"/>
        </w:rPr>
        <w:t>的国土先行使用土地审批手续，合法合规保障了煤矿生产接续用地。</w:t>
      </w:r>
    </w:p>
    <w:p w14:paraId="417742FE">
      <w:pPr>
        <w:pStyle w:val="19"/>
        <w:keepNext w:val="0"/>
        <w:keepLines w:val="0"/>
        <w:pageBreakBefore w:val="0"/>
        <w:kinsoku/>
        <w:wordWrap/>
        <w:overflowPunct/>
        <w:topLinePunct w:val="0"/>
        <w:autoSpaceDE/>
        <w:autoSpaceDN/>
        <w:bidi w:val="0"/>
        <w:spacing w:line="560" w:lineRule="exact"/>
        <w:ind w:firstLine="643" w:firstLineChars="200"/>
        <w:textAlignment w:val="auto"/>
        <w:rPr>
          <w:rStyle w:val="14"/>
          <w:rFonts w:hint="eastAsia" w:ascii="仿宋" w:hAnsi="仿宋" w:eastAsia="仿宋" w:cs="仿宋"/>
          <w:b w:val="0"/>
          <w:bCs/>
          <w:color w:val="000000" w:themeColor="text1"/>
          <w:sz w:val="32"/>
          <w:szCs w:val="32"/>
          <w:lang w:eastAsia="zh-CN"/>
        </w:rPr>
      </w:pPr>
      <w:r>
        <w:rPr>
          <w:rFonts w:hint="eastAsia" w:ascii="仿宋_GB2312" w:hAnsi="仿宋_GB2312" w:eastAsia="仿宋_GB2312" w:cs="仿宋_GB2312"/>
          <w:b/>
          <w:bCs/>
          <w:color w:val="000000" w:themeColor="text1"/>
          <w:kern w:val="2"/>
          <w:sz w:val="32"/>
          <w:szCs w:val="32"/>
          <w:lang w:val="en-US" w:eastAsia="zh-CN" w:bidi="ar-SA"/>
        </w:rPr>
        <w:t>4.完成露天开采项目八期的预征地审批工作。</w:t>
      </w:r>
      <w:r>
        <w:rPr>
          <w:rStyle w:val="14"/>
          <w:rFonts w:hint="eastAsia" w:ascii="仿宋_GB2312" w:hAnsi="仿宋_GB2312" w:eastAsia="仿宋_GB2312" w:cs="仿宋_GB2312"/>
          <w:b w:val="0"/>
          <w:bCs/>
          <w:color w:val="000000" w:themeColor="text1"/>
          <w:kern w:val="2"/>
          <w:sz w:val="32"/>
          <w:szCs w:val="32"/>
          <w:lang w:val="en-US" w:eastAsia="zh-CN" w:bidi="ar-SA"/>
        </w:rPr>
        <w:t>露天开采项目八期用地位于采区东南部，属薛家湾镇永胜壕村，占地69.3828公顷，按照自然资源部门预征地程序，已于2023年10月17日取得准旗人民政府下发的露采八期项目预征地公告。</w:t>
      </w:r>
    </w:p>
    <w:p w14:paraId="00A8C5AC">
      <w:pPr>
        <w:pStyle w:val="6"/>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rPr>
      </w:pPr>
    </w:p>
    <w:p w14:paraId="359B9480">
      <w:pPr>
        <w:pStyle w:val="5"/>
        <w:rPr>
          <w:rFonts w:hint="eastAsia" w:ascii="仿宋_GB2312" w:hAnsi="仿宋_GB2312" w:eastAsia="仿宋_GB2312" w:cs="仿宋_GB2312"/>
          <w:b w:val="0"/>
          <w:bCs w:val="0"/>
          <w:color w:val="000000" w:themeColor="text1"/>
          <w:sz w:val="32"/>
          <w:szCs w:val="32"/>
          <w:lang w:val="en-US" w:eastAsia="zh-CN"/>
        </w:rPr>
      </w:pPr>
    </w:p>
    <w:p w14:paraId="2A439F13">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准格尔旗金正泰煤炭有限责任公司</w:t>
      </w:r>
    </w:p>
    <w:p w14:paraId="5E596A6D">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2F7A45-1445-467B-89DE-30F51C56D6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4D1B39D-7379-4BED-8DE6-9A93738AF2D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6957D52-4A4A-42A4-BD3D-2D66EC9482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4641">
    <w:pPr>
      <w:pStyle w:val="7"/>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9B8A76">
                <w:pPr>
                  <w:pStyle w:val="7"/>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5ZTVjMzc1MzYwZjRkOTJiNGJlN2NkODZkZGQyNmIifQ=="/>
  </w:docVars>
  <w:rsids>
    <w:rsidRoot w:val="00172A27"/>
    <w:rsid w:val="0001616E"/>
    <w:rsid w:val="000365B5"/>
    <w:rsid w:val="00065627"/>
    <w:rsid w:val="000E4B0A"/>
    <w:rsid w:val="00114190"/>
    <w:rsid w:val="00125BAE"/>
    <w:rsid w:val="00131ACB"/>
    <w:rsid w:val="00172A27"/>
    <w:rsid w:val="001C2EC0"/>
    <w:rsid w:val="001F2486"/>
    <w:rsid w:val="0021637C"/>
    <w:rsid w:val="002359CB"/>
    <w:rsid w:val="00244F05"/>
    <w:rsid w:val="00295A5C"/>
    <w:rsid w:val="002B4FC0"/>
    <w:rsid w:val="002D2157"/>
    <w:rsid w:val="0030712D"/>
    <w:rsid w:val="003D40E0"/>
    <w:rsid w:val="00417E7C"/>
    <w:rsid w:val="004B3979"/>
    <w:rsid w:val="004C6785"/>
    <w:rsid w:val="0050437B"/>
    <w:rsid w:val="00576098"/>
    <w:rsid w:val="00583D62"/>
    <w:rsid w:val="005E1061"/>
    <w:rsid w:val="005E1555"/>
    <w:rsid w:val="00603AF9"/>
    <w:rsid w:val="00620EA9"/>
    <w:rsid w:val="0066110B"/>
    <w:rsid w:val="006A6CA0"/>
    <w:rsid w:val="006B31C3"/>
    <w:rsid w:val="006C79DF"/>
    <w:rsid w:val="006F1A9C"/>
    <w:rsid w:val="007452DC"/>
    <w:rsid w:val="00773A70"/>
    <w:rsid w:val="007B5081"/>
    <w:rsid w:val="007D5D49"/>
    <w:rsid w:val="008556BD"/>
    <w:rsid w:val="00856E78"/>
    <w:rsid w:val="008B5C48"/>
    <w:rsid w:val="008C2B54"/>
    <w:rsid w:val="008E13EE"/>
    <w:rsid w:val="0091736E"/>
    <w:rsid w:val="00955B19"/>
    <w:rsid w:val="009921F3"/>
    <w:rsid w:val="00A239EB"/>
    <w:rsid w:val="00A42015"/>
    <w:rsid w:val="00A57914"/>
    <w:rsid w:val="00A71228"/>
    <w:rsid w:val="00A9252B"/>
    <w:rsid w:val="00AE2018"/>
    <w:rsid w:val="00B24D7B"/>
    <w:rsid w:val="00B71B59"/>
    <w:rsid w:val="00C33094"/>
    <w:rsid w:val="00C7451B"/>
    <w:rsid w:val="00CC494E"/>
    <w:rsid w:val="00CE6550"/>
    <w:rsid w:val="00D11795"/>
    <w:rsid w:val="00D3218E"/>
    <w:rsid w:val="00DA4D33"/>
    <w:rsid w:val="00DB0372"/>
    <w:rsid w:val="00E26540"/>
    <w:rsid w:val="00E80C5B"/>
    <w:rsid w:val="00EA4841"/>
    <w:rsid w:val="00EB4A21"/>
    <w:rsid w:val="00EE1F98"/>
    <w:rsid w:val="00F06F8D"/>
    <w:rsid w:val="00F24FDB"/>
    <w:rsid w:val="00F93850"/>
    <w:rsid w:val="00FA3B9C"/>
    <w:rsid w:val="00FC4864"/>
    <w:rsid w:val="00FF3680"/>
    <w:rsid w:val="01170C55"/>
    <w:rsid w:val="011E3D92"/>
    <w:rsid w:val="01437C9C"/>
    <w:rsid w:val="01877B89"/>
    <w:rsid w:val="0261487E"/>
    <w:rsid w:val="026779BA"/>
    <w:rsid w:val="03212322"/>
    <w:rsid w:val="03764359"/>
    <w:rsid w:val="03922815"/>
    <w:rsid w:val="03A82039"/>
    <w:rsid w:val="03BC7892"/>
    <w:rsid w:val="03C54999"/>
    <w:rsid w:val="03D177E1"/>
    <w:rsid w:val="042E1D40"/>
    <w:rsid w:val="04D06013"/>
    <w:rsid w:val="0539563E"/>
    <w:rsid w:val="054B5371"/>
    <w:rsid w:val="056A5EC4"/>
    <w:rsid w:val="05BA6ECD"/>
    <w:rsid w:val="05CF1AFF"/>
    <w:rsid w:val="06127C3D"/>
    <w:rsid w:val="06471FDD"/>
    <w:rsid w:val="06CB49BC"/>
    <w:rsid w:val="06ED1A3A"/>
    <w:rsid w:val="072B00F8"/>
    <w:rsid w:val="076A26FE"/>
    <w:rsid w:val="07D351C1"/>
    <w:rsid w:val="087856BA"/>
    <w:rsid w:val="0882554E"/>
    <w:rsid w:val="08C6543B"/>
    <w:rsid w:val="08EE6740"/>
    <w:rsid w:val="0923007D"/>
    <w:rsid w:val="092C1C34"/>
    <w:rsid w:val="093F51ED"/>
    <w:rsid w:val="09586CDB"/>
    <w:rsid w:val="09C15C02"/>
    <w:rsid w:val="0A0124A3"/>
    <w:rsid w:val="0AA3355A"/>
    <w:rsid w:val="0AFA069B"/>
    <w:rsid w:val="0B0C50F3"/>
    <w:rsid w:val="0B1D51A3"/>
    <w:rsid w:val="0C032502"/>
    <w:rsid w:val="0C236700"/>
    <w:rsid w:val="0C4548C9"/>
    <w:rsid w:val="0C796C68"/>
    <w:rsid w:val="0C89564B"/>
    <w:rsid w:val="0D136775"/>
    <w:rsid w:val="0D3D7A17"/>
    <w:rsid w:val="0D611BD6"/>
    <w:rsid w:val="0E0B7D94"/>
    <w:rsid w:val="0F2C7FC2"/>
    <w:rsid w:val="0FD22917"/>
    <w:rsid w:val="101822F4"/>
    <w:rsid w:val="1081433D"/>
    <w:rsid w:val="114C494B"/>
    <w:rsid w:val="12B500AE"/>
    <w:rsid w:val="12BC165D"/>
    <w:rsid w:val="131B1353"/>
    <w:rsid w:val="13695A12"/>
    <w:rsid w:val="13BF7656"/>
    <w:rsid w:val="13CE06F6"/>
    <w:rsid w:val="13D12EE6"/>
    <w:rsid w:val="14B61F01"/>
    <w:rsid w:val="14EF662E"/>
    <w:rsid w:val="150778EB"/>
    <w:rsid w:val="157B135B"/>
    <w:rsid w:val="15B87F26"/>
    <w:rsid w:val="172D2B29"/>
    <w:rsid w:val="17887D5F"/>
    <w:rsid w:val="179B3F36"/>
    <w:rsid w:val="17C27715"/>
    <w:rsid w:val="17CC40F0"/>
    <w:rsid w:val="17FD14B0"/>
    <w:rsid w:val="18131D1F"/>
    <w:rsid w:val="18A137CE"/>
    <w:rsid w:val="18C206D4"/>
    <w:rsid w:val="18D92F68"/>
    <w:rsid w:val="18E65685"/>
    <w:rsid w:val="19197809"/>
    <w:rsid w:val="191F46F3"/>
    <w:rsid w:val="1977452F"/>
    <w:rsid w:val="198351F6"/>
    <w:rsid w:val="19EF40C6"/>
    <w:rsid w:val="19F36883"/>
    <w:rsid w:val="1A1143AD"/>
    <w:rsid w:val="1A312930"/>
    <w:rsid w:val="1A845156"/>
    <w:rsid w:val="1AD03EF7"/>
    <w:rsid w:val="1BA710FC"/>
    <w:rsid w:val="1BBC26CD"/>
    <w:rsid w:val="1C450915"/>
    <w:rsid w:val="1CA66E95"/>
    <w:rsid w:val="1CD13F56"/>
    <w:rsid w:val="1DB66372"/>
    <w:rsid w:val="1E1E4F79"/>
    <w:rsid w:val="1E234C86"/>
    <w:rsid w:val="1E2C3B3A"/>
    <w:rsid w:val="1E7B75AD"/>
    <w:rsid w:val="1E98249D"/>
    <w:rsid w:val="1EAE27A1"/>
    <w:rsid w:val="1ED36DC1"/>
    <w:rsid w:val="1EDB2E6A"/>
    <w:rsid w:val="1F3934E4"/>
    <w:rsid w:val="1F455BBB"/>
    <w:rsid w:val="1F606769"/>
    <w:rsid w:val="200D1749"/>
    <w:rsid w:val="200F0921"/>
    <w:rsid w:val="203D202F"/>
    <w:rsid w:val="209B0B03"/>
    <w:rsid w:val="214E201A"/>
    <w:rsid w:val="217B7E20"/>
    <w:rsid w:val="21B71E8B"/>
    <w:rsid w:val="226513C9"/>
    <w:rsid w:val="228026A7"/>
    <w:rsid w:val="22AE0FC2"/>
    <w:rsid w:val="22CA3922"/>
    <w:rsid w:val="22FB3ADB"/>
    <w:rsid w:val="233A0AA7"/>
    <w:rsid w:val="242A0B1C"/>
    <w:rsid w:val="25457290"/>
    <w:rsid w:val="254A2AF8"/>
    <w:rsid w:val="2584600A"/>
    <w:rsid w:val="259D081F"/>
    <w:rsid w:val="25B3083C"/>
    <w:rsid w:val="26097942"/>
    <w:rsid w:val="260E6095"/>
    <w:rsid w:val="268F2670"/>
    <w:rsid w:val="270C652E"/>
    <w:rsid w:val="271422A1"/>
    <w:rsid w:val="272A0E33"/>
    <w:rsid w:val="2766486F"/>
    <w:rsid w:val="28C12868"/>
    <w:rsid w:val="29176F41"/>
    <w:rsid w:val="291A08A2"/>
    <w:rsid w:val="29A529F3"/>
    <w:rsid w:val="29A6437A"/>
    <w:rsid w:val="2A6E594A"/>
    <w:rsid w:val="2A84085A"/>
    <w:rsid w:val="2AB90504"/>
    <w:rsid w:val="2B033E75"/>
    <w:rsid w:val="2B2F4C6A"/>
    <w:rsid w:val="2B404781"/>
    <w:rsid w:val="2B55741F"/>
    <w:rsid w:val="2B876854"/>
    <w:rsid w:val="2C7828F0"/>
    <w:rsid w:val="2D6D1A79"/>
    <w:rsid w:val="2E433D29"/>
    <w:rsid w:val="2EA227ED"/>
    <w:rsid w:val="2EA96AE1"/>
    <w:rsid w:val="2F3C1703"/>
    <w:rsid w:val="2F3D41C4"/>
    <w:rsid w:val="2F601896"/>
    <w:rsid w:val="2FB15C4D"/>
    <w:rsid w:val="2FCF07C9"/>
    <w:rsid w:val="2FF87D20"/>
    <w:rsid w:val="30226B4B"/>
    <w:rsid w:val="303F76FD"/>
    <w:rsid w:val="3062163D"/>
    <w:rsid w:val="307A19A9"/>
    <w:rsid w:val="308B70BE"/>
    <w:rsid w:val="30DC1D4D"/>
    <w:rsid w:val="312A655A"/>
    <w:rsid w:val="322B228F"/>
    <w:rsid w:val="3236068C"/>
    <w:rsid w:val="32607DFF"/>
    <w:rsid w:val="328238D1"/>
    <w:rsid w:val="32A221C5"/>
    <w:rsid w:val="32AF043E"/>
    <w:rsid w:val="32EC3440"/>
    <w:rsid w:val="331366DC"/>
    <w:rsid w:val="3321758E"/>
    <w:rsid w:val="33707BCD"/>
    <w:rsid w:val="33EB36F8"/>
    <w:rsid w:val="340A0022"/>
    <w:rsid w:val="34CB7DC1"/>
    <w:rsid w:val="34D0301A"/>
    <w:rsid w:val="352944D8"/>
    <w:rsid w:val="354B1D55"/>
    <w:rsid w:val="35AF70D3"/>
    <w:rsid w:val="360D204B"/>
    <w:rsid w:val="36160F00"/>
    <w:rsid w:val="36BD75CE"/>
    <w:rsid w:val="36C2496C"/>
    <w:rsid w:val="36C40C97"/>
    <w:rsid w:val="378B76CC"/>
    <w:rsid w:val="37C7727E"/>
    <w:rsid w:val="388163D9"/>
    <w:rsid w:val="388C0B04"/>
    <w:rsid w:val="38E075A3"/>
    <w:rsid w:val="39161217"/>
    <w:rsid w:val="39296034"/>
    <w:rsid w:val="395D6E46"/>
    <w:rsid w:val="39B5458C"/>
    <w:rsid w:val="39EB6200"/>
    <w:rsid w:val="3A2B49B3"/>
    <w:rsid w:val="3A6A6E1C"/>
    <w:rsid w:val="3A7B288D"/>
    <w:rsid w:val="3B365BA1"/>
    <w:rsid w:val="3BA40D5C"/>
    <w:rsid w:val="3BE72C60"/>
    <w:rsid w:val="3C0161AE"/>
    <w:rsid w:val="3C065573"/>
    <w:rsid w:val="3CA64660"/>
    <w:rsid w:val="3CCA034E"/>
    <w:rsid w:val="3D066FD7"/>
    <w:rsid w:val="3E375EB7"/>
    <w:rsid w:val="3E3B39A1"/>
    <w:rsid w:val="3E77644C"/>
    <w:rsid w:val="3E8E35FE"/>
    <w:rsid w:val="3E9C3F6D"/>
    <w:rsid w:val="3ECD2378"/>
    <w:rsid w:val="3F0C48C0"/>
    <w:rsid w:val="3F16419A"/>
    <w:rsid w:val="3F255D10"/>
    <w:rsid w:val="3F334693"/>
    <w:rsid w:val="3FEC0F24"/>
    <w:rsid w:val="3FF12096"/>
    <w:rsid w:val="40183AC7"/>
    <w:rsid w:val="402D7572"/>
    <w:rsid w:val="40387CC5"/>
    <w:rsid w:val="407C22A8"/>
    <w:rsid w:val="40953369"/>
    <w:rsid w:val="409F1AF2"/>
    <w:rsid w:val="41630D72"/>
    <w:rsid w:val="419E1DAA"/>
    <w:rsid w:val="41BD0482"/>
    <w:rsid w:val="41C2018E"/>
    <w:rsid w:val="420460B1"/>
    <w:rsid w:val="42641245"/>
    <w:rsid w:val="42E3660E"/>
    <w:rsid w:val="4383394D"/>
    <w:rsid w:val="439E4656"/>
    <w:rsid w:val="43D42FA9"/>
    <w:rsid w:val="44135090"/>
    <w:rsid w:val="446B3EDE"/>
    <w:rsid w:val="446E5CFE"/>
    <w:rsid w:val="44F05012"/>
    <w:rsid w:val="451F76A5"/>
    <w:rsid w:val="45C73FC5"/>
    <w:rsid w:val="475E2707"/>
    <w:rsid w:val="47D06A35"/>
    <w:rsid w:val="481B05F8"/>
    <w:rsid w:val="487A3570"/>
    <w:rsid w:val="48845F2D"/>
    <w:rsid w:val="48B71A0C"/>
    <w:rsid w:val="48C04CFB"/>
    <w:rsid w:val="49172B6D"/>
    <w:rsid w:val="4933371F"/>
    <w:rsid w:val="494E2307"/>
    <w:rsid w:val="4A4D0811"/>
    <w:rsid w:val="4A987CDE"/>
    <w:rsid w:val="4AF25EE1"/>
    <w:rsid w:val="4B0E61F2"/>
    <w:rsid w:val="4BCD7E5B"/>
    <w:rsid w:val="4C075E23"/>
    <w:rsid w:val="4F8D1DDB"/>
    <w:rsid w:val="4FD95020"/>
    <w:rsid w:val="502F0805"/>
    <w:rsid w:val="503F0014"/>
    <w:rsid w:val="50762F10"/>
    <w:rsid w:val="50772144"/>
    <w:rsid w:val="5096337B"/>
    <w:rsid w:val="50EF43D0"/>
    <w:rsid w:val="510D350D"/>
    <w:rsid w:val="51360251"/>
    <w:rsid w:val="517F0638"/>
    <w:rsid w:val="51AC4717"/>
    <w:rsid w:val="51EB4B97"/>
    <w:rsid w:val="528A2A4E"/>
    <w:rsid w:val="53402307"/>
    <w:rsid w:val="53EB19B1"/>
    <w:rsid w:val="53FD6E04"/>
    <w:rsid w:val="54064B60"/>
    <w:rsid w:val="54280D1A"/>
    <w:rsid w:val="54387E3C"/>
    <w:rsid w:val="555667CB"/>
    <w:rsid w:val="55652EB2"/>
    <w:rsid w:val="55992648"/>
    <w:rsid w:val="55A25EB5"/>
    <w:rsid w:val="55BB6F76"/>
    <w:rsid w:val="55DD366F"/>
    <w:rsid w:val="55F811C0"/>
    <w:rsid w:val="569F1E27"/>
    <w:rsid w:val="575431DF"/>
    <w:rsid w:val="579900C6"/>
    <w:rsid w:val="588E0972"/>
    <w:rsid w:val="59994F7B"/>
    <w:rsid w:val="59DE3233"/>
    <w:rsid w:val="5A047F39"/>
    <w:rsid w:val="5A1E1882"/>
    <w:rsid w:val="5A292701"/>
    <w:rsid w:val="5A2E7D17"/>
    <w:rsid w:val="5A4237C2"/>
    <w:rsid w:val="5A7A082C"/>
    <w:rsid w:val="5A9B7B67"/>
    <w:rsid w:val="5AD36B10"/>
    <w:rsid w:val="5ADA1C4D"/>
    <w:rsid w:val="5B2D4472"/>
    <w:rsid w:val="5B506709"/>
    <w:rsid w:val="5BF705DC"/>
    <w:rsid w:val="5C186ED1"/>
    <w:rsid w:val="5C904CB9"/>
    <w:rsid w:val="5CBC5AAE"/>
    <w:rsid w:val="5D3A2E77"/>
    <w:rsid w:val="5D443CF5"/>
    <w:rsid w:val="5D8660BC"/>
    <w:rsid w:val="5DB524FD"/>
    <w:rsid w:val="5E2733FB"/>
    <w:rsid w:val="5E280F21"/>
    <w:rsid w:val="5F2272AC"/>
    <w:rsid w:val="5F2E6A0B"/>
    <w:rsid w:val="5F36141C"/>
    <w:rsid w:val="5F434264"/>
    <w:rsid w:val="611D6D37"/>
    <w:rsid w:val="61C64CD9"/>
    <w:rsid w:val="61F53810"/>
    <w:rsid w:val="61FB0AE1"/>
    <w:rsid w:val="627336E8"/>
    <w:rsid w:val="62C84A81"/>
    <w:rsid w:val="62E451BB"/>
    <w:rsid w:val="63134034"/>
    <w:rsid w:val="63350368"/>
    <w:rsid w:val="643E324C"/>
    <w:rsid w:val="64EE3E34"/>
    <w:rsid w:val="64FD3107"/>
    <w:rsid w:val="6545060B"/>
    <w:rsid w:val="65532D27"/>
    <w:rsid w:val="657333CA"/>
    <w:rsid w:val="657F3B1C"/>
    <w:rsid w:val="65864EAB"/>
    <w:rsid w:val="65F558E6"/>
    <w:rsid w:val="66644AC0"/>
    <w:rsid w:val="66BF1CA6"/>
    <w:rsid w:val="66D92276"/>
    <w:rsid w:val="66F127F8"/>
    <w:rsid w:val="66FB71D3"/>
    <w:rsid w:val="67050051"/>
    <w:rsid w:val="67E4235D"/>
    <w:rsid w:val="681C2226"/>
    <w:rsid w:val="6848469A"/>
    <w:rsid w:val="68880ABC"/>
    <w:rsid w:val="68A35D74"/>
    <w:rsid w:val="69715EFC"/>
    <w:rsid w:val="6A110F46"/>
    <w:rsid w:val="6A3476A8"/>
    <w:rsid w:val="6A892A31"/>
    <w:rsid w:val="6AA40312"/>
    <w:rsid w:val="6AB37DC4"/>
    <w:rsid w:val="6BA543F7"/>
    <w:rsid w:val="6BE0108D"/>
    <w:rsid w:val="6C2208B8"/>
    <w:rsid w:val="6C446E9E"/>
    <w:rsid w:val="6C6A686D"/>
    <w:rsid w:val="6C6B0957"/>
    <w:rsid w:val="6C843C58"/>
    <w:rsid w:val="6D3276C6"/>
    <w:rsid w:val="6D885538"/>
    <w:rsid w:val="6DA904B0"/>
    <w:rsid w:val="6DC9627D"/>
    <w:rsid w:val="6E1F40EF"/>
    <w:rsid w:val="6E4753F3"/>
    <w:rsid w:val="6EEB5D7F"/>
    <w:rsid w:val="6F345978"/>
    <w:rsid w:val="6F51652A"/>
    <w:rsid w:val="6FE624ED"/>
    <w:rsid w:val="704E20F8"/>
    <w:rsid w:val="70910BA8"/>
    <w:rsid w:val="713D663A"/>
    <w:rsid w:val="716167CC"/>
    <w:rsid w:val="71D62BEA"/>
    <w:rsid w:val="71FB452B"/>
    <w:rsid w:val="723C0393"/>
    <w:rsid w:val="723C075E"/>
    <w:rsid w:val="724203AC"/>
    <w:rsid w:val="72442376"/>
    <w:rsid w:val="72625370"/>
    <w:rsid w:val="726A3EF9"/>
    <w:rsid w:val="72804CD0"/>
    <w:rsid w:val="72C47013"/>
    <w:rsid w:val="73AD5CF9"/>
    <w:rsid w:val="74026044"/>
    <w:rsid w:val="751467C2"/>
    <w:rsid w:val="75640268"/>
    <w:rsid w:val="762B588A"/>
    <w:rsid w:val="763C1D7A"/>
    <w:rsid w:val="763E4625"/>
    <w:rsid w:val="768D5573"/>
    <w:rsid w:val="76A50F09"/>
    <w:rsid w:val="76AB0992"/>
    <w:rsid w:val="77BA4E88"/>
    <w:rsid w:val="77EE068E"/>
    <w:rsid w:val="78460603"/>
    <w:rsid w:val="784D1858"/>
    <w:rsid w:val="78A31478"/>
    <w:rsid w:val="78FD502C"/>
    <w:rsid w:val="79C922CD"/>
    <w:rsid w:val="79DA536E"/>
    <w:rsid w:val="7A0917AF"/>
    <w:rsid w:val="7A0B0683"/>
    <w:rsid w:val="7A1524D6"/>
    <w:rsid w:val="7AD63D87"/>
    <w:rsid w:val="7B3D5BB4"/>
    <w:rsid w:val="7B5F523F"/>
    <w:rsid w:val="7B7972E7"/>
    <w:rsid w:val="7BAE260E"/>
    <w:rsid w:val="7BB310BF"/>
    <w:rsid w:val="7BCE2CB0"/>
    <w:rsid w:val="7BD1454E"/>
    <w:rsid w:val="7BD858DD"/>
    <w:rsid w:val="7BDD0B5C"/>
    <w:rsid w:val="7C183F2B"/>
    <w:rsid w:val="7C650F68"/>
    <w:rsid w:val="7CD57E28"/>
    <w:rsid w:val="7D2741AF"/>
    <w:rsid w:val="7D2A660C"/>
    <w:rsid w:val="7D5D078F"/>
    <w:rsid w:val="7D985324"/>
    <w:rsid w:val="7DED1B13"/>
    <w:rsid w:val="7E8A3FF3"/>
    <w:rsid w:val="7EB663A9"/>
    <w:rsid w:val="7F5F07EF"/>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szCs w:val="22"/>
    </w:rPr>
  </w:style>
  <w:style w:type="paragraph" w:styleId="3">
    <w:name w:val="Note Heading"/>
    <w:basedOn w:val="1"/>
    <w:next w:val="1"/>
    <w:qFormat/>
    <w:uiPriority w:val="0"/>
    <w:pPr>
      <w:jc w:val="center"/>
    </w:pPr>
  </w:style>
  <w:style w:type="paragraph" w:styleId="4">
    <w:name w:val="Normal Indent"/>
    <w:basedOn w:val="1"/>
    <w:next w:val="1"/>
    <w:qFormat/>
    <w:uiPriority w:val="0"/>
    <w:pPr>
      <w:spacing w:line="360" w:lineRule="auto"/>
      <w:ind w:firstLine="420" w:firstLineChars="200"/>
    </w:pPr>
    <w:rPr>
      <w:sz w:val="28"/>
    </w:rPr>
  </w:style>
  <w:style w:type="paragraph" w:styleId="5">
    <w:name w:val="caption"/>
    <w:basedOn w:val="1"/>
    <w:next w:val="1"/>
    <w:unhideWhenUsed/>
    <w:qFormat/>
    <w:uiPriority w:val="0"/>
    <w:rPr>
      <w:rFonts w:ascii="Arial" w:hAnsi="Arial" w:eastAsia="黑体"/>
      <w:sz w:val="20"/>
    </w:rPr>
  </w:style>
  <w:style w:type="paragraph" w:styleId="6">
    <w:name w:val="Body Text"/>
    <w:basedOn w:val="1"/>
    <w:next w:val="5"/>
    <w:qFormat/>
    <w:uiPriority w:val="0"/>
    <w:pPr>
      <w:spacing w:line="480" w:lineRule="exact"/>
    </w:pPr>
    <w:rPr>
      <w:rFonts w:ascii="仿宋_GB2312" w:hAnsi="宋体" w:eastAsia="仿宋_GB2312"/>
      <w:sz w:val="3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ordWrap w:val="0"/>
      <w:jc w:val="left"/>
    </w:pPr>
    <w:rPr>
      <w:rFonts w:cs="Times New Roman"/>
      <w:kern w:val="0"/>
      <w:sz w:val="24"/>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qFormat/>
    <w:uiPriority w:val="0"/>
    <w:rPr>
      <w:color w:val="222222"/>
      <w:u w:val="none"/>
    </w:rPr>
  </w:style>
  <w:style w:type="character" w:styleId="16">
    <w:name w:val="Hyperlink"/>
    <w:basedOn w:val="13"/>
    <w:qFormat/>
    <w:uiPriority w:val="0"/>
    <w:rPr>
      <w:color w:val="222222"/>
      <w:u w:val="none"/>
    </w:rPr>
  </w:style>
  <w:style w:type="character" w:customStyle="1" w:styleId="17">
    <w:name w:val="time4"/>
    <w:basedOn w:val="13"/>
    <w:qFormat/>
    <w:uiPriority w:val="0"/>
    <w:rPr>
      <w:color w:val="888888"/>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19">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0">
    <w:name w:val="样式 正文文本 + 宋体"/>
    <w:basedOn w:val="6"/>
    <w:qFormat/>
    <w:uiPriority w:val="0"/>
    <w:pPr>
      <w:spacing w:line="312" w:lineRule="auto"/>
      <w:ind w:firstLine="200" w:firstLineChars="200"/>
    </w:pPr>
    <w:rPr>
      <w:rFonts w:ascii="宋体" w:hAnsi="宋体" w:eastAsia="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3273</Words>
  <Characters>3721</Characters>
  <Lines>17</Lines>
  <Paragraphs>4</Paragraphs>
  <TotalTime>2</TotalTime>
  <ScaleCrop>false</ScaleCrop>
  <LinksUpToDate>false</LinksUpToDate>
  <CharactersWithSpaces>3721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2021-06-17T13:33:00Z</dcterms:created>
  <dc:creator>Lenovo</dc:creator>
  <cp:lastModifiedBy>金正泰综合办公室</cp:lastModifiedBy>
  <cp:lastPrinted>2023-12-29T03:16:00Z</cp:lastPrinted>
  <dcterms:modified xsi:type="dcterms:W3CDTF">2024-12-06T07:08:58Z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696CADD01BBA4BBAA5EBBDE0A5CC2527</vt:lpwstr>
  </property>
  <property fmtid="{D5CDD505-2E9C-101B-9397-08002B2CF9AE}" pid="4" name="5B77E7CEEC58BC6AFAE8886BEB80DBEB">
    <vt:lpwstr>otCYQxs9Dbw2bUEn/Soxv9pYAoWsCRIsU8+gIbxzzmNcJN13+qHIPyWmbF9hFzPHyi2m8DLwi54E5OVVM5pJ0yGmgAiYTaR6oYUdYZxdjep6I9xviFUFZ9aTScfBW9OGKzwJnd1kU41ZCLvXmIcc4J1bY2IWdTl7yb/8yt8W5Vq1tH2Mr1J4YIUDornYCtb1DTuj538sYqfnj8RDKfoctD9+bmu94dNYV5WGlTddRixph0pKZvzZ2JSEi0fPu3jso5EYfXMAu5lHx1zeuN+vPOAsW+Bp7CBeI6m89NkwPnfO919o/HqyZPWzzifcrFW/I/ObOoVwkJAA/fMaGJ02MQnpPDgRIHLpE3Ms776Hj7yclAh2JnnDCvz7XL/Ekpm7jmYgLadb4RKZroxpypmkyQUz6DFASdhBZZxuQWd3sTk566orx1aZ5Wq8rkrFKdrXvYO/fnWaJe9qvsPLdX0RQAF6tWv5FBk227M3vknmI3xnUy05RYuew/FrtsSqx5HQu3MXHmsARqgue+G4zLV3hohXTEykEjoCuY80AIZF0c863MYfXr2g8ge1OKP4MutGhkJv2+5WJF+rmp0TyWw5JOLJtZBdQmFC0pUaE8zJf/MW0E5kyQeLMhv2lN2hH6gshfj3MM0EidwxwEVRFcT/dwXjdXCr7E2sd6mCYJPt58QhL/HFwaUFXYPEyBV/xuOVkIfppUOLssGDQ59Bl4fNEy55wiWKU17Tsi16mEM/7dtgw7tFMgHpCIn8DMVG5FzTV8JIx6nQO+UrQyh4Gg2jjj7a5MNyxZFYLPztCv1tZB2xmFZuv/jzduBAUqaYgJ/AGYciDSdx+xzsHtOcFUqLFzcVOvy8INN1NT2SokjdZUC/VmWb7yv7LJ7320f2y3rmb1/+CbUpfZs0XRUVbXo3F+bKfHEE3gHctrqcMQlOSoEcAcz5F/yyrIgY0oT+jYvhjcBCdAF/QYsUBhC+1J4QFn1Y2Y6LqalGdh6EX2bXcnR7c+LcsZYy37B/5RC1Wq7W2PUQgOWLpZxnAoL8ByaUlrr8zZ84w0cB2Ka8ASw6trZcrjDd6H8CpbhEMU3SN+8HfsUx7CMhugQ2WNcZLKL4G6kxsoHWK/izul+r1V0OeEYFkrGBELLam63L1jKKHJGN</vt:lpwstr>
  </property>
</Properties>
</file>